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5837" w:rsidRPr="003E5837" w:rsidRDefault="003E5837" w:rsidP="003E5837">
      <w:pPr>
        <w:pBdr>
          <w:top w:val="single" w:sz="4" w:space="1" w:color="auto"/>
          <w:left w:val="single" w:sz="4" w:space="4" w:color="auto"/>
          <w:bottom w:val="single" w:sz="4" w:space="1" w:color="auto"/>
          <w:right w:val="single" w:sz="4" w:space="4" w:color="auto"/>
        </w:pBdr>
        <w:suppressAutoHyphens w:val="0"/>
        <w:spacing w:line="240" w:lineRule="auto"/>
        <w:jc w:val="center"/>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VEŘEJNOPRÁVNÍ SMLOUVA O POSKYTNUTÍ DOTACE Z ROZPOČTU MĚSTA KROMĚŘÍŽE</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č. smlouvy: SML/606/2023</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Smluvní strany:</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p>
    <w:p w:rsidR="003E5837" w:rsidRPr="003E5837" w:rsidRDefault="003E5837" w:rsidP="003E5837">
      <w:pPr>
        <w:numPr>
          <w:ilvl w:val="0"/>
          <w:numId w:val="3"/>
        </w:numPr>
        <w:suppressAutoHyphens w:val="0"/>
        <w:spacing w:after="160" w:line="240" w:lineRule="auto"/>
        <w:ind w:left="426" w:hanging="426"/>
        <w:contextualSpacing/>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POSKYTOVATEL DOTACE </w:t>
      </w:r>
      <w:r w:rsidRPr="003E5837">
        <w:rPr>
          <w:rFonts w:asciiTheme="minorHAnsi" w:eastAsiaTheme="minorHAnsi" w:hAnsiTheme="minorHAnsi" w:cstheme="minorBidi"/>
          <w:sz w:val="22"/>
          <w:szCs w:val="22"/>
          <w:lang w:eastAsia="en-US"/>
        </w:rPr>
        <w:tab/>
        <w:t>Město Kroměříž</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Zastoupen:</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Mgr. Tomášem Opatrným, starostou města</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Sídlo:</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Velké nám. 115/1, 767 01 Kroměříž</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IČ:</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00287351</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Bankovní spojení:</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KB, a.s., č. účtu 8326340247/0100</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(dále jen „poskytovatel“)</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p>
    <w:p w:rsidR="003E5837" w:rsidRPr="003E5837" w:rsidRDefault="003E5837" w:rsidP="003E5837">
      <w:pPr>
        <w:numPr>
          <w:ilvl w:val="0"/>
          <w:numId w:val="3"/>
        </w:numPr>
        <w:suppressAutoHyphens w:val="0"/>
        <w:spacing w:after="160" w:line="240" w:lineRule="auto"/>
        <w:ind w:left="426" w:hanging="426"/>
        <w:contextualSpacing/>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PŘÍJEMCE DOTACE</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 xml:space="preserve">PAHOP, Zdravotní ústav paliativní a hospicové </w:t>
      </w:r>
      <w:proofErr w:type="gramStart"/>
      <w:r w:rsidRPr="003E5837">
        <w:rPr>
          <w:rFonts w:asciiTheme="minorHAnsi" w:eastAsiaTheme="minorHAnsi" w:hAnsiTheme="minorHAnsi" w:cstheme="minorBidi"/>
          <w:sz w:val="22"/>
          <w:szCs w:val="22"/>
          <w:lang w:eastAsia="en-US"/>
        </w:rPr>
        <w:t xml:space="preserve">péče, z. </w:t>
      </w:r>
      <w:proofErr w:type="spellStart"/>
      <w:r w:rsidRPr="003E5837">
        <w:rPr>
          <w:rFonts w:asciiTheme="minorHAnsi" w:eastAsiaTheme="minorHAnsi" w:hAnsiTheme="minorHAnsi" w:cstheme="minorBidi"/>
          <w:sz w:val="22"/>
          <w:szCs w:val="22"/>
          <w:lang w:eastAsia="en-US"/>
        </w:rPr>
        <w:t>ú.</w:t>
      </w:r>
      <w:proofErr w:type="spellEnd"/>
      <w:proofErr w:type="gramEnd"/>
    </w:p>
    <w:p w:rsidR="003E5837" w:rsidRPr="003E5837" w:rsidRDefault="003E5837" w:rsidP="00623C7E">
      <w:pPr>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Zastoupen:</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002507E4">
        <w:t xml:space="preserve">Mgr. Helenou </w:t>
      </w:r>
      <w:proofErr w:type="spellStart"/>
      <w:r w:rsidR="002507E4">
        <w:t>Schwarczovou</w:t>
      </w:r>
      <w:proofErr w:type="spellEnd"/>
      <w:r w:rsidR="002507E4">
        <w:t>, ředitelkou</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Sídlo/trvalý pobyt:</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Palackého náměstí 293, 686 01 Uherské Hradiště</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IČ:</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049 77 408</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Bankovní spojení:</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4273444369/0800, Česká spořitelna, a. s.</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(dále jen „příjemce“)</w:t>
      </w:r>
    </w:p>
    <w:p w:rsidR="003E5837" w:rsidRPr="003E5837" w:rsidRDefault="003E5837" w:rsidP="003E5837">
      <w:pPr>
        <w:suppressAutoHyphens w:val="0"/>
        <w:spacing w:line="240" w:lineRule="auto"/>
        <w:rPr>
          <w:rFonts w:asciiTheme="minorHAnsi" w:eastAsiaTheme="minorHAnsi" w:hAnsiTheme="minorHAnsi" w:cstheme="minorBid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3E5837" w:rsidRPr="003E5837" w:rsidRDefault="003E5837" w:rsidP="003E5837">
      <w:pPr>
        <w:suppressAutoHyphens w:val="0"/>
        <w:spacing w:line="240" w:lineRule="auto"/>
        <w:jc w:val="both"/>
        <w:rPr>
          <w:rFonts w:asciiTheme="minorHAnsi" w:eastAsiaTheme="minorHAnsi" w:hAnsiTheme="minorHAnsi" w:cstheme="minorBidi"/>
          <w:sz w:val="22"/>
          <w:szCs w:val="22"/>
          <w:lang w:eastAsia="en-US"/>
        </w:rPr>
      </w:pPr>
    </w:p>
    <w:p w:rsidR="003E5837" w:rsidRPr="003E5837" w:rsidRDefault="003E5837" w:rsidP="003E5837">
      <w:pPr>
        <w:numPr>
          <w:ilvl w:val="0"/>
          <w:numId w:val="4"/>
        </w:numPr>
        <w:pBdr>
          <w:top w:val="single" w:sz="4" w:space="1" w:color="auto"/>
          <w:left w:val="single" w:sz="4" w:space="4" w:color="auto"/>
          <w:bottom w:val="single" w:sz="4" w:space="1" w:color="auto"/>
          <w:right w:val="single" w:sz="4" w:space="4" w:color="auto"/>
        </w:pBdr>
        <w:suppressAutoHyphens w:val="0"/>
        <w:spacing w:after="160" w:line="240" w:lineRule="auto"/>
        <w:contextualSpacing/>
        <w:jc w:val="center"/>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Předmět a účel smlouvy</w:t>
      </w:r>
    </w:p>
    <w:p w:rsidR="003E5837" w:rsidRPr="003E5837" w:rsidRDefault="003E5837" w:rsidP="003E5837">
      <w:pPr>
        <w:numPr>
          <w:ilvl w:val="0"/>
          <w:numId w:val="5"/>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Předmětem této smlouvy je poskytnutí dotace za podmínek stanovených touto </w:t>
      </w:r>
      <w:proofErr w:type="gramStart"/>
      <w:r w:rsidRPr="003E5837">
        <w:rPr>
          <w:rFonts w:asciiTheme="minorHAnsi" w:eastAsiaTheme="minorHAnsi" w:hAnsiTheme="minorHAnsi" w:cstheme="minorBidi"/>
          <w:sz w:val="22"/>
          <w:szCs w:val="22"/>
          <w:lang w:eastAsia="en-US"/>
        </w:rPr>
        <w:t>smlouvou  na</w:t>
      </w:r>
      <w:proofErr w:type="gramEnd"/>
      <w:r w:rsidRPr="003E5837">
        <w:rPr>
          <w:rFonts w:asciiTheme="minorHAnsi" w:eastAsiaTheme="minorHAnsi" w:hAnsiTheme="minorHAnsi" w:cstheme="minorBidi"/>
          <w:sz w:val="22"/>
          <w:szCs w:val="22"/>
          <w:lang w:eastAsia="en-US"/>
        </w:rPr>
        <w:t xml:space="preserve"> základě individuální žádosti o dotaci příjemce č. </w:t>
      </w:r>
      <w:proofErr w:type="spellStart"/>
      <w:r w:rsidRPr="003E5837">
        <w:rPr>
          <w:rFonts w:asciiTheme="minorHAnsi" w:eastAsiaTheme="minorHAnsi" w:hAnsiTheme="minorHAnsi" w:cstheme="minorBidi"/>
          <w:sz w:val="22"/>
          <w:szCs w:val="22"/>
          <w:lang w:eastAsia="en-US"/>
        </w:rPr>
        <w:t>MeUKM</w:t>
      </w:r>
      <w:proofErr w:type="spellEnd"/>
      <w:r w:rsidRPr="003E5837">
        <w:rPr>
          <w:rFonts w:asciiTheme="minorHAnsi" w:eastAsiaTheme="minorHAnsi" w:hAnsiTheme="minorHAnsi" w:cstheme="minorBidi"/>
          <w:sz w:val="22"/>
          <w:szCs w:val="22"/>
          <w:lang w:eastAsia="en-US"/>
        </w:rPr>
        <w:t>/083140/2023 ze dne 14. 9. 2023 na</w:t>
      </w:r>
    </w:p>
    <w:p w:rsidR="003E5837" w:rsidRPr="003E5837" w:rsidRDefault="003E5837" w:rsidP="003E5837">
      <w:pPr>
        <w:suppressAutoHyphens w:val="0"/>
        <w:spacing w:line="240" w:lineRule="auto"/>
        <w:ind w:left="720"/>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 </w:t>
      </w:r>
    </w:p>
    <w:p w:rsidR="003E5837" w:rsidRPr="003E5837" w:rsidRDefault="003E5837" w:rsidP="003E5837">
      <w:pPr>
        <w:suppressAutoHyphens w:val="0"/>
        <w:spacing w:line="240" w:lineRule="auto"/>
        <w:ind w:left="360"/>
        <w:jc w:val="center"/>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provoz a činnost mobilního hospice PAHOP, Zdravotní ústav paliativní a hospicové </w:t>
      </w:r>
      <w:proofErr w:type="gramStart"/>
      <w:r w:rsidRPr="003E5837">
        <w:rPr>
          <w:rFonts w:asciiTheme="minorHAnsi" w:eastAsiaTheme="minorHAnsi" w:hAnsiTheme="minorHAnsi" w:cstheme="minorBidi"/>
          <w:sz w:val="22"/>
          <w:szCs w:val="22"/>
          <w:lang w:eastAsia="en-US"/>
        </w:rPr>
        <w:t xml:space="preserve">péče, z. </w:t>
      </w:r>
      <w:proofErr w:type="spellStart"/>
      <w:r w:rsidRPr="003E5837">
        <w:rPr>
          <w:rFonts w:asciiTheme="minorHAnsi" w:eastAsiaTheme="minorHAnsi" w:hAnsiTheme="minorHAnsi" w:cstheme="minorBidi"/>
          <w:sz w:val="22"/>
          <w:szCs w:val="22"/>
          <w:lang w:eastAsia="en-US"/>
        </w:rPr>
        <w:t>ú.</w:t>
      </w:r>
      <w:proofErr w:type="spellEnd"/>
      <w:proofErr w:type="gramEnd"/>
    </w:p>
    <w:p w:rsidR="003E5837" w:rsidRPr="003E5837" w:rsidRDefault="003E5837" w:rsidP="003E5837">
      <w:pPr>
        <w:suppressAutoHyphens w:val="0"/>
        <w:spacing w:line="240" w:lineRule="auto"/>
        <w:ind w:left="720"/>
        <w:contextualSpacing/>
        <w:rPr>
          <w:rFonts w:asciiTheme="minorHAnsi" w:eastAsiaTheme="minorHAnsi" w:hAnsiTheme="minorHAnsi" w:cstheme="minorBidi"/>
          <w:sz w:val="22"/>
          <w:szCs w:val="22"/>
          <w:lang w:eastAsia="en-US"/>
        </w:rPr>
      </w:pPr>
    </w:p>
    <w:p w:rsidR="003E5837" w:rsidRPr="003E5837" w:rsidRDefault="003E5837" w:rsidP="003E5837">
      <w:pPr>
        <w:numPr>
          <w:ilvl w:val="0"/>
          <w:numId w:val="5"/>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3E5837" w:rsidRPr="003E5837" w:rsidRDefault="003E5837" w:rsidP="003E5837">
      <w:pPr>
        <w:numPr>
          <w:ilvl w:val="0"/>
          <w:numId w:val="5"/>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Dotace je ve smyslu zákona č. 320/2001 Sb. o finanční kontrole ve veřejné správě a o změně některých zákonů, v platném znění, veřejnou finanční podporou a vztahují se na ni všechna ustanovení tohoto zákona.</w:t>
      </w:r>
    </w:p>
    <w:p w:rsidR="003E5837" w:rsidRPr="003E5837" w:rsidRDefault="003E5837" w:rsidP="003E5837">
      <w:pPr>
        <w:numPr>
          <w:ilvl w:val="0"/>
          <w:numId w:val="5"/>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Dotace je slučitelná s podporou poskytnutou z rozpočtů jiných územních samosprávných celků, státního rozpočtu nebo strukturálních fondů Evropské unie, pokud to pravidla pro poskytnutí těchto podpor nevylučují.</w:t>
      </w:r>
    </w:p>
    <w:p w:rsidR="003E5837" w:rsidRPr="003E5837" w:rsidRDefault="003E5837" w:rsidP="003E5837">
      <w:pPr>
        <w:numPr>
          <w:ilvl w:val="0"/>
          <w:numId w:val="5"/>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Prokáže-li se po poskytnutí dotace, že tato naplňuje znaky veřejné podpory dle č. 107 až 109 Smlouvy o fungování Evropské unie, příjemce se zavazuje poskytnutou dotaci neprodleně vrátit zpět na účet poskytovatele.</w:t>
      </w:r>
    </w:p>
    <w:p w:rsidR="003E5837" w:rsidRPr="003E5837" w:rsidRDefault="003E5837" w:rsidP="003E5837">
      <w:pPr>
        <w:suppressAutoHyphens w:val="0"/>
        <w:spacing w:line="240" w:lineRule="auto"/>
        <w:ind w:left="360"/>
        <w:jc w:val="both"/>
        <w:rPr>
          <w:rFonts w:asciiTheme="minorHAnsi" w:eastAsiaTheme="minorHAnsi" w:hAnsiTheme="minorHAnsi" w:cstheme="minorBidi"/>
          <w:sz w:val="22"/>
          <w:szCs w:val="22"/>
          <w:lang w:eastAsia="en-US"/>
        </w:rPr>
      </w:pPr>
    </w:p>
    <w:p w:rsidR="003E5837" w:rsidRPr="003E5837" w:rsidRDefault="003E5837" w:rsidP="003E5837">
      <w:pPr>
        <w:numPr>
          <w:ilvl w:val="0"/>
          <w:numId w:val="4"/>
        </w:numPr>
        <w:pBdr>
          <w:top w:val="single" w:sz="4" w:space="1" w:color="auto"/>
          <w:left w:val="single" w:sz="4" w:space="4" w:color="auto"/>
          <w:bottom w:val="single" w:sz="4" w:space="1" w:color="auto"/>
          <w:right w:val="single" w:sz="4" w:space="4" w:color="auto"/>
        </w:pBdr>
        <w:suppressAutoHyphens w:val="0"/>
        <w:spacing w:after="160" w:line="240" w:lineRule="auto"/>
        <w:contextualSpacing/>
        <w:jc w:val="center"/>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Výše a způsob poskytnutí dotace</w:t>
      </w:r>
    </w:p>
    <w:p w:rsidR="003E5837" w:rsidRPr="003E5837" w:rsidRDefault="003E5837" w:rsidP="003E5837">
      <w:pPr>
        <w:numPr>
          <w:ilvl w:val="0"/>
          <w:numId w:val="6"/>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Na základě podané žádosti a přiloženého položkového rozpočtu a této smlouvy poskytovatel poskytne příjemci účelovou neinvestiční dotaci ve výši</w:t>
      </w:r>
    </w:p>
    <w:p w:rsidR="003E5837" w:rsidRPr="003E5837" w:rsidRDefault="003E5837" w:rsidP="003E5837">
      <w:pPr>
        <w:suppressAutoHyphens w:val="0"/>
        <w:spacing w:line="240" w:lineRule="auto"/>
        <w:ind w:left="720"/>
        <w:contextualSpacing/>
        <w:jc w:val="both"/>
        <w:rPr>
          <w:rFonts w:asciiTheme="minorHAnsi" w:eastAsiaTheme="minorHAnsi" w:hAnsiTheme="minorHAnsi" w:cstheme="minorBidi"/>
          <w:sz w:val="22"/>
          <w:szCs w:val="22"/>
          <w:lang w:eastAsia="en-US"/>
        </w:rPr>
      </w:pPr>
    </w:p>
    <w:p w:rsidR="003E5837" w:rsidRPr="003E5837" w:rsidRDefault="003E5837" w:rsidP="003E5837">
      <w:pPr>
        <w:suppressAutoHyphens w:val="0"/>
        <w:spacing w:line="240" w:lineRule="auto"/>
        <w:ind w:left="720"/>
        <w:contextualSpacing/>
        <w:jc w:val="center"/>
        <w:rPr>
          <w:rFonts w:asciiTheme="minorHAnsi" w:eastAsiaTheme="minorHAnsi" w:hAnsiTheme="minorHAnsi" w:cstheme="minorBidi"/>
          <w:color w:val="FF0000"/>
          <w:sz w:val="22"/>
          <w:szCs w:val="22"/>
          <w:lang w:eastAsia="en-US"/>
        </w:rPr>
      </w:pPr>
      <w:r w:rsidRPr="003E5837">
        <w:rPr>
          <w:rFonts w:asciiTheme="minorHAnsi" w:eastAsiaTheme="minorHAnsi" w:hAnsiTheme="minorHAnsi" w:cstheme="minorBidi"/>
          <w:sz w:val="22"/>
          <w:szCs w:val="22"/>
          <w:lang w:eastAsia="en-US"/>
        </w:rPr>
        <w:t>80 000 Kč, slovy: osmdesát tisíc korun českých.</w:t>
      </w:r>
    </w:p>
    <w:p w:rsidR="003E5837" w:rsidRPr="003E5837" w:rsidRDefault="003E5837" w:rsidP="003E5837">
      <w:pPr>
        <w:suppressAutoHyphens w:val="0"/>
        <w:spacing w:line="240" w:lineRule="auto"/>
        <w:ind w:left="720"/>
        <w:contextualSpacing/>
        <w:jc w:val="both"/>
        <w:rPr>
          <w:rFonts w:asciiTheme="minorHAnsi" w:eastAsiaTheme="minorHAnsi" w:hAnsiTheme="minorHAnsi" w:cstheme="minorBidi"/>
          <w:sz w:val="22"/>
          <w:szCs w:val="22"/>
          <w:lang w:eastAsia="en-US"/>
        </w:rPr>
      </w:pPr>
    </w:p>
    <w:p w:rsidR="003E5837" w:rsidRPr="003E5837" w:rsidRDefault="003E5837" w:rsidP="003E5837">
      <w:pPr>
        <w:suppressAutoHyphens w:val="0"/>
        <w:spacing w:line="240" w:lineRule="auto"/>
        <w:ind w:left="720"/>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Což může činit nejvýše 70% z celkových uznatelných výdajů na podporovaný předmět dotace.</w:t>
      </w:r>
    </w:p>
    <w:p w:rsidR="003E5837" w:rsidRPr="003E5837" w:rsidRDefault="003E5837" w:rsidP="003E5837">
      <w:pPr>
        <w:numPr>
          <w:ilvl w:val="0"/>
          <w:numId w:val="6"/>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lastRenderedPageBreak/>
        <w:t>Dotace bude poukázána bankovním převodem na účet příjemce uvedený v záhlaví smlouvy do 30 dnů po nabytí účinnosti této smlouvy či ve více splátkách uvedených v této smlouvě.</w:t>
      </w:r>
    </w:p>
    <w:p w:rsidR="003E5837" w:rsidRPr="003E5837" w:rsidRDefault="003E5837" w:rsidP="003E5837">
      <w:pPr>
        <w:suppressAutoHyphens w:val="0"/>
        <w:spacing w:line="240" w:lineRule="auto"/>
        <w:ind w:left="720"/>
        <w:contextualSpacing/>
        <w:rPr>
          <w:rFonts w:asciiTheme="minorHAnsi" w:eastAsiaTheme="minorHAnsi" w:hAnsiTheme="minorHAnsi" w:cstheme="minorBidi"/>
          <w:sz w:val="22"/>
          <w:szCs w:val="22"/>
          <w:lang w:eastAsia="en-US"/>
        </w:rPr>
      </w:pPr>
    </w:p>
    <w:p w:rsidR="003E5837" w:rsidRPr="003E5837" w:rsidRDefault="003E5837" w:rsidP="003E5837">
      <w:pPr>
        <w:numPr>
          <w:ilvl w:val="0"/>
          <w:numId w:val="4"/>
        </w:numPr>
        <w:pBdr>
          <w:top w:val="single" w:sz="4" w:space="1" w:color="auto"/>
          <w:left w:val="single" w:sz="4" w:space="4" w:color="auto"/>
          <w:bottom w:val="single" w:sz="4" w:space="1" w:color="auto"/>
          <w:right w:val="single" w:sz="4" w:space="4" w:color="auto"/>
        </w:pBdr>
        <w:suppressAutoHyphens w:val="0"/>
        <w:spacing w:after="160" w:line="240" w:lineRule="auto"/>
        <w:contextualSpacing/>
        <w:jc w:val="center"/>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Podmínky použití dotace</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2023 do 31. 12. 2023, včetně výdajů uskutečněných v následujícím roce a to do 31. 1. 2024, pokud účetně a věcně souvisejí s rokem 2023. Dotaci nelze převádět do následujícího kalendářního roku.</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O změnu rozpočtu na podporovaný předmět dotace lze písemně požádat poskytovatele v termínu do 31. 10. 2023, a to pouze ze závažných důvodů.</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Příjemce se zavazuje, že poskytnutá dotace nebude použita na:</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mzdy a platy,</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odměny členů statutárních či kontrolních orgánů příjemce, který je právnickou osobou,</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odstupné ve smyslu zákoníku práce,</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účetně nedoložené výdaje,</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zálohové platby, které nebudou zúčtovány do 31. 1. 2024,</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daně a poplatky,</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na pohoštění nad rámec pitného režimu a stravování účastníků akce konané v přímé souvislosti s účelem, na který je dotace poskytována,</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finanční a věcné dary z výjimkou odměn typu medailí, pohárů, výher v soutěžích, apod.</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Calibri" w:eastAsiaTheme="minorHAnsi" w:hAnsi="Calibri" w:cs="Calibri"/>
          <w:color w:val="000000"/>
          <w:sz w:val="22"/>
          <w:szCs w:val="22"/>
          <w:shd w:val="clear" w:color="auto" w:fill="FFFFFF"/>
          <w:lang w:eastAsia="en-US"/>
        </w:rPr>
        <w:t>cestovní výlohy a náhrady vyplacené nad rámec daňově uznatelných nákladů dle zákona č. 586/1992 Sb., o daních z příjmů, v platném znění,</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dotace a finanční příspěvky jiným fyzickým a právnickým osobám,</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poskytnuté úvěry či půjčky a leasing,</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sankce, splátky úvěrů, úroků z prodlení, mank a náhrad škod,</w:t>
      </w:r>
    </w:p>
    <w:p w:rsidR="003E5837" w:rsidRPr="003E5837" w:rsidRDefault="003E5837" w:rsidP="003E5837">
      <w:pPr>
        <w:numPr>
          <w:ilvl w:val="0"/>
          <w:numId w:val="9"/>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na výdaje nesouvisející s předmětem dotace.</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Příjemce odpovídá za řádné vedení a viditelné označení originálních prvotních dokladů prokazujících použití dotace uvedením na dokladech „hrazeno z dotace města Kroměříže“. </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Příjemce je povinen umožnit poskytovateli nebo jím pověřeným osobám provedení kontroly použití dotace a umožnit provádět věcnou, finanční a účetní kontrolu v průběhu i po skončení realizace podporovaného účelu, a to po dobu následujících 5 kalendářních 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lastRenderedPageBreak/>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Doložení použití dotace a její vyúčtování je příjemce povinen předložit ke kontrole poskytovateli, a to administrátorovi dotace do 31. 3. 2024.</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Vyúčtováním dotace se rozumí předložení vyplněného formuláře s výčtem všech položek uznatelných výdajů, vztahujících se k podporovanému předmětu dotace a předložení kopií účetních dokladů s uvedením celkové částky, částky hrazené z dotace a spolufinancovaného podílu a dokladů prokazujících jejich úhradu. </w:t>
      </w:r>
    </w:p>
    <w:p w:rsidR="003E5837" w:rsidRPr="003E5837" w:rsidRDefault="003E5837" w:rsidP="003E5837">
      <w:pPr>
        <w:suppressAutoHyphens w:val="0"/>
        <w:spacing w:line="240" w:lineRule="auto"/>
        <w:ind w:left="720"/>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Každé použití finančních prostředků poskytovatele musí být doloženo takto:</w:t>
      </w:r>
    </w:p>
    <w:p w:rsidR="003E5837" w:rsidRPr="003E5837" w:rsidRDefault="003E5837" w:rsidP="003E5837">
      <w:pPr>
        <w:numPr>
          <w:ilvl w:val="0"/>
          <w:numId w:val="8"/>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Bezhotovostní výdaje kopií prvotního dokladu (faktury, smlouva, rozhodnutí, vyhláška apod.) a kopií dokladu o úhradě (výpis z bankovního účtu)</w:t>
      </w:r>
    </w:p>
    <w:p w:rsidR="003E5837" w:rsidRPr="003E5837" w:rsidRDefault="003E5837" w:rsidP="003E5837">
      <w:pPr>
        <w:numPr>
          <w:ilvl w:val="0"/>
          <w:numId w:val="8"/>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Hotovostní výdaje kopií prvotního dokladu (paragon, pokladní doklad, faktura, smlouva, rozhodnutí, vyhláška apod.) </w:t>
      </w:r>
    </w:p>
    <w:p w:rsidR="003E5837" w:rsidRPr="003E5837" w:rsidRDefault="003E5837" w:rsidP="003E5837">
      <w:pPr>
        <w:suppressAutoHyphens w:val="0"/>
        <w:spacing w:line="240" w:lineRule="auto"/>
        <w:ind w:left="720"/>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 využije dotaci na úhradu PHM je povinen na vyžádání předložit také kopii knihy jízd.</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Součástí vyúčtování musí být příjemcem dotace doložena fotodokumentace, kterou příjemce prokáže uskutečnění podporovaného předmětu dotace a splnění minimálního rozsahu propagace poskytovatele. Toto ustanovení se netýká dotací do 10.000,- Kč. </w:t>
      </w:r>
    </w:p>
    <w:p w:rsidR="003E5837" w:rsidRPr="003E5837" w:rsidRDefault="003E5837" w:rsidP="003E5837">
      <w:pPr>
        <w:numPr>
          <w:ilvl w:val="0"/>
          <w:numId w:val="7"/>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Příjemce je povinen po dobu 5 let od skončení podporovaného předmětu dotace archivovat následující podkladové materiály:</w:t>
      </w:r>
    </w:p>
    <w:p w:rsidR="003E5837" w:rsidRPr="003E5837" w:rsidRDefault="003E5837" w:rsidP="003E5837">
      <w:pPr>
        <w:numPr>
          <w:ilvl w:val="0"/>
          <w:numId w:val="8"/>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žádost včetně povinných příloh</w:t>
      </w:r>
    </w:p>
    <w:p w:rsidR="003E5837" w:rsidRPr="003E5837" w:rsidRDefault="003E5837" w:rsidP="003E5837">
      <w:pPr>
        <w:numPr>
          <w:ilvl w:val="0"/>
          <w:numId w:val="8"/>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tuto smlouvu</w:t>
      </w:r>
    </w:p>
    <w:p w:rsidR="003E5837" w:rsidRPr="003E5837" w:rsidRDefault="003E5837" w:rsidP="003E5837">
      <w:pPr>
        <w:numPr>
          <w:ilvl w:val="0"/>
          <w:numId w:val="8"/>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originály dokladů prokazujících čerpání dotace</w:t>
      </w:r>
    </w:p>
    <w:p w:rsidR="003E5837" w:rsidRPr="003E5837" w:rsidRDefault="003E5837" w:rsidP="003E5837">
      <w:pPr>
        <w:numPr>
          <w:ilvl w:val="0"/>
          <w:numId w:val="8"/>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závěrečné vyhodnocení a finanční vyúčtování dotace</w:t>
      </w:r>
    </w:p>
    <w:p w:rsidR="003E5837" w:rsidRPr="003E5837" w:rsidRDefault="003E5837" w:rsidP="003E5837">
      <w:pPr>
        <w:suppressAutoHyphens w:val="0"/>
        <w:spacing w:line="240" w:lineRule="auto"/>
        <w:jc w:val="both"/>
        <w:rPr>
          <w:rFonts w:asciiTheme="minorHAnsi" w:eastAsiaTheme="minorHAnsi" w:hAnsiTheme="minorHAnsi" w:cstheme="minorBidi"/>
          <w:sz w:val="22"/>
          <w:szCs w:val="22"/>
          <w:lang w:eastAsia="en-US"/>
        </w:rPr>
      </w:pPr>
    </w:p>
    <w:p w:rsidR="003E5837" w:rsidRPr="003E5837" w:rsidRDefault="003E5837" w:rsidP="003E5837">
      <w:pPr>
        <w:numPr>
          <w:ilvl w:val="0"/>
          <w:numId w:val="4"/>
        </w:numPr>
        <w:pBdr>
          <w:top w:val="single" w:sz="4" w:space="1" w:color="auto"/>
          <w:left w:val="single" w:sz="4" w:space="4" w:color="auto"/>
          <w:bottom w:val="single" w:sz="4" w:space="1" w:color="auto"/>
          <w:right w:val="single" w:sz="4" w:space="4" w:color="auto"/>
        </w:pBdr>
        <w:suppressAutoHyphens w:val="0"/>
        <w:spacing w:after="160" w:line="240" w:lineRule="auto"/>
        <w:contextualSpacing/>
        <w:jc w:val="center"/>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Další povinnosti příjemce</w:t>
      </w:r>
    </w:p>
    <w:p w:rsidR="003E5837" w:rsidRPr="003E5837" w:rsidRDefault="003E5837" w:rsidP="003E5837">
      <w:pPr>
        <w:numPr>
          <w:ilvl w:val="0"/>
          <w:numId w:val="10"/>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Nevyčerpanou část dotace je příjemce povinen vrátit na účet poskytovatele nejpozději do data pro předložení vyúčtování dotace. </w:t>
      </w:r>
    </w:p>
    <w:p w:rsidR="003E5837" w:rsidRPr="003E5837" w:rsidRDefault="003E5837" w:rsidP="003E5837">
      <w:pPr>
        <w:numPr>
          <w:ilvl w:val="0"/>
          <w:numId w:val="10"/>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Výplata dotace bude pozastavena příjemci, u kterého se v průběhu roku zjistí, že je dlužníkem města a to do doby uhrazení tohoto dluhu.</w:t>
      </w:r>
    </w:p>
    <w:p w:rsidR="003E5837" w:rsidRPr="003E5837" w:rsidRDefault="003E5837" w:rsidP="003E5837">
      <w:pPr>
        <w:numPr>
          <w:ilvl w:val="0"/>
          <w:numId w:val="10"/>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3E5837" w:rsidRPr="003E5837" w:rsidRDefault="003E5837" w:rsidP="003E5837">
      <w:pPr>
        <w:numPr>
          <w:ilvl w:val="0"/>
          <w:numId w:val="10"/>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3E5837" w:rsidRPr="003E5837" w:rsidRDefault="003E5837" w:rsidP="003E5837">
      <w:pPr>
        <w:numPr>
          <w:ilvl w:val="0"/>
          <w:numId w:val="10"/>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3E5837" w:rsidRPr="003E5837" w:rsidRDefault="003E5837" w:rsidP="003E5837">
      <w:pPr>
        <w:numPr>
          <w:ilvl w:val="0"/>
          <w:numId w:val="10"/>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3E5837" w:rsidRPr="003E5837" w:rsidRDefault="003E5837" w:rsidP="003E5837">
      <w:pPr>
        <w:numPr>
          <w:ilvl w:val="0"/>
          <w:numId w:val="10"/>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Příjemce je povinen zajistit, aby všechny údaje, které podává poskytovateli, byly vždy úplné a pravdivé.</w:t>
      </w:r>
    </w:p>
    <w:p w:rsidR="003E5837" w:rsidRPr="003E5837" w:rsidRDefault="003E5837" w:rsidP="003E5837">
      <w:pPr>
        <w:numPr>
          <w:ilvl w:val="0"/>
          <w:numId w:val="10"/>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3E5837" w:rsidRPr="003E5837" w:rsidRDefault="003E5837" w:rsidP="003E5837">
      <w:pPr>
        <w:numPr>
          <w:ilvl w:val="0"/>
          <w:numId w:val="10"/>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Práva a povinnosti této smlouvy není příjemce oprávněn převést na třetí osobu bez předchozího písemného souhlasu poskytovatele.</w:t>
      </w:r>
    </w:p>
    <w:p w:rsidR="003E5837" w:rsidRPr="003E5837" w:rsidRDefault="003E5837" w:rsidP="003E5837">
      <w:pPr>
        <w:numPr>
          <w:ilvl w:val="0"/>
          <w:numId w:val="10"/>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3E5837" w:rsidRPr="003E5837" w:rsidRDefault="003E5837" w:rsidP="003E5837">
      <w:pPr>
        <w:suppressAutoHyphens w:val="0"/>
        <w:spacing w:line="240" w:lineRule="auto"/>
        <w:ind w:left="720"/>
        <w:contextualSpacing/>
        <w:jc w:val="both"/>
        <w:rPr>
          <w:rFonts w:asciiTheme="minorHAnsi" w:eastAsiaTheme="minorHAnsi" w:hAnsiTheme="minorHAnsi" w:cstheme="minorBidi"/>
          <w:sz w:val="22"/>
          <w:szCs w:val="22"/>
          <w:lang w:eastAsia="en-US"/>
        </w:rPr>
      </w:pPr>
    </w:p>
    <w:p w:rsidR="003E5837" w:rsidRPr="003E5837" w:rsidRDefault="003E5837" w:rsidP="003E5837">
      <w:pPr>
        <w:numPr>
          <w:ilvl w:val="0"/>
          <w:numId w:val="4"/>
        </w:numPr>
        <w:pBdr>
          <w:top w:val="single" w:sz="4" w:space="1" w:color="auto"/>
          <w:left w:val="single" w:sz="4" w:space="4" w:color="auto"/>
          <w:bottom w:val="single" w:sz="4" w:space="1" w:color="auto"/>
          <w:right w:val="single" w:sz="4" w:space="4" w:color="auto"/>
        </w:pBdr>
        <w:suppressAutoHyphens w:val="0"/>
        <w:spacing w:after="160" w:line="240" w:lineRule="auto"/>
        <w:contextualSpacing/>
        <w:jc w:val="center"/>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Důsledky porušení povinností příjemce</w:t>
      </w:r>
    </w:p>
    <w:p w:rsidR="003E5837" w:rsidRPr="003E5837" w:rsidRDefault="003E5837" w:rsidP="003E5837">
      <w:pPr>
        <w:numPr>
          <w:ilvl w:val="0"/>
          <w:numId w:val="11"/>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3E5837" w:rsidRPr="003E5837" w:rsidRDefault="003E5837" w:rsidP="003E5837">
      <w:pPr>
        <w:numPr>
          <w:ilvl w:val="0"/>
          <w:numId w:val="11"/>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3E5837" w:rsidRPr="003E5837" w:rsidRDefault="003E5837" w:rsidP="003E5837">
      <w:pPr>
        <w:numPr>
          <w:ilvl w:val="0"/>
          <w:numId w:val="11"/>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3E5837" w:rsidRPr="003E5837" w:rsidRDefault="003E5837" w:rsidP="003E5837">
      <w:pPr>
        <w:numPr>
          <w:ilvl w:val="0"/>
          <w:numId w:val="12"/>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Porušení účelu dotace</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 xml:space="preserve">100% </w:t>
      </w:r>
      <w:r w:rsidRPr="003E5837">
        <w:rPr>
          <w:rFonts w:asciiTheme="minorHAnsi" w:eastAsiaTheme="minorHAnsi" w:hAnsiTheme="minorHAnsi" w:cstheme="minorBidi"/>
          <w:sz w:val="22"/>
          <w:szCs w:val="22"/>
          <w:lang w:eastAsia="en-US"/>
        </w:rPr>
        <w:tab/>
        <w:t>poskytnuté dotace</w:t>
      </w:r>
    </w:p>
    <w:p w:rsidR="003E5837" w:rsidRPr="003E5837" w:rsidRDefault="003E5837" w:rsidP="003E5837">
      <w:pPr>
        <w:numPr>
          <w:ilvl w:val="0"/>
          <w:numId w:val="12"/>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Porušení podmínky publicity dle čl. III. odst. 9</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 xml:space="preserve">10 % </w:t>
      </w:r>
      <w:r w:rsidRPr="003E5837">
        <w:rPr>
          <w:rFonts w:asciiTheme="minorHAnsi" w:eastAsiaTheme="minorHAnsi" w:hAnsiTheme="minorHAnsi" w:cstheme="minorBidi"/>
          <w:sz w:val="22"/>
          <w:szCs w:val="22"/>
          <w:lang w:eastAsia="en-US"/>
        </w:rPr>
        <w:tab/>
        <w:t>poskytnuté dotace</w:t>
      </w:r>
    </w:p>
    <w:p w:rsidR="003E5837" w:rsidRPr="003E5837" w:rsidRDefault="003E5837" w:rsidP="003E5837">
      <w:pPr>
        <w:numPr>
          <w:ilvl w:val="0"/>
          <w:numId w:val="12"/>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Předložení kompletního vyúčtování po stanovené lhůtě:</w:t>
      </w:r>
    </w:p>
    <w:p w:rsidR="003E5837" w:rsidRPr="003E5837" w:rsidRDefault="003E5837" w:rsidP="003E5837">
      <w:pPr>
        <w:suppressAutoHyphens w:val="0"/>
        <w:spacing w:line="240" w:lineRule="auto"/>
        <w:ind w:left="1080"/>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do 7 kalendářních dnů</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 xml:space="preserve">5% </w:t>
      </w:r>
      <w:r w:rsidRPr="003E5837">
        <w:rPr>
          <w:rFonts w:asciiTheme="minorHAnsi" w:eastAsiaTheme="minorHAnsi" w:hAnsiTheme="minorHAnsi" w:cstheme="minorBidi"/>
          <w:sz w:val="22"/>
          <w:szCs w:val="22"/>
          <w:lang w:eastAsia="en-US"/>
        </w:rPr>
        <w:tab/>
        <w:t>poskytnuté dotace</w:t>
      </w:r>
    </w:p>
    <w:p w:rsidR="003E5837" w:rsidRPr="003E5837" w:rsidRDefault="003E5837" w:rsidP="003E5837">
      <w:pPr>
        <w:suppressAutoHyphens w:val="0"/>
        <w:spacing w:line="240" w:lineRule="auto"/>
        <w:ind w:left="1080"/>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od 8 do 14 kalendářních dnů</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 xml:space="preserve">10% </w:t>
      </w:r>
      <w:r w:rsidRPr="003E5837">
        <w:rPr>
          <w:rFonts w:asciiTheme="minorHAnsi" w:eastAsiaTheme="minorHAnsi" w:hAnsiTheme="minorHAnsi" w:cstheme="minorBidi"/>
          <w:sz w:val="22"/>
          <w:szCs w:val="22"/>
          <w:lang w:eastAsia="en-US"/>
        </w:rPr>
        <w:tab/>
        <w:t>poskytnuté dotace</w:t>
      </w:r>
    </w:p>
    <w:p w:rsidR="003E5837" w:rsidRPr="003E5837" w:rsidRDefault="003E5837" w:rsidP="003E5837">
      <w:pPr>
        <w:suppressAutoHyphens w:val="0"/>
        <w:spacing w:line="240" w:lineRule="auto"/>
        <w:ind w:left="1080"/>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od 15 do 30 kalendářních dnů</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 xml:space="preserve">20% </w:t>
      </w:r>
      <w:r w:rsidRPr="003E5837">
        <w:rPr>
          <w:rFonts w:asciiTheme="minorHAnsi" w:eastAsiaTheme="minorHAnsi" w:hAnsiTheme="minorHAnsi" w:cstheme="minorBidi"/>
          <w:sz w:val="22"/>
          <w:szCs w:val="22"/>
          <w:lang w:eastAsia="en-US"/>
        </w:rPr>
        <w:tab/>
        <w:t>poskytnuté dotace</w:t>
      </w:r>
    </w:p>
    <w:p w:rsidR="003E5837" w:rsidRPr="003E5837" w:rsidRDefault="003E5837" w:rsidP="003E5837">
      <w:pPr>
        <w:numPr>
          <w:ilvl w:val="0"/>
          <w:numId w:val="12"/>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Nepředložení vyúčtování</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 xml:space="preserve">100% </w:t>
      </w:r>
      <w:r w:rsidRPr="003E5837">
        <w:rPr>
          <w:rFonts w:asciiTheme="minorHAnsi" w:eastAsiaTheme="minorHAnsi" w:hAnsiTheme="minorHAnsi" w:cstheme="minorBidi"/>
          <w:sz w:val="22"/>
          <w:szCs w:val="22"/>
          <w:lang w:eastAsia="en-US"/>
        </w:rPr>
        <w:tab/>
        <w:t>poskytnuté dotace</w:t>
      </w:r>
    </w:p>
    <w:p w:rsidR="003E5837" w:rsidRPr="003E5837" w:rsidRDefault="003E5837" w:rsidP="003E5837">
      <w:pPr>
        <w:numPr>
          <w:ilvl w:val="0"/>
          <w:numId w:val="12"/>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Nedodržení sjednané výše spolufinancování</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1 - 30% poskytnuté dotace</w:t>
      </w:r>
    </w:p>
    <w:p w:rsidR="003E5837" w:rsidRPr="003E5837" w:rsidRDefault="003E5837" w:rsidP="003E5837">
      <w:pPr>
        <w:numPr>
          <w:ilvl w:val="0"/>
          <w:numId w:val="12"/>
        </w:numPr>
        <w:suppressAutoHyphens w:val="0"/>
        <w:spacing w:after="160" w:line="240" w:lineRule="auto"/>
        <w:contextualSpacing/>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Kvalita provedení realizovaného podporovaného předmětu dotace</w:t>
      </w:r>
      <w:r w:rsidRPr="003E5837">
        <w:rPr>
          <w:rFonts w:asciiTheme="minorHAnsi" w:eastAsiaTheme="minorHAnsi" w:hAnsiTheme="minorHAnsi" w:cstheme="minorBidi"/>
          <w:sz w:val="22"/>
          <w:szCs w:val="22"/>
          <w:lang w:eastAsia="en-US"/>
        </w:rPr>
        <w:tab/>
        <w:t>neodpovídá účelu dotace</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 xml:space="preserve">10% </w:t>
      </w:r>
      <w:r w:rsidRPr="003E5837">
        <w:rPr>
          <w:rFonts w:asciiTheme="minorHAnsi" w:eastAsiaTheme="minorHAnsi" w:hAnsiTheme="minorHAnsi" w:cstheme="minorBidi"/>
          <w:sz w:val="22"/>
          <w:szCs w:val="22"/>
          <w:lang w:eastAsia="en-US"/>
        </w:rPr>
        <w:tab/>
        <w:t>poskytnuté dotace</w:t>
      </w:r>
    </w:p>
    <w:p w:rsidR="003E5837" w:rsidRPr="003E5837" w:rsidRDefault="003E5837" w:rsidP="003E5837">
      <w:pPr>
        <w:numPr>
          <w:ilvl w:val="0"/>
          <w:numId w:val="12"/>
        </w:numPr>
        <w:suppressAutoHyphens w:val="0"/>
        <w:spacing w:after="160" w:line="240" w:lineRule="auto"/>
        <w:contextualSpacing/>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Chybějící archivace</w:t>
      </w:r>
      <w:r w:rsidRPr="003E5837">
        <w:rPr>
          <w:rFonts w:asciiTheme="minorHAnsi" w:eastAsiaTheme="minorHAnsi" w:hAnsiTheme="minorHAnsi" w:cstheme="minorBidi"/>
          <w:sz w:val="22"/>
          <w:szCs w:val="22"/>
          <w:lang w:eastAsia="en-US"/>
        </w:rPr>
        <w:tab/>
        <w:t>dokladů</w:t>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r>
      <w:r w:rsidRPr="003E5837">
        <w:rPr>
          <w:rFonts w:asciiTheme="minorHAnsi" w:eastAsiaTheme="minorHAnsi" w:hAnsiTheme="minorHAnsi" w:cstheme="minorBidi"/>
          <w:sz w:val="22"/>
          <w:szCs w:val="22"/>
          <w:lang w:eastAsia="en-US"/>
        </w:rPr>
        <w:tab/>
        <w:t xml:space="preserve">20% </w:t>
      </w:r>
      <w:r w:rsidRPr="003E5837">
        <w:rPr>
          <w:rFonts w:asciiTheme="minorHAnsi" w:eastAsiaTheme="minorHAnsi" w:hAnsiTheme="minorHAnsi" w:cstheme="minorBidi"/>
          <w:sz w:val="22"/>
          <w:szCs w:val="22"/>
          <w:lang w:eastAsia="en-US"/>
        </w:rPr>
        <w:tab/>
        <w:t>poskytnuté dotace</w:t>
      </w:r>
    </w:p>
    <w:p w:rsidR="003E5837" w:rsidRPr="003E5837" w:rsidRDefault="003E5837" w:rsidP="003E5837">
      <w:pPr>
        <w:numPr>
          <w:ilvl w:val="0"/>
          <w:numId w:val="12"/>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Neposkytnutí či nepředložení požadovaných dokladů</w:t>
      </w:r>
      <w:r w:rsidRPr="003E5837">
        <w:rPr>
          <w:rFonts w:asciiTheme="minorHAnsi" w:eastAsiaTheme="minorHAnsi" w:hAnsiTheme="minorHAnsi" w:cstheme="minorBidi"/>
          <w:sz w:val="22"/>
          <w:szCs w:val="22"/>
          <w:lang w:eastAsia="en-US"/>
        </w:rPr>
        <w:tab/>
        <w:t xml:space="preserve">100% </w:t>
      </w:r>
      <w:r w:rsidRPr="003E5837">
        <w:rPr>
          <w:rFonts w:asciiTheme="minorHAnsi" w:eastAsiaTheme="minorHAnsi" w:hAnsiTheme="minorHAnsi" w:cstheme="minorBidi"/>
          <w:sz w:val="22"/>
          <w:szCs w:val="22"/>
          <w:lang w:eastAsia="en-US"/>
        </w:rPr>
        <w:tab/>
        <w:t>poskytnuté dotace</w:t>
      </w:r>
    </w:p>
    <w:p w:rsidR="003E5837" w:rsidRPr="003E5837" w:rsidRDefault="003E5837" w:rsidP="003E5837">
      <w:pPr>
        <w:numPr>
          <w:ilvl w:val="0"/>
          <w:numId w:val="11"/>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Odvody za porušení rozpočtové kázně při použití téže dotace se sčítají. </w:t>
      </w:r>
    </w:p>
    <w:p w:rsidR="003E5837" w:rsidRPr="003E5837" w:rsidRDefault="003E5837" w:rsidP="003E5837">
      <w:pPr>
        <w:numPr>
          <w:ilvl w:val="0"/>
          <w:numId w:val="11"/>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 xml:space="preserve">Dnem porušení rozpočtové kázně je den, kdy byly poskytnuté peněžní prostředky neoprávněně použity, nebo den jejich připsání na účet příjemce u dotací poskytovaných zpětně. </w:t>
      </w:r>
    </w:p>
    <w:p w:rsidR="003E5837" w:rsidRPr="003E5837" w:rsidRDefault="003E5837" w:rsidP="003E5837">
      <w:pPr>
        <w:numPr>
          <w:ilvl w:val="0"/>
          <w:numId w:val="11"/>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3E5837" w:rsidRPr="003E5837" w:rsidRDefault="003E5837" w:rsidP="003E5837">
      <w:pPr>
        <w:numPr>
          <w:ilvl w:val="0"/>
          <w:numId w:val="11"/>
        </w:numPr>
        <w:suppressAutoHyphens w:val="0"/>
        <w:spacing w:after="160" w:line="240" w:lineRule="auto"/>
        <w:contextualSpacing/>
        <w:jc w:val="both"/>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Dotace či její části se považují za vrácené dnem, kdy byly připsány na účet poskytovatele.</w:t>
      </w:r>
    </w:p>
    <w:p w:rsidR="003E5837" w:rsidRPr="003E5837" w:rsidRDefault="003E5837" w:rsidP="003E5837">
      <w:pPr>
        <w:suppressAutoHyphens w:val="0"/>
        <w:spacing w:line="240" w:lineRule="auto"/>
        <w:ind w:left="360"/>
        <w:jc w:val="both"/>
        <w:rPr>
          <w:rFonts w:asciiTheme="minorHAnsi" w:eastAsiaTheme="minorHAnsi" w:hAnsiTheme="minorHAnsi" w:cstheme="minorBidi"/>
          <w:sz w:val="22"/>
          <w:szCs w:val="22"/>
          <w:lang w:eastAsia="en-US"/>
        </w:rPr>
      </w:pPr>
    </w:p>
    <w:p w:rsidR="003E5837" w:rsidRPr="003E5837" w:rsidRDefault="003E5837" w:rsidP="003E5837">
      <w:pPr>
        <w:numPr>
          <w:ilvl w:val="0"/>
          <w:numId w:val="4"/>
        </w:numPr>
        <w:pBdr>
          <w:top w:val="single" w:sz="4" w:space="1" w:color="auto"/>
          <w:left w:val="single" w:sz="4" w:space="4" w:color="auto"/>
          <w:bottom w:val="single" w:sz="4" w:space="1" w:color="auto"/>
          <w:right w:val="single" w:sz="4" w:space="4" w:color="auto"/>
        </w:pBdr>
        <w:suppressAutoHyphens w:val="0"/>
        <w:spacing w:after="160" w:line="240" w:lineRule="auto"/>
        <w:contextualSpacing/>
        <w:jc w:val="center"/>
        <w:rPr>
          <w:rFonts w:asciiTheme="minorHAnsi" w:eastAsiaTheme="minorHAnsi" w:hAnsiTheme="minorHAnsi" w:cstheme="minorBidi"/>
          <w:sz w:val="22"/>
          <w:szCs w:val="22"/>
          <w:lang w:eastAsia="en-US"/>
        </w:rPr>
      </w:pPr>
      <w:r w:rsidRPr="003E5837">
        <w:rPr>
          <w:rFonts w:asciiTheme="minorHAnsi" w:eastAsiaTheme="minorHAnsi" w:hAnsiTheme="minorHAnsi" w:cstheme="minorBidi"/>
          <w:sz w:val="22"/>
          <w:szCs w:val="22"/>
          <w:lang w:eastAsia="en-US"/>
        </w:rPr>
        <w:t>Ukončení smlouvy</w:t>
      </w:r>
    </w:p>
    <w:p w:rsidR="003E5837" w:rsidRPr="003E5837" w:rsidRDefault="003E5837" w:rsidP="003E5837">
      <w:pPr>
        <w:numPr>
          <w:ilvl w:val="0"/>
          <w:numId w:val="13"/>
        </w:numPr>
        <w:suppressAutoHyphens w:val="0"/>
        <w:spacing w:after="200" w:line="240" w:lineRule="auto"/>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Smlouvu lze ukončit na základě písemné dohody obou smluvních stran nebo písemnou výpovědí Smlouvy, a to za podmínek dále stanovených.</w:t>
      </w:r>
    </w:p>
    <w:p w:rsidR="003E5837" w:rsidRPr="003E5837" w:rsidRDefault="003E5837" w:rsidP="003E5837">
      <w:pPr>
        <w:numPr>
          <w:ilvl w:val="0"/>
          <w:numId w:val="13"/>
        </w:numPr>
        <w:suppressAutoHyphens w:val="0"/>
        <w:spacing w:after="200" w:line="240" w:lineRule="auto"/>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Poskytovatel může Smlouvu vypovědět jak před proplacením, tak i po proplacení dotace.</w:t>
      </w:r>
    </w:p>
    <w:p w:rsidR="003E5837" w:rsidRPr="003E5837" w:rsidRDefault="003E5837" w:rsidP="003E5837">
      <w:pPr>
        <w:numPr>
          <w:ilvl w:val="0"/>
          <w:numId w:val="13"/>
        </w:numPr>
        <w:suppressAutoHyphens w:val="0"/>
        <w:spacing w:after="200" w:line="240" w:lineRule="auto"/>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Výpovědními důvody dle předchozího odstavce je porušení povinností příjemcem dotace stanovených touto Smlouvou nebo obecně závaznými právními předpisy, kterého se příjemce dopustí zejména pokud:</w:t>
      </w:r>
    </w:p>
    <w:p w:rsidR="003E5837" w:rsidRPr="003E5837" w:rsidRDefault="003E5837" w:rsidP="003E5837">
      <w:pPr>
        <w:numPr>
          <w:ilvl w:val="1"/>
          <w:numId w:val="14"/>
        </w:numPr>
        <w:suppressAutoHyphens w:val="0"/>
        <w:spacing w:after="200" w:line="240" w:lineRule="auto"/>
        <w:ind w:left="1134" w:hanging="425"/>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svým jednáním poruší rozpočtovou kázeň dle zákona č. 250/2000 Sb., o rozpočtových pravidlech územních rozpočtů, v platném znění,</w:t>
      </w:r>
    </w:p>
    <w:p w:rsidR="003E5837" w:rsidRPr="003E5837" w:rsidRDefault="003E5837" w:rsidP="003E5837">
      <w:pPr>
        <w:numPr>
          <w:ilvl w:val="1"/>
          <w:numId w:val="14"/>
        </w:numPr>
        <w:suppressAutoHyphens w:val="0"/>
        <w:spacing w:after="200" w:line="240" w:lineRule="auto"/>
        <w:ind w:left="1134" w:hanging="425"/>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poruší pravidla veřejné podpory,</w:t>
      </w:r>
    </w:p>
    <w:p w:rsidR="003E5837" w:rsidRPr="003E5837" w:rsidRDefault="003E5837" w:rsidP="003E5837">
      <w:pPr>
        <w:numPr>
          <w:ilvl w:val="1"/>
          <w:numId w:val="14"/>
        </w:numPr>
        <w:suppressAutoHyphens w:val="0"/>
        <w:spacing w:after="200" w:line="240" w:lineRule="auto"/>
        <w:ind w:left="1134" w:hanging="425"/>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3E5837" w:rsidRPr="003E5837" w:rsidRDefault="003E5837" w:rsidP="003E5837">
      <w:pPr>
        <w:numPr>
          <w:ilvl w:val="1"/>
          <w:numId w:val="14"/>
        </w:numPr>
        <w:suppressAutoHyphens w:val="0"/>
        <w:spacing w:after="200" w:line="240" w:lineRule="auto"/>
        <w:ind w:left="1134" w:hanging="425"/>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bylo zahájeno insolvenční řízení podle zákona č. 182/2006 Sb., o úpadku a způsobech jeho řešení, ve znění pozdějších předpisů,</w:t>
      </w:r>
    </w:p>
    <w:p w:rsidR="003E5837" w:rsidRPr="003E5837" w:rsidRDefault="003E5837" w:rsidP="003E5837">
      <w:pPr>
        <w:numPr>
          <w:ilvl w:val="1"/>
          <w:numId w:val="14"/>
        </w:numPr>
        <w:suppressAutoHyphens w:val="0"/>
        <w:spacing w:after="200" w:line="240" w:lineRule="auto"/>
        <w:ind w:left="1134" w:hanging="425"/>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příjemce uvedl nepravdivé, neúplné nebo zkreslené údaje, na které se váže uzavření této smlouvy,</w:t>
      </w:r>
    </w:p>
    <w:p w:rsidR="003E5837" w:rsidRPr="003E5837" w:rsidRDefault="003E5837" w:rsidP="003E5837">
      <w:pPr>
        <w:numPr>
          <w:ilvl w:val="1"/>
          <w:numId w:val="14"/>
        </w:numPr>
        <w:suppressAutoHyphens w:val="0"/>
        <w:spacing w:after="200" w:line="240" w:lineRule="auto"/>
        <w:ind w:left="1134" w:hanging="425"/>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je v likvidaci,</w:t>
      </w:r>
    </w:p>
    <w:p w:rsidR="003E5837" w:rsidRPr="003E5837" w:rsidRDefault="003E5837" w:rsidP="003E5837">
      <w:pPr>
        <w:numPr>
          <w:ilvl w:val="1"/>
          <w:numId w:val="14"/>
        </w:numPr>
        <w:suppressAutoHyphens w:val="0"/>
        <w:spacing w:after="200" w:line="240" w:lineRule="auto"/>
        <w:ind w:left="1134" w:hanging="425"/>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změní právní formu a stane se tak nezpůsobilým příjemcem dotace pro danou oblast podpory,</w:t>
      </w:r>
    </w:p>
    <w:p w:rsidR="003E5837" w:rsidRPr="003E5837" w:rsidRDefault="003E5837" w:rsidP="003E5837">
      <w:pPr>
        <w:numPr>
          <w:ilvl w:val="1"/>
          <w:numId w:val="14"/>
        </w:numPr>
        <w:suppressAutoHyphens w:val="0"/>
        <w:spacing w:after="200" w:line="240" w:lineRule="auto"/>
        <w:ind w:left="1134" w:hanging="425"/>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 xml:space="preserve">opakovaně neplní povinnosti stanovené touto smlouvou, i když byl k jejich nápravě vyzván poskytovatelem. </w:t>
      </w:r>
    </w:p>
    <w:p w:rsidR="003E5837" w:rsidRPr="003E5837" w:rsidRDefault="003E5837" w:rsidP="003E5837">
      <w:pPr>
        <w:numPr>
          <w:ilvl w:val="0"/>
          <w:numId w:val="13"/>
        </w:numPr>
        <w:suppressAutoHyphens w:val="0"/>
        <w:spacing w:after="200" w:line="240" w:lineRule="auto"/>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3E5837" w:rsidRPr="003E5837" w:rsidRDefault="003E5837" w:rsidP="003E5837">
      <w:pPr>
        <w:numPr>
          <w:ilvl w:val="0"/>
          <w:numId w:val="13"/>
        </w:numPr>
        <w:suppressAutoHyphens w:val="0"/>
        <w:spacing w:after="200" w:line="240" w:lineRule="auto"/>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Výpověď smlouvy musí být učiněna písemně a musí v ní být uvedeny důvody jejího podání.</w:t>
      </w:r>
    </w:p>
    <w:p w:rsidR="003E5837" w:rsidRPr="003E5837" w:rsidRDefault="003E5837" w:rsidP="003E5837">
      <w:pPr>
        <w:numPr>
          <w:ilvl w:val="0"/>
          <w:numId w:val="13"/>
        </w:numPr>
        <w:suppressAutoHyphens w:val="0"/>
        <w:spacing w:after="200" w:line="240" w:lineRule="auto"/>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 xml:space="preserve">Výpovědní lhůta činí jeden měsíc a začne běžet od prvního dne měsíce následujícího po měsíci, v němž byla výpověď doručena příjemci dotace. Účinky výpovědi nastávají dnem uplynutí výpovědní lhůty. </w:t>
      </w:r>
    </w:p>
    <w:p w:rsidR="003E5837" w:rsidRPr="003E5837" w:rsidRDefault="003E5837" w:rsidP="003E5837">
      <w:pPr>
        <w:numPr>
          <w:ilvl w:val="0"/>
          <w:numId w:val="13"/>
        </w:numPr>
        <w:suppressAutoHyphens w:val="0"/>
        <w:spacing w:after="200" w:line="240" w:lineRule="auto"/>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3E5837" w:rsidRPr="003E5837" w:rsidRDefault="003E5837" w:rsidP="003E5837">
      <w:pPr>
        <w:numPr>
          <w:ilvl w:val="0"/>
          <w:numId w:val="13"/>
        </w:numPr>
        <w:suppressAutoHyphens w:val="0"/>
        <w:spacing w:after="200" w:line="240" w:lineRule="auto"/>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3E5837" w:rsidRPr="003E5837" w:rsidRDefault="003E5837" w:rsidP="003E5837">
      <w:pPr>
        <w:numPr>
          <w:ilvl w:val="0"/>
          <w:numId w:val="13"/>
        </w:numPr>
        <w:suppressAutoHyphens w:val="0"/>
        <w:spacing w:after="200" w:line="240" w:lineRule="auto"/>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Dohoda o ukončení smlouvy nabývá účinnosti dnem připsání vrácení peněžních prostředků na účet poskytovatele, nedohodnou-li se smluvní strany jinak.</w:t>
      </w:r>
    </w:p>
    <w:p w:rsidR="003E5837" w:rsidRPr="003E5837" w:rsidRDefault="003E5837" w:rsidP="003E5837">
      <w:pPr>
        <w:numPr>
          <w:ilvl w:val="0"/>
          <w:numId w:val="13"/>
        </w:numPr>
        <w:suppressAutoHyphens w:val="0"/>
        <w:spacing w:after="200" w:line="240" w:lineRule="auto"/>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3E5837" w:rsidRPr="003E5837" w:rsidRDefault="003E5837" w:rsidP="003E5837">
      <w:pPr>
        <w:numPr>
          <w:ilvl w:val="0"/>
          <w:numId w:val="13"/>
        </w:numPr>
        <w:suppressAutoHyphens w:val="0"/>
        <w:spacing w:after="200" w:line="240" w:lineRule="auto"/>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3E5837" w:rsidRPr="003E5837" w:rsidRDefault="003E5837" w:rsidP="003E5837">
      <w:pPr>
        <w:suppressAutoHyphens w:val="0"/>
        <w:spacing w:after="200" w:line="240" w:lineRule="auto"/>
        <w:ind w:left="720"/>
        <w:contextualSpacing/>
        <w:jc w:val="both"/>
        <w:rPr>
          <w:rFonts w:asciiTheme="minorHAnsi" w:eastAsiaTheme="minorHAnsi" w:hAnsiTheme="minorHAnsi" w:cstheme="minorHAnsi"/>
          <w:sz w:val="22"/>
          <w:szCs w:val="22"/>
          <w:lang w:eastAsia="en-US"/>
        </w:rPr>
      </w:pPr>
    </w:p>
    <w:p w:rsidR="003E5837" w:rsidRPr="003E5837" w:rsidRDefault="003E5837" w:rsidP="003E5837">
      <w:pPr>
        <w:numPr>
          <w:ilvl w:val="0"/>
          <w:numId w:val="4"/>
        </w:numPr>
        <w:pBdr>
          <w:top w:val="single" w:sz="4" w:space="1" w:color="auto"/>
          <w:left w:val="single" w:sz="4" w:space="4" w:color="auto"/>
          <w:bottom w:val="single" w:sz="4" w:space="1" w:color="auto"/>
          <w:right w:val="single" w:sz="4" w:space="4" w:color="auto"/>
        </w:pBdr>
        <w:suppressAutoHyphens w:val="0"/>
        <w:spacing w:after="160" w:line="240" w:lineRule="auto"/>
        <w:contextualSpacing/>
        <w:jc w:val="center"/>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Závěrečná ustanovení</w:t>
      </w:r>
    </w:p>
    <w:p w:rsidR="003E5837" w:rsidRPr="003E5837" w:rsidRDefault="003E5837" w:rsidP="003E5837">
      <w:pPr>
        <w:numPr>
          <w:ilvl w:val="2"/>
          <w:numId w:val="14"/>
        </w:numPr>
        <w:suppressAutoHyphens w:val="0"/>
        <w:spacing w:after="20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 xml:space="preserve">Administraci dotace dle této smlouvy zabezpečuje: Městský úřad Kroměříž, Odbor sociálních věcí a zdravotnictví, Velké náměstí 115, 767 01 Kroměříž. Uvedená adresa slouží pro doručování veškerých souvisejících písemností, které musí obsahovat číslo smlouvy a název příjemce. </w:t>
      </w:r>
    </w:p>
    <w:p w:rsidR="003E5837" w:rsidRPr="003E5837" w:rsidRDefault="003E5837" w:rsidP="003E5837">
      <w:pPr>
        <w:numPr>
          <w:ilvl w:val="2"/>
          <w:numId w:val="14"/>
        </w:numPr>
        <w:suppressAutoHyphens w:val="0"/>
        <w:spacing w:after="20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3E5837" w:rsidRPr="003E5837" w:rsidRDefault="003E5837" w:rsidP="003E5837">
      <w:pPr>
        <w:numPr>
          <w:ilvl w:val="2"/>
          <w:numId w:val="14"/>
        </w:numPr>
        <w:suppressAutoHyphens w:val="0"/>
        <w:spacing w:after="20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3E5837">
          <w:rPr>
            <w:rFonts w:asciiTheme="minorHAnsi" w:eastAsiaTheme="minorHAnsi" w:hAnsiTheme="minorHAnsi" w:cstheme="minorHAnsi"/>
            <w:color w:val="0563C1" w:themeColor="hyperlink"/>
            <w:sz w:val="22"/>
            <w:szCs w:val="22"/>
            <w:u w:val="single"/>
            <w:lang w:eastAsia="en-US"/>
          </w:rPr>
          <w:t>www.mesto-kromeriz.cz</w:t>
        </w:r>
      </w:hyperlink>
    </w:p>
    <w:p w:rsidR="003E5837" w:rsidRPr="003E5837" w:rsidRDefault="003E5837" w:rsidP="003E5837">
      <w:pPr>
        <w:numPr>
          <w:ilvl w:val="2"/>
          <w:numId w:val="14"/>
        </w:numPr>
        <w:suppressAutoHyphens w:val="0"/>
        <w:spacing w:after="20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 xml:space="preserve">Příjemce bere na vědomí, že na dotaci není právní nárok. </w:t>
      </w:r>
    </w:p>
    <w:p w:rsidR="003E5837" w:rsidRPr="003E5837" w:rsidRDefault="003E5837" w:rsidP="003E5837">
      <w:pPr>
        <w:numPr>
          <w:ilvl w:val="2"/>
          <w:numId w:val="14"/>
        </w:numPr>
        <w:suppressAutoHyphens w:val="0"/>
        <w:spacing w:after="20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Tato smlouva nabývá účinnosti dnem jejího zveřejnění v registru smluv.</w:t>
      </w:r>
    </w:p>
    <w:p w:rsidR="003E5837" w:rsidRPr="003E5837" w:rsidRDefault="003E5837" w:rsidP="003E5837">
      <w:pPr>
        <w:numPr>
          <w:ilvl w:val="2"/>
          <w:numId w:val="14"/>
        </w:numPr>
        <w:suppressAutoHyphens w:val="0"/>
        <w:spacing w:after="20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3E5837">
        <w:rPr>
          <w:rFonts w:asciiTheme="minorHAnsi" w:eastAsiaTheme="minorHAnsi" w:hAnsiTheme="minorHAnsi" w:cstheme="minorHAnsi"/>
          <w:sz w:val="22"/>
          <w:szCs w:val="22"/>
          <w:lang w:eastAsia="en-US"/>
        </w:rPr>
        <w:t>ust</w:t>
      </w:r>
      <w:proofErr w:type="spellEnd"/>
      <w:r w:rsidRPr="003E5837">
        <w:rPr>
          <w:rFonts w:asciiTheme="minorHAnsi" w:eastAsiaTheme="minorHAnsi" w:hAnsiTheme="minorHAnsi" w:cstheme="minorHAnsi"/>
          <w:sz w:val="22"/>
          <w:szCs w:val="22"/>
          <w:lang w:eastAsia="en-US"/>
        </w:rPr>
        <w:t xml:space="preserve">. § 504 občanského zákoníku a udělují svolení k jejich užití a zveřejnění bez ustanovení jakýchkoliv dalších podmínek. </w:t>
      </w:r>
    </w:p>
    <w:p w:rsidR="003E5837" w:rsidRPr="003E5837" w:rsidRDefault="003E5837" w:rsidP="003E5837">
      <w:pPr>
        <w:numPr>
          <w:ilvl w:val="2"/>
          <w:numId w:val="14"/>
        </w:numPr>
        <w:suppressAutoHyphens w:val="0"/>
        <w:spacing w:after="20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 xml:space="preserve">Podpořený předmět dotace nemá hospodářskou povahu a podpora tohoto předmětu dotace navíc neovlivňuje obchod mezi členskými státy EU.  Proto poskytnutí dotace na základě této smlouvy nezakládá veřejnou podporu ve smyslu článku 107 odst. 1 Smlouvy o fungování Evropské unie.  </w:t>
      </w:r>
    </w:p>
    <w:p w:rsidR="003E5837" w:rsidRPr="003E5837" w:rsidRDefault="003E5837" w:rsidP="003E5837">
      <w:pPr>
        <w:numPr>
          <w:ilvl w:val="2"/>
          <w:numId w:val="14"/>
        </w:numPr>
        <w:suppressAutoHyphens w:val="0"/>
        <w:spacing w:after="20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3E5837" w:rsidRPr="003E5837" w:rsidRDefault="003E5837" w:rsidP="003E5837">
      <w:pPr>
        <w:numPr>
          <w:ilvl w:val="2"/>
          <w:numId w:val="14"/>
        </w:numPr>
        <w:suppressAutoHyphens w:val="0"/>
        <w:spacing w:after="20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3E5837" w:rsidRPr="003E5837" w:rsidRDefault="003E5837" w:rsidP="003E5837">
      <w:pPr>
        <w:numPr>
          <w:ilvl w:val="2"/>
          <w:numId w:val="14"/>
        </w:numPr>
        <w:suppressAutoHyphens w:val="0"/>
        <w:spacing w:after="20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Smlouva je vyhotovena ve třech stejnopisech, z nichž poskytovatel obdrží dvě vyhotovení a příjemce jedno vyhotovení.</w:t>
      </w:r>
    </w:p>
    <w:p w:rsidR="003E5837" w:rsidRPr="003E5837" w:rsidRDefault="003E5837" w:rsidP="003E5837">
      <w:pPr>
        <w:numPr>
          <w:ilvl w:val="2"/>
          <w:numId w:val="14"/>
        </w:numPr>
        <w:suppressAutoHyphens w:val="0"/>
        <w:spacing w:after="20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Smluvní strany svými podpisy stvrzují, že smlouva byla sjednána na základě jejich pravé a svobodné vůle, nikoli v tísni za nápadně nevýhodných podmínek.</w:t>
      </w:r>
    </w:p>
    <w:p w:rsidR="003E5837" w:rsidRPr="003E5837" w:rsidRDefault="003E5837" w:rsidP="003E5837">
      <w:pPr>
        <w:numPr>
          <w:ilvl w:val="2"/>
          <w:numId w:val="14"/>
        </w:numPr>
        <w:suppressAutoHyphens w:val="0"/>
        <w:spacing w:after="160"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Nedílnou součástí této smlouvy jsou tyto přílohy:</w:t>
      </w:r>
    </w:p>
    <w:p w:rsidR="003E5837" w:rsidRPr="003E5837" w:rsidRDefault="003E5837" w:rsidP="003E5837">
      <w:pPr>
        <w:suppressAutoHyphens w:val="0"/>
        <w:spacing w:line="240" w:lineRule="auto"/>
        <w:ind w:left="709"/>
        <w:contextualSpacing/>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příloha č. 1 – Formulář vyúčtování dotace</w:t>
      </w:r>
    </w:p>
    <w:p w:rsidR="003E5837" w:rsidRPr="003E5837" w:rsidRDefault="003E5837" w:rsidP="003E5837">
      <w:pPr>
        <w:suppressAutoHyphens w:val="0"/>
        <w:spacing w:line="240" w:lineRule="auto"/>
        <w:jc w:val="both"/>
        <w:rPr>
          <w:rFonts w:ascii="Arial Narrow" w:eastAsiaTheme="minorHAnsi" w:hAnsi="Arial Narrow" w:cstheme="minorBidi"/>
          <w:sz w:val="22"/>
          <w:szCs w:val="22"/>
          <w:highlight w:val="yellow"/>
          <w:lang w:eastAsia="en-US"/>
        </w:rPr>
      </w:pPr>
    </w:p>
    <w:p w:rsidR="003E5837" w:rsidRPr="003E5837" w:rsidRDefault="003E5837" w:rsidP="003E5837">
      <w:pPr>
        <w:pBdr>
          <w:top w:val="single" w:sz="4" w:space="1" w:color="auto"/>
          <w:left w:val="single" w:sz="4" w:space="4" w:color="auto"/>
          <w:bottom w:val="single" w:sz="4" w:space="1" w:color="auto"/>
          <w:right w:val="single" w:sz="4" w:space="4" w:color="auto"/>
        </w:pBdr>
        <w:suppressAutoHyphens w:val="0"/>
        <w:spacing w:line="240" w:lineRule="auto"/>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Doložka podle § 41 obecního zřízení:</w:t>
      </w:r>
    </w:p>
    <w:p w:rsidR="003E5837" w:rsidRPr="003E5837" w:rsidRDefault="003E5837" w:rsidP="003E5837">
      <w:pPr>
        <w:pBdr>
          <w:top w:val="single" w:sz="4" w:space="1" w:color="auto"/>
          <w:left w:val="single" w:sz="4" w:space="4" w:color="auto"/>
          <w:bottom w:val="single" w:sz="4" w:space="1" w:color="auto"/>
          <w:right w:val="single" w:sz="4" w:space="4" w:color="auto"/>
        </w:pBd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pBdr>
          <w:top w:val="single" w:sz="4" w:space="1" w:color="auto"/>
          <w:left w:val="single" w:sz="4" w:space="4" w:color="auto"/>
          <w:bottom w:val="single" w:sz="4" w:space="1" w:color="auto"/>
          <w:right w:val="single" w:sz="4" w:space="4" w:color="auto"/>
        </w:pBdr>
        <w:suppressAutoHyphens w:val="0"/>
        <w:spacing w:line="240" w:lineRule="auto"/>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Schváleno k financování městem Kroměříže na 2. zasedání ZMK dne 2. 11. 2023 č. usnesení ZMK/23/7/14.</w:t>
      </w:r>
    </w:p>
    <w:p w:rsidR="003E5837" w:rsidRPr="003E5837" w:rsidRDefault="003E5837" w:rsidP="003E5837">
      <w:pPr>
        <w:suppressAutoHyphens w:val="0"/>
        <w:spacing w:line="259" w:lineRule="auto"/>
        <w:rPr>
          <w:rFonts w:asciiTheme="minorHAnsi" w:eastAsiaTheme="minorHAnsi" w:hAnsiTheme="minorHAnsi" w:cstheme="minorHAnsi"/>
          <w:sz w:val="22"/>
          <w:szCs w:val="22"/>
          <w:lang w:eastAsia="en-US"/>
        </w:rPr>
      </w:pPr>
    </w:p>
    <w:p w:rsidR="003E5837" w:rsidRPr="003E5837" w:rsidRDefault="003E5837" w:rsidP="003E5837">
      <w:pPr>
        <w:suppressAutoHyphens w:val="0"/>
        <w:spacing w:line="259" w:lineRule="auto"/>
        <w:rPr>
          <w:rFonts w:asciiTheme="minorHAnsi" w:eastAsiaTheme="minorHAnsi" w:hAnsiTheme="minorHAnsi" w:cstheme="minorHAnsi"/>
          <w:sz w:val="22"/>
          <w:szCs w:val="22"/>
          <w:lang w:eastAsia="en-US"/>
        </w:rPr>
      </w:pPr>
    </w:p>
    <w:p w:rsidR="003E5837" w:rsidRPr="003E5837" w:rsidRDefault="003E5837" w:rsidP="003E5837">
      <w:pPr>
        <w:suppressAutoHyphens w:val="0"/>
        <w:spacing w:line="259" w:lineRule="auto"/>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V</w:t>
      </w:r>
      <w:r w:rsidR="00641059">
        <w:rPr>
          <w:rFonts w:asciiTheme="minorHAnsi" w:eastAsiaTheme="minorHAnsi" w:hAnsiTheme="minorHAnsi" w:cstheme="minorHAnsi"/>
          <w:sz w:val="22"/>
          <w:szCs w:val="22"/>
          <w:lang w:eastAsia="en-US"/>
        </w:rPr>
        <w:t> </w:t>
      </w:r>
      <w:r w:rsidRPr="003E5837">
        <w:rPr>
          <w:rFonts w:asciiTheme="minorHAnsi" w:eastAsiaTheme="minorHAnsi" w:hAnsiTheme="minorHAnsi" w:cstheme="minorHAnsi"/>
          <w:sz w:val="22"/>
          <w:szCs w:val="22"/>
          <w:lang w:eastAsia="en-US"/>
        </w:rPr>
        <w:t>Kroměříži</w:t>
      </w:r>
      <w:r w:rsidR="00641059">
        <w:rPr>
          <w:rFonts w:asciiTheme="minorHAnsi" w:eastAsiaTheme="minorHAnsi" w:hAnsiTheme="minorHAnsi" w:cstheme="minorHAnsi"/>
          <w:sz w:val="22"/>
          <w:szCs w:val="22"/>
          <w:lang w:eastAsia="en-US"/>
        </w:rPr>
        <w:t xml:space="preserve"> 21. 11. 2023</w:t>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t xml:space="preserve">V </w:t>
      </w:r>
      <w:proofErr w:type="gramStart"/>
      <w:r w:rsidRPr="003E5837">
        <w:rPr>
          <w:rFonts w:asciiTheme="minorHAnsi" w:eastAsiaTheme="minorHAnsi" w:hAnsiTheme="minorHAnsi" w:cstheme="minorHAnsi"/>
          <w:sz w:val="22"/>
          <w:szCs w:val="22"/>
          <w:lang w:eastAsia="en-US"/>
        </w:rPr>
        <w:t xml:space="preserve">Kroměříži  </w:t>
      </w:r>
      <w:r w:rsidR="00641059">
        <w:rPr>
          <w:rFonts w:asciiTheme="minorHAnsi" w:eastAsiaTheme="minorHAnsi" w:hAnsiTheme="minorHAnsi" w:cstheme="minorHAnsi"/>
          <w:sz w:val="22"/>
          <w:szCs w:val="22"/>
          <w:lang w:eastAsia="en-US"/>
        </w:rPr>
        <w:t>20</w:t>
      </w:r>
      <w:proofErr w:type="gramEnd"/>
      <w:r w:rsidR="00641059">
        <w:rPr>
          <w:rFonts w:asciiTheme="minorHAnsi" w:eastAsiaTheme="minorHAnsi" w:hAnsiTheme="minorHAnsi" w:cstheme="minorHAnsi"/>
          <w:sz w:val="22"/>
          <w:szCs w:val="22"/>
          <w:lang w:eastAsia="en-US"/>
        </w:rPr>
        <w:t>. 11. 2023</w:t>
      </w:r>
    </w:p>
    <w:p w:rsidR="003E5837" w:rsidRPr="003E5837" w:rsidRDefault="003E5837" w:rsidP="003E5837">
      <w:pPr>
        <w:suppressAutoHyphens w:val="0"/>
        <w:spacing w:line="259" w:lineRule="auto"/>
        <w:rPr>
          <w:rFonts w:asciiTheme="minorHAnsi" w:eastAsiaTheme="minorHAnsi" w:hAnsiTheme="minorHAnsi" w:cstheme="minorHAnsi"/>
          <w:sz w:val="22"/>
          <w:szCs w:val="22"/>
          <w:lang w:eastAsia="en-US"/>
        </w:rPr>
      </w:pPr>
    </w:p>
    <w:p w:rsidR="003E5837" w:rsidRPr="003E5837" w:rsidRDefault="003E5837" w:rsidP="003E5837">
      <w:pPr>
        <w:suppressAutoHyphens w:val="0"/>
        <w:spacing w:after="160" w:line="259" w:lineRule="auto"/>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za poskytovatele</w:t>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t xml:space="preserve">za příjemce </w:t>
      </w:r>
    </w:p>
    <w:p w:rsidR="003E5837" w:rsidRPr="003E5837" w:rsidRDefault="003E5837" w:rsidP="003E5837">
      <w:pPr>
        <w:suppressAutoHyphens w:val="0"/>
        <w:spacing w:after="160" w:line="259" w:lineRule="auto"/>
        <w:rPr>
          <w:rFonts w:asciiTheme="minorHAnsi" w:eastAsiaTheme="minorHAnsi" w:hAnsiTheme="minorHAnsi" w:cstheme="minorHAnsi"/>
          <w:sz w:val="22"/>
          <w:szCs w:val="22"/>
          <w:lang w:eastAsia="en-US"/>
        </w:rPr>
      </w:pPr>
    </w:p>
    <w:p w:rsidR="003E5837" w:rsidRPr="003E5837" w:rsidRDefault="003E5837" w:rsidP="003E5837">
      <w:pPr>
        <w:suppressAutoHyphens w:val="0"/>
        <w:spacing w:line="259" w:lineRule="auto"/>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w:t>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t>………………………………</w:t>
      </w:r>
    </w:p>
    <w:p w:rsidR="003E5837" w:rsidRPr="003E5837" w:rsidRDefault="003E5837" w:rsidP="003E5837">
      <w:pPr>
        <w:suppressAutoHyphens w:val="0"/>
        <w:spacing w:line="259" w:lineRule="auto"/>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t>Mgr. Tomáš Opatrný</w:t>
      </w:r>
      <w:r w:rsidR="00641059">
        <w:rPr>
          <w:rFonts w:asciiTheme="minorHAnsi" w:eastAsiaTheme="minorHAnsi" w:hAnsiTheme="minorHAnsi" w:cstheme="minorHAnsi"/>
          <w:sz w:val="22"/>
          <w:szCs w:val="22"/>
          <w:lang w:eastAsia="en-US"/>
        </w:rPr>
        <w:t>, v. r.</w:t>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002507E4">
        <w:t xml:space="preserve">Mgr. Helena </w:t>
      </w:r>
      <w:proofErr w:type="spellStart"/>
      <w:r w:rsidR="002507E4">
        <w:t>Schwarczová</w:t>
      </w:r>
      <w:proofErr w:type="spellEnd"/>
      <w:r w:rsidRPr="003E5837">
        <w:rPr>
          <w:rFonts w:eastAsiaTheme="minorHAnsi" w:cs="Arial"/>
          <w:lang w:eastAsia="en-US"/>
        </w:rPr>
        <w:t>, MBA</w:t>
      </w:r>
      <w:r w:rsidR="00641059">
        <w:rPr>
          <w:rFonts w:eastAsiaTheme="minorHAnsi" w:cs="Arial"/>
          <w:lang w:eastAsia="en-US"/>
        </w:rPr>
        <w:t>, v. r.</w:t>
      </w:r>
      <w:bookmarkStart w:id="0" w:name="_GoBack"/>
      <w:bookmarkEnd w:id="0"/>
      <w:r w:rsidRPr="003E5837">
        <w:rPr>
          <w:rFonts w:asciiTheme="minorHAnsi" w:eastAsiaTheme="minorHAnsi" w:hAnsiTheme="minorHAnsi" w:cstheme="minorHAnsi"/>
          <w:sz w:val="22"/>
          <w:szCs w:val="22"/>
          <w:lang w:eastAsia="en-US"/>
        </w:rPr>
        <w:tab/>
        <w:t xml:space="preserve"> starosta </w:t>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t>ředitelka</w:t>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t xml:space="preserve"> </w:t>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r w:rsidRPr="003E5837">
        <w:rPr>
          <w:rFonts w:asciiTheme="minorHAnsi" w:eastAsiaTheme="minorHAnsi" w:hAnsiTheme="minorHAnsi" w:cstheme="minorHAnsi"/>
          <w:sz w:val="22"/>
          <w:szCs w:val="22"/>
          <w:lang w:eastAsia="en-US"/>
        </w:rPr>
        <w:tab/>
      </w: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r w:rsidRPr="003E5837">
        <w:rPr>
          <w:rFonts w:asciiTheme="minorHAnsi" w:eastAsiaTheme="minorHAnsi" w:hAnsiTheme="minorHAnsi" w:cstheme="minorHAnsi"/>
          <w:sz w:val="22"/>
          <w:szCs w:val="22"/>
          <w:lang w:eastAsia="en-US"/>
        </w:rPr>
        <w:br/>
      </w: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imes New Roman" w:hAnsi="Times New Roman"/>
          <w:sz w:val="24"/>
          <w:szCs w:val="24"/>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3E5837" w:rsidRPr="003E5837" w:rsidTr="006277B9">
        <w:trPr>
          <w:trHeight w:val="750"/>
        </w:trPr>
        <w:tc>
          <w:tcPr>
            <w:tcW w:w="9040" w:type="dxa"/>
            <w:gridSpan w:val="4"/>
            <w:tcBorders>
              <w:top w:val="single" w:sz="12" w:space="0" w:color="000000"/>
              <w:left w:val="single" w:sz="12" w:space="0" w:color="000000"/>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cs="Arial"/>
                <w:b/>
                <w:bCs/>
                <w:i/>
                <w:iCs/>
                <w:sz w:val="24"/>
                <w:szCs w:val="24"/>
                <w:lang w:eastAsia="cs-CZ"/>
              </w:rPr>
            </w:pPr>
            <w:r w:rsidRPr="003E5837">
              <w:rPr>
                <w:rFonts w:cs="Arial"/>
                <w:b/>
                <w:bCs/>
                <w:i/>
                <w:iCs/>
                <w:sz w:val="24"/>
                <w:szCs w:val="24"/>
                <w:lang w:eastAsia="cs-CZ"/>
              </w:rPr>
              <w:t>A3 - Program pro poskytování finanční podpory z rozpočtu města Kroměříže k zajištění financování mobilní paliativní péče na území města Kroměříže</w:t>
            </w:r>
          </w:p>
        </w:tc>
      </w:tr>
      <w:tr w:rsidR="003E5837" w:rsidRPr="003E5837" w:rsidTr="006277B9">
        <w:trPr>
          <w:trHeight w:val="375"/>
        </w:trPr>
        <w:tc>
          <w:tcPr>
            <w:tcW w:w="9040" w:type="dxa"/>
            <w:gridSpan w:val="4"/>
            <w:tcBorders>
              <w:top w:val="single" w:sz="4" w:space="0" w:color="auto"/>
              <w:left w:val="single" w:sz="12" w:space="0" w:color="000000"/>
              <w:bottom w:val="single" w:sz="4" w:space="0" w:color="auto"/>
              <w:right w:val="single" w:sz="12" w:space="0" w:color="000000"/>
            </w:tcBorders>
            <w:vAlign w:val="center"/>
            <w:hideMark/>
          </w:tcPr>
          <w:p w:rsidR="003E5837" w:rsidRPr="003E5837" w:rsidRDefault="003E5837" w:rsidP="003E5837">
            <w:pPr>
              <w:suppressAutoHyphens w:val="0"/>
              <w:spacing w:line="240" w:lineRule="auto"/>
              <w:jc w:val="center"/>
              <w:rPr>
                <w:rFonts w:cs="Arial"/>
                <w:b/>
                <w:bCs/>
                <w:i/>
                <w:iCs/>
                <w:sz w:val="24"/>
                <w:szCs w:val="24"/>
                <w:lang w:eastAsia="cs-CZ"/>
              </w:rPr>
            </w:pPr>
            <w:r w:rsidRPr="003E5837">
              <w:rPr>
                <w:rFonts w:cs="Arial"/>
                <w:b/>
                <w:bCs/>
                <w:i/>
                <w:iCs/>
                <w:sz w:val="24"/>
                <w:szCs w:val="24"/>
                <w:lang w:eastAsia="cs-CZ"/>
              </w:rPr>
              <w:t>VYÚČTOVÁNÍ DOTACE PALIATIVNÍ SLUŽBY</w:t>
            </w:r>
          </w:p>
        </w:tc>
      </w:tr>
      <w:tr w:rsidR="003E5837" w:rsidRPr="003E5837" w:rsidTr="006277B9">
        <w:trPr>
          <w:trHeight w:val="330"/>
        </w:trPr>
        <w:tc>
          <w:tcPr>
            <w:tcW w:w="9040" w:type="dxa"/>
            <w:gridSpan w:val="4"/>
            <w:tcBorders>
              <w:top w:val="single" w:sz="4" w:space="0" w:color="auto"/>
              <w:left w:val="single" w:sz="12" w:space="0" w:color="000000"/>
              <w:bottom w:val="single" w:sz="4" w:space="0" w:color="auto"/>
              <w:right w:val="single" w:sz="12" w:space="0" w:color="000000"/>
            </w:tcBorders>
            <w:vAlign w:val="center"/>
            <w:hideMark/>
          </w:tcPr>
          <w:p w:rsidR="003E5837" w:rsidRPr="003E5837" w:rsidRDefault="003E5837" w:rsidP="003E5837">
            <w:pPr>
              <w:suppressAutoHyphens w:val="0"/>
              <w:spacing w:line="240" w:lineRule="auto"/>
              <w:rPr>
                <w:rFonts w:cs="Arial"/>
                <w:b/>
                <w:bCs/>
                <w:i/>
                <w:iCs/>
                <w:sz w:val="22"/>
                <w:szCs w:val="22"/>
                <w:lang w:eastAsia="cs-CZ"/>
              </w:rPr>
            </w:pPr>
            <w:r w:rsidRPr="003E5837">
              <w:rPr>
                <w:rFonts w:cs="Arial"/>
                <w:b/>
                <w:bCs/>
                <w:i/>
                <w:iCs/>
                <w:sz w:val="22"/>
                <w:szCs w:val="22"/>
                <w:lang w:eastAsia="cs-CZ"/>
              </w:rPr>
              <w:t>Název organizace:</w:t>
            </w:r>
          </w:p>
        </w:tc>
      </w:tr>
      <w:tr w:rsidR="003E5837" w:rsidRPr="003E5837" w:rsidTr="006277B9">
        <w:trPr>
          <w:trHeight w:val="315"/>
        </w:trPr>
        <w:tc>
          <w:tcPr>
            <w:tcW w:w="9040" w:type="dxa"/>
            <w:gridSpan w:val="4"/>
            <w:tcBorders>
              <w:top w:val="single" w:sz="4" w:space="0" w:color="auto"/>
              <w:left w:val="single" w:sz="12" w:space="0" w:color="000000"/>
              <w:bottom w:val="single" w:sz="12" w:space="0" w:color="000000"/>
              <w:right w:val="single" w:sz="12" w:space="0" w:color="000000"/>
            </w:tcBorders>
            <w:vAlign w:val="center"/>
            <w:hideMark/>
          </w:tcPr>
          <w:p w:rsidR="003E5837" w:rsidRPr="003E5837" w:rsidRDefault="003E5837" w:rsidP="003E5837">
            <w:pPr>
              <w:suppressAutoHyphens w:val="0"/>
              <w:spacing w:line="240" w:lineRule="auto"/>
              <w:rPr>
                <w:rFonts w:cs="Arial"/>
                <w:b/>
                <w:bCs/>
                <w:i/>
                <w:iCs/>
                <w:sz w:val="22"/>
                <w:szCs w:val="22"/>
                <w:lang w:eastAsia="cs-CZ"/>
              </w:rPr>
            </w:pPr>
            <w:r w:rsidRPr="003E5837">
              <w:rPr>
                <w:rFonts w:cs="Arial"/>
                <w:b/>
                <w:bCs/>
                <w:i/>
                <w:iCs/>
                <w:sz w:val="22"/>
                <w:szCs w:val="22"/>
                <w:lang w:eastAsia="cs-CZ"/>
              </w:rPr>
              <w:t>Název paliativní služby:</w:t>
            </w:r>
          </w:p>
        </w:tc>
      </w:tr>
      <w:tr w:rsidR="003E5837" w:rsidRPr="003E5837" w:rsidTr="006277B9">
        <w:trPr>
          <w:trHeight w:val="315"/>
        </w:trPr>
        <w:tc>
          <w:tcPr>
            <w:tcW w:w="9040" w:type="dxa"/>
            <w:gridSpan w:val="4"/>
            <w:tcBorders>
              <w:top w:val="single" w:sz="12" w:space="0" w:color="000000"/>
              <w:left w:val="single" w:sz="12" w:space="0" w:color="000000"/>
              <w:bottom w:val="single" w:sz="12" w:space="0" w:color="000000"/>
              <w:right w:val="single" w:sz="12" w:space="0" w:color="000000"/>
            </w:tcBorders>
            <w:vAlign w:val="center"/>
            <w:hideMark/>
          </w:tcPr>
          <w:p w:rsidR="003E5837" w:rsidRPr="003E5837" w:rsidRDefault="003E5837" w:rsidP="003E5837">
            <w:pPr>
              <w:suppressAutoHyphens w:val="0"/>
              <w:spacing w:line="240" w:lineRule="auto"/>
              <w:rPr>
                <w:rFonts w:cs="Arial"/>
                <w:b/>
                <w:bCs/>
                <w:i/>
                <w:iCs/>
                <w:sz w:val="22"/>
                <w:szCs w:val="22"/>
                <w:lang w:eastAsia="cs-CZ"/>
              </w:rPr>
            </w:pPr>
          </w:p>
        </w:tc>
      </w:tr>
      <w:tr w:rsidR="003E5837" w:rsidRPr="003E5837" w:rsidTr="006277B9">
        <w:trPr>
          <w:trHeight w:val="330"/>
        </w:trPr>
        <w:tc>
          <w:tcPr>
            <w:tcW w:w="9040" w:type="dxa"/>
            <w:gridSpan w:val="4"/>
            <w:tcBorders>
              <w:top w:val="single" w:sz="12" w:space="0" w:color="000000"/>
              <w:left w:val="single" w:sz="12" w:space="0" w:color="000000"/>
              <w:bottom w:val="single" w:sz="4" w:space="0" w:color="auto"/>
              <w:right w:val="single" w:sz="12" w:space="0" w:color="000000"/>
            </w:tcBorders>
            <w:vAlign w:val="center"/>
            <w:hideMark/>
          </w:tcPr>
          <w:p w:rsidR="003E5837" w:rsidRPr="003E5837" w:rsidRDefault="003E5837" w:rsidP="003E5837">
            <w:pPr>
              <w:suppressAutoHyphens w:val="0"/>
              <w:spacing w:line="240" w:lineRule="auto"/>
              <w:rPr>
                <w:rFonts w:cs="Arial"/>
                <w:b/>
                <w:bCs/>
                <w:i/>
                <w:iCs/>
                <w:sz w:val="22"/>
                <w:szCs w:val="22"/>
                <w:lang w:eastAsia="cs-CZ"/>
              </w:rPr>
            </w:pPr>
            <w:r w:rsidRPr="003E5837">
              <w:rPr>
                <w:rFonts w:cs="Arial"/>
                <w:b/>
                <w:bCs/>
                <w:i/>
                <w:iCs/>
                <w:sz w:val="22"/>
                <w:szCs w:val="22"/>
                <w:lang w:eastAsia="cs-CZ"/>
              </w:rPr>
              <w:t>Číslo smlouvy:</w:t>
            </w:r>
          </w:p>
        </w:tc>
      </w:tr>
      <w:tr w:rsidR="003E5837" w:rsidRPr="003E5837" w:rsidTr="006277B9">
        <w:trPr>
          <w:trHeight w:val="585"/>
        </w:trPr>
        <w:tc>
          <w:tcPr>
            <w:tcW w:w="2889" w:type="dxa"/>
            <w:tcBorders>
              <w:top w:val="single" w:sz="4" w:space="0" w:color="auto"/>
              <w:left w:val="single" w:sz="12" w:space="0" w:color="000000"/>
              <w:bottom w:val="single" w:sz="4" w:space="0" w:color="auto"/>
              <w:right w:val="single" w:sz="4" w:space="0" w:color="auto"/>
            </w:tcBorders>
            <w:noWrap/>
            <w:vAlign w:val="center"/>
            <w:hideMark/>
          </w:tcPr>
          <w:p w:rsidR="003E5837" w:rsidRPr="003E5837" w:rsidRDefault="003E5837" w:rsidP="003E5837">
            <w:pPr>
              <w:suppressAutoHyphens w:val="0"/>
              <w:spacing w:line="240" w:lineRule="auto"/>
              <w:jc w:val="center"/>
              <w:rPr>
                <w:rFonts w:cs="Arial"/>
                <w:b/>
                <w:bCs/>
                <w:i/>
                <w:iCs/>
                <w:lang w:eastAsia="cs-CZ"/>
              </w:rPr>
            </w:pPr>
            <w:r w:rsidRPr="003E5837">
              <w:rPr>
                <w:rFonts w:cs="Arial"/>
                <w:b/>
                <w:bCs/>
                <w:i/>
                <w:iCs/>
                <w:lang w:eastAsia="cs-CZ"/>
              </w:rPr>
              <w:t>Nákladová položka</w:t>
            </w:r>
          </w:p>
        </w:tc>
        <w:tc>
          <w:tcPr>
            <w:tcW w:w="3643" w:type="dxa"/>
            <w:tcBorders>
              <w:top w:val="single" w:sz="4" w:space="0" w:color="auto"/>
              <w:left w:val="single" w:sz="4" w:space="0" w:color="auto"/>
              <w:bottom w:val="single" w:sz="4" w:space="0" w:color="auto"/>
              <w:right w:val="single" w:sz="4" w:space="0" w:color="auto"/>
            </w:tcBorders>
            <w:vAlign w:val="center"/>
            <w:hideMark/>
          </w:tcPr>
          <w:p w:rsidR="003E5837" w:rsidRPr="003E5837" w:rsidRDefault="003E5837" w:rsidP="003E5837">
            <w:pPr>
              <w:suppressAutoHyphens w:val="0"/>
              <w:spacing w:line="240" w:lineRule="auto"/>
              <w:jc w:val="center"/>
              <w:rPr>
                <w:rFonts w:cs="Arial"/>
                <w:b/>
                <w:bCs/>
                <w:i/>
                <w:iCs/>
                <w:lang w:eastAsia="cs-CZ"/>
              </w:rPr>
            </w:pPr>
            <w:r w:rsidRPr="003E5837">
              <w:rPr>
                <w:rFonts w:cs="Arial"/>
                <w:b/>
                <w:bCs/>
                <w:i/>
                <w:iCs/>
                <w:lang w:eastAsia="cs-CZ"/>
              </w:rPr>
              <w:t>Skutečné náklady na službu</w:t>
            </w:r>
          </w:p>
        </w:tc>
        <w:tc>
          <w:tcPr>
            <w:tcW w:w="2508" w:type="dxa"/>
            <w:gridSpan w:val="2"/>
            <w:tcBorders>
              <w:top w:val="single" w:sz="4" w:space="0" w:color="auto"/>
              <w:left w:val="single" w:sz="4" w:space="0" w:color="auto"/>
              <w:bottom w:val="single" w:sz="4" w:space="0" w:color="auto"/>
              <w:right w:val="single" w:sz="12" w:space="0" w:color="000000"/>
            </w:tcBorders>
            <w:vAlign w:val="center"/>
            <w:hideMark/>
          </w:tcPr>
          <w:p w:rsidR="003E5837" w:rsidRPr="003E5837" w:rsidRDefault="003E5837" w:rsidP="003E5837">
            <w:pPr>
              <w:suppressAutoHyphens w:val="0"/>
              <w:spacing w:line="240" w:lineRule="auto"/>
              <w:jc w:val="center"/>
              <w:rPr>
                <w:rFonts w:cs="Arial"/>
                <w:b/>
                <w:bCs/>
                <w:i/>
                <w:iCs/>
                <w:lang w:eastAsia="cs-CZ"/>
              </w:rPr>
            </w:pPr>
            <w:r w:rsidRPr="003E5837">
              <w:rPr>
                <w:rFonts w:cs="Arial"/>
                <w:b/>
                <w:bCs/>
                <w:i/>
                <w:iCs/>
                <w:lang w:eastAsia="cs-CZ"/>
              </w:rPr>
              <w:t>Finanční podpora na službu od města Kroměříže</w:t>
            </w: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b/>
                <w:bCs/>
                <w:i/>
                <w:iCs/>
                <w:sz w:val="22"/>
                <w:szCs w:val="22"/>
                <w:lang w:eastAsia="cs-CZ"/>
              </w:rPr>
            </w:pPr>
            <w:r w:rsidRPr="003E5837">
              <w:rPr>
                <w:rFonts w:cs="Arial"/>
                <w:b/>
                <w:bCs/>
                <w:i/>
                <w:iCs/>
                <w:sz w:val="22"/>
                <w:szCs w:val="22"/>
                <w:lang w:eastAsia="cs-CZ"/>
              </w:rPr>
              <w:t>1. Provozní náklady</w:t>
            </w:r>
          </w:p>
        </w:tc>
        <w:tc>
          <w:tcPr>
            <w:tcW w:w="3643" w:type="dxa"/>
            <w:tcBorders>
              <w:top w:val="single" w:sz="4" w:space="0" w:color="auto"/>
              <w:left w:val="single" w:sz="4" w:space="0" w:color="auto"/>
              <w:bottom w:val="single" w:sz="4" w:space="0" w:color="auto"/>
              <w:right w:val="single" w:sz="4" w:space="0" w:color="auto"/>
            </w:tcBorders>
            <w:vAlign w:val="bottom"/>
          </w:tcPr>
          <w:p w:rsidR="003E5837" w:rsidRPr="003E5837" w:rsidRDefault="003E5837" w:rsidP="003E5837">
            <w:pPr>
              <w:suppressAutoHyphens w:val="0"/>
              <w:spacing w:line="240" w:lineRule="auto"/>
              <w:jc w:val="center"/>
              <w:rPr>
                <w:rFonts w:cs="Arial"/>
                <w:b/>
                <w:bCs/>
                <w:i/>
                <w:iCs/>
                <w:sz w:val="22"/>
                <w:szCs w:val="22"/>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cs="Arial"/>
                <w:b/>
                <w:bCs/>
                <w:i/>
                <w:iCs/>
                <w:sz w:val="22"/>
                <w:szCs w:val="22"/>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b/>
                <w:bCs/>
                <w:i/>
                <w:iCs/>
                <w:sz w:val="18"/>
                <w:szCs w:val="18"/>
                <w:lang w:eastAsia="cs-CZ"/>
              </w:rPr>
            </w:pPr>
            <w:r w:rsidRPr="003E5837">
              <w:rPr>
                <w:rFonts w:cs="Arial"/>
                <w:b/>
                <w:bCs/>
                <w:i/>
                <w:iCs/>
                <w:lang w:eastAsia="cs-CZ"/>
              </w:rPr>
              <w:t>1.1. Materiálové náklady</w:t>
            </w:r>
            <w:r w:rsidRPr="003E5837">
              <w:rPr>
                <w:rFonts w:cs="Arial"/>
                <w:b/>
                <w:bCs/>
                <w:i/>
                <w:iCs/>
                <w:sz w:val="18"/>
                <w:szCs w:val="18"/>
                <w:lang w:eastAsia="cs-CZ"/>
              </w:rPr>
              <w:t xml:space="preserve">  </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jc w:val="center"/>
              <w:rPr>
                <w:rFonts w:cs="Arial"/>
                <w:b/>
                <w:bCs/>
                <w:i/>
                <w:iCs/>
                <w:sz w:val="22"/>
                <w:szCs w:val="22"/>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cs="Arial"/>
                <w:b/>
                <w:bCs/>
                <w:i/>
                <w:iCs/>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kancelářské potřeby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pohonné hmoty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sz w:val="16"/>
                <w:szCs w:val="16"/>
                <w:lang w:eastAsia="cs-CZ"/>
              </w:rPr>
            </w:pPr>
            <w:r w:rsidRPr="003E5837">
              <w:rPr>
                <w:rFonts w:cs="Arial"/>
                <w:sz w:val="16"/>
                <w:szCs w:val="16"/>
                <w:lang w:eastAsia="cs-CZ"/>
              </w:rPr>
              <w:t>zdravotnický materiál</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sz w:val="16"/>
                <w:szCs w:val="16"/>
                <w:lang w:eastAsia="cs-CZ"/>
              </w:rPr>
            </w:pPr>
            <w:r w:rsidRPr="003E5837">
              <w:rPr>
                <w:rFonts w:cs="Arial"/>
                <w:sz w:val="16"/>
                <w:szCs w:val="16"/>
                <w:lang w:eastAsia="cs-CZ"/>
              </w:rPr>
              <w:t>potraviny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465"/>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color w:val="000000"/>
                <w:sz w:val="16"/>
                <w:szCs w:val="16"/>
                <w:lang w:eastAsia="cs-CZ"/>
              </w:rPr>
            </w:pPr>
            <w:r w:rsidRPr="003E5837">
              <w:rPr>
                <w:rFonts w:cs="Arial"/>
                <w:color w:val="000000"/>
                <w:sz w:val="16"/>
                <w:szCs w:val="16"/>
                <w:lang w:eastAsia="cs-CZ"/>
              </w:rPr>
              <w:t>drobný dlouhodobý hmotný majetek (do 40 tis. Kč)</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color w:val="000000"/>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465"/>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drobný dlouhodobý nehmotný majetek (do 60 tis. Kč)</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sz w:val="16"/>
                <w:szCs w:val="16"/>
                <w:lang w:eastAsia="cs-CZ"/>
              </w:rPr>
            </w:pPr>
            <w:r w:rsidRPr="003E5837">
              <w:rPr>
                <w:rFonts w:cs="Arial"/>
                <w:sz w:val="16"/>
                <w:szCs w:val="16"/>
                <w:lang w:eastAsia="cs-CZ"/>
              </w:rPr>
              <w:t>ochranné a pracovní pomůcky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sz w:val="16"/>
                <w:szCs w:val="16"/>
                <w:lang w:eastAsia="cs-CZ"/>
              </w:rPr>
            </w:pPr>
            <w:r w:rsidRPr="003E5837">
              <w:rPr>
                <w:rFonts w:cs="Arial"/>
                <w:sz w:val="16"/>
                <w:szCs w:val="16"/>
                <w:lang w:eastAsia="cs-CZ"/>
              </w:rPr>
              <w:t>ostatní materiál</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b/>
                <w:bCs/>
                <w:i/>
                <w:iCs/>
                <w:lang w:eastAsia="cs-CZ"/>
              </w:rPr>
            </w:pPr>
            <w:proofErr w:type="gramStart"/>
            <w:r w:rsidRPr="003E5837">
              <w:rPr>
                <w:rFonts w:cs="Arial"/>
                <w:b/>
                <w:bCs/>
                <w:i/>
                <w:iCs/>
                <w:lang w:eastAsia="cs-CZ"/>
              </w:rPr>
              <w:t>1.2.Energie</w:t>
            </w:r>
            <w:proofErr w:type="gramEnd"/>
            <w:r w:rsidRPr="003E5837">
              <w:rPr>
                <w:rFonts w:cs="Arial"/>
                <w:b/>
                <w:bCs/>
                <w:i/>
                <w:iCs/>
                <w:lang w:eastAsia="cs-CZ"/>
              </w:rPr>
              <w:t xml:space="preserve">  </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jc w:val="center"/>
              <w:rPr>
                <w:rFonts w:cs="Arial"/>
                <w:b/>
                <w:bCs/>
                <w:i/>
                <w:iCs/>
                <w:sz w:val="22"/>
                <w:szCs w:val="22"/>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cs="Arial"/>
                <w:b/>
                <w:bCs/>
                <w:i/>
                <w:iCs/>
                <w:sz w:val="22"/>
                <w:szCs w:val="22"/>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 xml:space="preserve">spotřeba elektrické energie </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 xml:space="preserve">spotřeba vody </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spotřeba plynu</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spotřeba tepla</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285"/>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ostatní energie</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b/>
                <w:bCs/>
                <w:i/>
                <w:iCs/>
                <w:lang w:eastAsia="cs-CZ"/>
              </w:rPr>
            </w:pPr>
            <w:proofErr w:type="gramStart"/>
            <w:r w:rsidRPr="003E5837">
              <w:rPr>
                <w:rFonts w:cs="Arial"/>
                <w:b/>
                <w:bCs/>
                <w:i/>
                <w:iCs/>
                <w:lang w:eastAsia="cs-CZ"/>
              </w:rPr>
              <w:t>1.3.Opravy</w:t>
            </w:r>
            <w:proofErr w:type="gramEnd"/>
            <w:r w:rsidRPr="003E5837">
              <w:rPr>
                <w:rFonts w:cs="Arial"/>
                <w:b/>
                <w:bCs/>
                <w:i/>
                <w:iCs/>
                <w:lang w:eastAsia="cs-CZ"/>
              </w:rPr>
              <w:t xml:space="preserve"> a udržování</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jc w:val="center"/>
              <w:rPr>
                <w:rFonts w:cs="Arial"/>
                <w:b/>
                <w:bCs/>
                <w:i/>
                <w:iCs/>
                <w:sz w:val="22"/>
                <w:szCs w:val="22"/>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cs="Arial"/>
                <w:b/>
                <w:bCs/>
                <w:i/>
                <w:iCs/>
                <w:sz w:val="22"/>
                <w:szCs w:val="22"/>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 xml:space="preserve">opravy a udržování movitého majetku </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opravy a udržování nemovitého majetku</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sz w:val="16"/>
                <w:szCs w:val="16"/>
                <w:lang w:eastAsia="cs-CZ"/>
              </w:rPr>
            </w:pPr>
            <w:r w:rsidRPr="003E5837">
              <w:rPr>
                <w:rFonts w:cs="Arial"/>
                <w:sz w:val="16"/>
                <w:szCs w:val="16"/>
                <w:lang w:eastAsia="cs-CZ"/>
              </w:rPr>
              <w:t>opravy ostatní</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b/>
                <w:bCs/>
                <w:i/>
                <w:iCs/>
                <w:lang w:eastAsia="cs-CZ"/>
              </w:rPr>
            </w:pPr>
            <w:r w:rsidRPr="003E5837">
              <w:rPr>
                <w:rFonts w:cs="Arial"/>
                <w:b/>
                <w:bCs/>
                <w:i/>
                <w:iCs/>
                <w:lang w:eastAsia="cs-CZ"/>
              </w:rPr>
              <w:t>1.4. Cestovné včetně stravného</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b/>
                <w:bCs/>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b/>
                <w:bCs/>
                <w:i/>
                <w:iCs/>
                <w:lang w:eastAsia="cs-CZ"/>
              </w:rPr>
            </w:pPr>
            <w:r w:rsidRPr="003E5837">
              <w:rPr>
                <w:rFonts w:cs="Arial"/>
                <w:b/>
                <w:bCs/>
                <w:i/>
                <w:iCs/>
                <w:lang w:eastAsia="cs-CZ"/>
              </w:rPr>
              <w:t>1.5. Služby</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jc w:val="center"/>
              <w:rPr>
                <w:rFonts w:cs="Arial"/>
                <w:b/>
                <w:bCs/>
                <w:i/>
                <w:iCs/>
                <w:sz w:val="22"/>
                <w:szCs w:val="22"/>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cs="Arial"/>
                <w:b/>
                <w:bCs/>
                <w:i/>
                <w:iCs/>
                <w:sz w:val="22"/>
                <w:szCs w:val="22"/>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color w:val="000000"/>
                <w:sz w:val="16"/>
                <w:szCs w:val="16"/>
                <w:lang w:eastAsia="cs-CZ"/>
              </w:rPr>
            </w:pPr>
            <w:r w:rsidRPr="003E5837">
              <w:rPr>
                <w:rFonts w:cs="Arial"/>
                <w:color w:val="000000"/>
                <w:sz w:val="16"/>
                <w:szCs w:val="16"/>
                <w:lang w:eastAsia="cs-CZ"/>
              </w:rPr>
              <w:t xml:space="preserve">právní a ekonomické služby </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color w:val="000000"/>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 xml:space="preserve">nájemné nemovitého majetku </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465"/>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nájemné movitého majetku (vč. operativního leasingu)</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465"/>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 xml:space="preserve">telefony, internet, poštovné, ostatní spoje </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585"/>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finanční leasing</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vzdělávání zaměstnanců</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57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pojištění majetku, odpovědnosti za škodu</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585"/>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sz w:val="16"/>
                <w:szCs w:val="16"/>
                <w:lang w:eastAsia="cs-CZ"/>
              </w:rPr>
            </w:pPr>
            <w:r w:rsidRPr="003E5837">
              <w:rPr>
                <w:rFonts w:cs="Arial"/>
                <w:i/>
                <w:iCs/>
                <w:sz w:val="16"/>
                <w:szCs w:val="16"/>
                <w:lang w:eastAsia="cs-CZ"/>
              </w:rPr>
              <w:t>ostatní služby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12" w:space="0" w:color="000000"/>
              <w:right w:val="single" w:sz="4" w:space="0" w:color="auto"/>
            </w:tcBorders>
            <w:vAlign w:val="bottom"/>
            <w:hideMark/>
          </w:tcPr>
          <w:p w:rsidR="003E5837" w:rsidRPr="003E5837" w:rsidRDefault="003E5837" w:rsidP="003E5837">
            <w:pPr>
              <w:suppressAutoHyphens w:val="0"/>
              <w:spacing w:line="240" w:lineRule="auto"/>
              <w:rPr>
                <w:rFonts w:cs="Arial"/>
                <w:b/>
                <w:bCs/>
                <w:i/>
                <w:iCs/>
                <w:lang w:eastAsia="cs-CZ"/>
              </w:rPr>
            </w:pPr>
            <w:r w:rsidRPr="003E5837">
              <w:rPr>
                <w:rFonts w:cs="Arial"/>
                <w:b/>
                <w:bCs/>
                <w:i/>
                <w:iCs/>
                <w:lang w:eastAsia="cs-CZ"/>
              </w:rPr>
              <w:t>1.6. Odpisy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3E5837" w:rsidRPr="003E5837" w:rsidRDefault="003E5837" w:rsidP="003E5837">
            <w:pPr>
              <w:suppressAutoHyphens w:val="0"/>
              <w:spacing w:line="240" w:lineRule="auto"/>
              <w:rPr>
                <w:rFonts w:cs="Arial"/>
                <w:b/>
                <w:bCs/>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12" w:space="0" w:color="000000"/>
              <w:left w:val="single" w:sz="12" w:space="0" w:color="000000"/>
              <w:bottom w:val="single" w:sz="12" w:space="0" w:color="000000"/>
              <w:right w:val="single" w:sz="12" w:space="0" w:color="000000"/>
            </w:tcBorders>
            <w:vAlign w:val="bottom"/>
            <w:hideMark/>
          </w:tcPr>
          <w:p w:rsidR="003E5837" w:rsidRPr="003E5837" w:rsidRDefault="003E5837" w:rsidP="003E5837">
            <w:pPr>
              <w:suppressAutoHyphens w:val="0"/>
              <w:spacing w:line="240" w:lineRule="auto"/>
              <w:rPr>
                <w:rFonts w:cs="Arial"/>
                <w:b/>
                <w:bCs/>
                <w:i/>
                <w:iCs/>
                <w:sz w:val="22"/>
                <w:szCs w:val="22"/>
                <w:lang w:eastAsia="cs-CZ"/>
              </w:rPr>
            </w:pPr>
            <w:r w:rsidRPr="003E5837">
              <w:rPr>
                <w:rFonts w:cs="Arial"/>
                <w:b/>
                <w:bCs/>
                <w:i/>
                <w:iCs/>
                <w:sz w:val="22"/>
                <w:szCs w:val="22"/>
                <w:lang w:eastAsia="cs-CZ"/>
              </w:rPr>
              <w:t>2. Osobní náklady</w:t>
            </w:r>
          </w:p>
        </w:tc>
        <w:tc>
          <w:tcPr>
            <w:tcW w:w="3643" w:type="dxa"/>
            <w:tcBorders>
              <w:top w:val="single" w:sz="4" w:space="0" w:color="auto"/>
              <w:left w:val="single" w:sz="12" w:space="0" w:color="000000"/>
              <w:bottom w:val="single" w:sz="4" w:space="0" w:color="auto"/>
              <w:right w:val="single" w:sz="4" w:space="0" w:color="auto"/>
            </w:tcBorders>
            <w:noWrap/>
            <w:vAlign w:val="bottom"/>
          </w:tcPr>
          <w:p w:rsidR="003E5837" w:rsidRPr="003E5837" w:rsidRDefault="003E5837" w:rsidP="003E5837">
            <w:pPr>
              <w:suppressAutoHyphens w:val="0"/>
              <w:spacing w:line="240" w:lineRule="auto"/>
              <w:jc w:val="center"/>
              <w:rPr>
                <w:rFonts w:cs="Arial"/>
                <w:b/>
                <w:bCs/>
                <w:i/>
                <w:iCs/>
                <w:sz w:val="22"/>
                <w:szCs w:val="22"/>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cs="Arial"/>
                <w:b/>
                <w:bCs/>
                <w:i/>
                <w:iCs/>
                <w:sz w:val="22"/>
                <w:szCs w:val="22"/>
                <w:lang w:eastAsia="cs-CZ"/>
              </w:rPr>
            </w:pPr>
          </w:p>
        </w:tc>
      </w:tr>
      <w:tr w:rsidR="003E5837" w:rsidRPr="003E5837" w:rsidTr="006277B9">
        <w:trPr>
          <w:trHeight w:val="300"/>
        </w:trPr>
        <w:tc>
          <w:tcPr>
            <w:tcW w:w="2889" w:type="dxa"/>
            <w:tcBorders>
              <w:top w:val="single" w:sz="12" w:space="0" w:color="000000"/>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b/>
                <w:bCs/>
                <w:i/>
                <w:iCs/>
                <w:lang w:eastAsia="cs-CZ"/>
              </w:rPr>
            </w:pPr>
            <w:r w:rsidRPr="003E5837">
              <w:rPr>
                <w:rFonts w:cs="Arial"/>
                <w:b/>
                <w:bCs/>
                <w:i/>
                <w:iCs/>
                <w:lang w:eastAsia="cs-CZ"/>
              </w:rPr>
              <w:t>2.1. Mzdové náklady</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jc w:val="center"/>
              <w:rPr>
                <w:rFonts w:cs="Arial"/>
                <w:b/>
                <w:bCs/>
                <w:i/>
                <w:iCs/>
                <w:sz w:val="22"/>
                <w:szCs w:val="22"/>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cs="Arial"/>
                <w:b/>
                <w:bCs/>
                <w:i/>
                <w:iCs/>
                <w:sz w:val="22"/>
                <w:szCs w:val="22"/>
                <w:lang w:eastAsia="cs-CZ"/>
              </w:rPr>
            </w:pPr>
          </w:p>
        </w:tc>
      </w:tr>
      <w:tr w:rsidR="003E5837" w:rsidRPr="003E5837" w:rsidTr="006277B9">
        <w:trPr>
          <w:trHeight w:val="285"/>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lang w:eastAsia="cs-CZ"/>
              </w:rPr>
            </w:pPr>
            <w:r w:rsidRPr="003E5837">
              <w:rPr>
                <w:rFonts w:cs="Arial"/>
                <w:i/>
                <w:iCs/>
                <w:lang w:eastAsia="cs-CZ"/>
              </w:rPr>
              <w:t>2.1.2. hrubé mzdy / platy</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285"/>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lang w:eastAsia="cs-CZ"/>
              </w:rPr>
            </w:pPr>
            <w:r w:rsidRPr="003E5837">
              <w:rPr>
                <w:rFonts w:cs="Arial"/>
                <w:i/>
                <w:iCs/>
                <w:lang w:eastAsia="cs-CZ"/>
              </w:rPr>
              <w:t>2.1.3. DPP / DPČ</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lang w:eastAsia="cs-CZ"/>
              </w:rPr>
            </w:pPr>
            <w:r w:rsidRPr="003E5837">
              <w:rPr>
                <w:rFonts w:cs="Arial"/>
                <w:i/>
                <w:iCs/>
                <w:lang w:eastAsia="cs-CZ"/>
              </w:rPr>
              <w:t>2.1.4. ostatní mzdové náklady</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525"/>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b/>
                <w:bCs/>
                <w:i/>
                <w:iCs/>
                <w:lang w:eastAsia="cs-CZ"/>
              </w:rPr>
            </w:pPr>
            <w:r w:rsidRPr="003E5837">
              <w:rPr>
                <w:rFonts w:cs="Arial"/>
                <w:b/>
                <w:bCs/>
                <w:i/>
                <w:iCs/>
                <w:lang w:eastAsia="cs-CZ"/>
              </w:rPr>
              <w:t>2.2. Odvody zaměstnavatele na sociální a zdravotní pojištění</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jc w:val="center"/>
              <w:rPr>
                <w:rFonts w:cs="Arial"/>
                <w:b/>
                <w:bCs/>
                <w:i/>
                <w:iCs/>
                <w:sz w:val="22"/>
                <w:szCs w:val="22"/>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cs="Arial"/>
                <w:b/>
                <w:bCs/>
                <w:i/>
                <w:iCs/>
                <w:sz w:val="22"/>
                <w:szCs w:val="22"/>
                <w:lang w:eastAsia="cs-CZ"/>
              </w:rPr>
            </w:pPr>
          </w:p>
        </w:tc>
      </w:tr>
      <w:tr w:rsidR="003E5837" w:rsidRPr="003E5837" w:rsidTr="006277B9">
        <w:trPr>
          <w:trHeight w:val="51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lang w:eastAsia="cs-CZ"/>
              </w:rPr>
            </w:pPr>
            <w:r w:rsidRPr="003E5837">
              <w:rPr>
                <w:rFonts w:cs="Arial"/>
                <w:i/>
                <w:iCs/>
                <w:lang w:eastAsia="cs-CZ"/>
              </w:rPr>
              <w:t>2.2.1. pojistné ke mzdám / platům</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285"/>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lang w:eastAsia="cs-CZ"/>
              </w:rPr>
            </w:pPr>
            <w:r w:rsidRPr="003E5837">
              <w:rPr>
                <w:rFonts w:cs="Arial"/>
                <w:i/>
                <w:iCs/>
                <w:lang w:eastAsia="cs-CZ"/>
              </w:rPr>
              <w:t>2.2.2. pojistné k DPČ</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3E5837" w:rsidRPr="003E5837" w:rsidRDefault="003E5837" w:rsidP="003E5837">
            <w:pPr>
              <w:suppressAutoHyphens w:val="0"/>
              <w:spacing w:line="240" w:lineRule="auto"/>
              <w:rPr>
                <w:rFonts w:cs="Arial"/>
                <w:i/>
                <w:iCs/>
                <w:lang w:eastAsia="cs-CZ"/>
              </w:rPr>
            </w:pPr>
            <w:r w:rsidRPr="003E5837">
              <w:rPr>
                <w:rFonts w:cs="Arial"/>
                <w:i/>
                <w:iCs/>
                <w:lang w:eastAsia="cs-CZ"/>
              </w:rPr>
              <w:t>2.2.3. ostatní pojistné</w:t>
            </w:r>
          </w:p>
        </w:tc>
        <w:tc>
          <w:tcPr>
            <w:tcW w:w="3643" w:type="dxa"/>
            <w:tcBorders>
              <w:top w:val="single" w:sz="4" w:space="0" w:color="auto"/>
              <w:left w:val="single" w:sz="4" w:space="0" w:color="auto"/>
              <w:bottom w:val="single" w:sz="4" w:space="0" w:color="auto"/>
              <w:right w:val="single" w:sz="4" w:space="0" w:color="auto"/>
            </w:tcBorders>
            <w:noWrap/>
            <w:vAlign w:val="bottom"/>
          </w:tcPr>
          <w:p w:rsidR="003E5837" w:rsidRPr="003E5837" w:rsidRDefault="003E5837" w:rsidP="003E5837">
            <w:pPr>
              <w:suppressAutoHyphens w:val="0"/>
              <w:spacing w:line="240" w:lineRule="auto"/>
              <w:rPr>
                <w:rFonts w:cs="Arial"/>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525"/>
        </w:trPr>
        <w:tc>
          <w:tcPr>
            <w:tcW w:w="2889" w:type="dxa"/>
            <w:tcBorders>
              <w:top w:val="single" w:sz="4" w:space="0" w:color="auto"/>
              <w:left w:val="single" w:sz="12" w:space="0" w:color="000000"/>
              <w:bottom w:val="single" w:sz="12" w:space="0" w:color="000000"/>
              <w:right w:val="single" w:sz="4" w:space="0" w:color="auto"/>
            </w:tcBorders>
            <w:vAlign w:val="bottom"/>
            <w:hideMark/>
          </w:tcPr>
          <w:p w:rsidR="003E5837" w:rsidRPr="003E5837" w:rsidRDefault="003E5837" w:rsidP="003E5837">
            <w:pPr>
              <w:suppressAutoHyphens w:val="0"/>
              <w:spacing w:line="240" w:lineRule="auto"/>
              <w:rPr>
                <w:rFonts w:cs="Arial"/>
                <w:b/>
                <w:bCs/>
                <w:i/>
                <w:iCs/>
                <w:lang w:eastAsia="cs-CZ"/>
              </w:rPr>
            </w:pPr>
            <w:r w:rsidRPr="003E5837">
              <w:rPr>
                <w:rFonts w:cs="Arial"/>
                <w:b/>
                <w:bCs/>
                <w:i/>
                <w:iCs/>
                <w:lang w:eastAsia="cs-CZ"/>
              </w:rPr>
              <w:t>2.3. Zákonné pojistné odpovědnosti zaměstnavatele</w:t>
            </w:r>
          </w:p>
        </w:tc>
        <w:tc>
          <w:tcPr>
            <w:tcW w:w="3643" w:type="dxa"/>
            <w:tcBorders>
              <w:top w:val="single" w:sz="4" w:space="0" w:color="auto"/>
              <w:left w:val="single" w:sz="4" w:space="0" w:color="auto"/>
              <w:bottom w:val="single" w:sz="12" w:space="0" w:color="000000"/>
              <w:right w:val="single" w:sz="4" w:space="0" w:color="auto"/>
            </w:tcBorders>
            <w:noWrap/>
            <w:vAlign w:val="bottom"/>
          </w:tcPr>
          <w:p w:rsidR="003E5837" w:rsidRPr="003E5837" w:rsidRDefault="003E5837" w:rsidP="003E5837">
            <w:pPr>
              <w:suppressAutoHyphens w:val="0"/>
              <w:spacing w:line="240" w:lineRule="auto"/>
              <w:rPr>
                <w:rFonts w:cs="Arial"/>
                <w:b/>
                <w:bCs/>
                <w:i/>
                <w:iCs/>
                <w:lang w:eastAsia="cs-CZ"/>
              </w:rPr>
            </w:pPr>
          </w:p>
        </w:tc>
        <w:tc>
          <w:tcPr>
            <w:tcW w:w="2508" w:type="dxa"/>
            <w:gridSpan w:val="2"/>
            <w:tcBorders>
              <w:top w:val="single" w:sz="4" w:space="0" w:color="auto"/>
              <w:left w:val="single" w:sz="4" w:space="0" w:color="auto"/>
              <w:bottom w:val="single" w:sz="12" w:space="0" w:color="000000"/>
              <w:right w:val="single" w:sz="12" w:space="0" w:color="000000"/>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525"/>
        </w:trPr>
        <w:tc>
          <w:tcPr>
            <w:tcW w:w="2889" w:type="dxa"/>
            <w:tcBorders>
              <w:top w:val="single" w:sz="12" w:space="0" w:color="000000"/>
              <w:left w:val="single" w:sz="12" w:space="0" w:color="000000"/>
              <w:bottom w:val="single" w:sz="12" w:space="0" w:color="000000"/>
              <w:right w:val="single" w:sz="4" w:space="0" w:color="auto"/>
            </w:tcBorders>
            <w:vAlign w:val="center"/>
            <w:hideMark/>
          </w:tcPr>
          <w:p w:rsidR="003E5837" w:rsidRPr="003E5837" w:rsidRDefault="003E5837" w:rsidP="003E5837">
            <w:pPr>
              <w:suppressAutoHyphens w:val="0"/>
              <w:spacing w:line="240" w:lineRule="auto"/>
              <w:rPr>
                <w:rFonts w:cs="Arial"/>
                <w:b/>
                <w:bCs/>
                <w:i/>
                <w:iCs/>
                <w:lang w:eastAsia="cs-CZ"/>
              </w:rPr>
            </w:pPr>
            <w:r w:rsidRPr="003E5837">
              <w:rPr>
                <w:rFonts w:cs="Arial"/>
                <w:b/>
                <w:bCs/>
                <w:i/>
                <w:iCs/>
                <w:lang w:eastAsia="cs-CZ"/>
              </w:rPr>
              <w:t>Celkové náklady na realizaci služby</w:t>
            </w:r>
          </w:p>
        </w:tc>
        <w:tc>
          <w:tcPr>
            <w:tcW w:w="3643" w:type="dxa"/>
            <w:tcBorders>
              <w:top w:val="single" w:sz="12" w:space="0" w:color="000000"/>
              <w:left w:val="single" w:sz="4" w:space="0" w:color="auto"/>
              <w:bottom w:val="single" w:sz="12" w:space="0" w:color="000000"/>
              <w:right w:val="single" w:sz="4" w:space="0" w:color="auto"/>
            </w:tcBorders>
            <w:noWrap/>
            <w:vAlign w:val="bottom"/>
          </w:tcPr>
          <w:p w:rsidR="003E5837" w:rsidRPr="003E5837" w:rsidRDefault="003E5837" w:rsidP="003E5837">
            <w:pPr>
              <w:suppressAutoHyphens w:val="0"/>
              <w:spacing w:line="240" w:lineRule="auto"/>
              <w:jc w:val="center"/>
              <w:rPr>
                <w:rFonts w:cs="Arial"/>
                <w:b/>
                <w:bCs/>
                <w:i/>
                <w:iCs/>
                <w:sz w:val="22"/>
                <w:szCs w:val="22"/>
                <w:lang w:eastAsia="cs-CZ"/>
              </w:rPr>
            </w:pPr>
          </w:p>
        </w:tc>
        <w:tc>
          <w:tcPr>
            <w:tcW w:w="2508" w:type="dxa"/>
            <w:gridSpan w:val="2"/>
            <w:tcBorders>
              <w:top w:val="single" w:sz="12" w:space="0" w:color="000000"/>
              <w:left w:val="single" w:sz="4" w:space="0" w:color="auto"/>
              <w:bottom w:val="single" w:sz="12" w:space="0" w:color="000000"/>
              <w:right w:val="single" w:sz="12" w:space="0" w:color="000000"/>
            </w:tcBorders>
            <w:vAlign w:val="bottom"/>
          </w:tcPr>
          <w:p w:rsidR="003E5837" w:rsidRPr="003E5837" w:rsidRDefault="003E5837" w:rsidP="003E5837">
            <w:pPr>
              <w:suppressAutoHyphens w:val="0"/>
              <w:spacing w:line="240" w:lineRule="auto"/>
              <w:jc w:val="center"/>
              <w:rPr>
                <w:rFonts w:cs="Arial"/>
                <w:b/>
                <w:bCs/>
                <w:i/>
                <w:iCs/>
                <w:lang w:eastAsia="cs-CZ"/>
              </w:rPr>
            </w:pPr>
          </w:p>
        </w:tc>
      </w:tr>
      <w:tr w:rsidR="003E5837" w:rsidRPr="003E5837" w:rsidTr="006277B9">
        <w:trPr>
          <w:trHeight w:val="285"/>
        </w:trPr>
        <w:tc>
          <w:tcPr>
            <w:tcW w:w="2889" w:type="dxa"/>
            <w:tcBorders>
              <w:top w:val="single" w:sz="12" w:space="0" w:color="000000"/>
              <w:left w:val="nil"/>
              <w:bottom w:val="nil"/>
              <w:right w:val="nil"/>
            </w:tcBorders>
            <w:vAlign w:val="bottom"/>
            <w:hideMark/>
          </w:tcPr>
          <w:p w:rsidR="003E5837" w:rsidRPr="003E5837" w:rsidRDefault="003E5837" w:rsidP="003E5837">
            <w:pPr>
              <w:suppressAutoHyphens w:val="0"/>
              <w:spacing w:line="240" w:lineRule="auto"/>
              <w:jc w:val="center"/>
              <w:rPr>
                <w:rFonts w:cs="Arial"/>
                <w:b/>
                <w:bCs/>
                <w:i/>
                <w:iCs/>
                <w:lang w:eastAsia="cs-CZ"/>
              </w:rPr>
            </w:pPr>
          </w:p>
        </w:tc>
        <w:tc>
          <w:tcPr>
            <w:tcW w:w="3643" w:type="dxa"/>
            <w:tcBorders>
              <w:top w:val="single" w:sz="12" w:space="0" w:color="000000"/>
              <w:left w:val="nil"/>
              <w:bottom w:val="nil"/>
              <w:right w:val="nil"/>
            </w:tcBorders>
            <w:noWrap/>
            <w:vAlign w:val="bottom"/>
          </w:tcPr>
          <w:p w:rsidR="003E5837" w:rsidRPr="003E5837" w:rsidRDefault="003E5837" w:rsidP="003E5837">
            <w:pPr>
              <w:suppressAutoHyphens w:val="0"/>
              <w:spacing w:line="240" w:lineRule="auto"/>
              <w:rPr>
                <w:rFonts w:ascii="Times New Roman" w:hAnsi="Times New Roman"/>
                <w:lang w:eastAsia="cs-CZ"/>
              </w:rPr>
            </w:pPr>
          </w:p>
        </w:tc>
        <w:tc>
          <w:tcPr>
            <w:tcW w:w="1713" w:type="dxa"/>
            <w:tcBorders>
              <w:top w:val="single" w:sz="12" w:space="0" w:color="000000"/>
              <w:left w:val="nil"/>
              <w:bottom w:val="nil"/>
              <w:right w:val="nil"/>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c>
          <w:tcPr>
            <w:tcW w:w="795" w:type="dxa"/>
            <w:tcBorders>
              <w:top w:val="single" w:sz="12" w:space="0" w:color="000000"/>
              <w:left w:val="nil"/>
              <w:bottom w:val="nil"/>
              <w:right w:val="nil"/>
            </w:tcBorders>
            <w:vAlign w:val="bottom"/>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570"/>
        </w:trPr>
        <w:tc>
          <w:tcPr>
            <w:tcW w:w="9040" w:type="dxa"/>
            <w:gridSpan w:val="4"/>
            <w:tcBorders>
              <w:top w:val="nil"/>
              <w:left w:val="nil"/>
              <w:bottom w:val="nil"/>
              <w:right w:val="nil"/>
            </w:tcBorders>
            <w:vAlign w:val="bottom"/>
          </w:tcPr>
          <w:p w:rsidR="003E5837" w:rsidRPr="003E5837" w:rsidRDefault="003E5837" w:rsidP="003E5837">
            <w:pPr>
              <w:suppressAutoHyphens w:val="0"/>
              <w:spacing w:line="240" w:lineRule="auto"/>
              <w:jc w:val="center"/>
              <w:rPr>
                <w:rFonts w:ascii="Times New Roman" w:hAnsi="Times New Roman"/>
                <w:lang w:eastAsia="cs-CZ"/>
              </w:rPr>
            </w:pPr>
          </w:p>
        </w:tc>
      </w:tr>
      <w:tr w:rsidR="003E5837" w:rsidRPr="003E5837" w:rsidTr="006277B9">
        <w:trPr>
          <w:trHeight w:val="285"/>
        </w:trPr>
        <w:tc>
          <w:tcPr>
            <w:tcW w:w="2889" w:type="dxa"/>
            <w:tcBorders>
              <w:top w:val="nil"/>
              <w:left w:val="nil"/>
              <w:bottom w:val="nil"/>
              <w:right w:val="nil"/>
            </w:tcBorders>
            <w:noWrap/>
            <w:hideMark/>
          </w:tcPr>
          <w:p w:rsidR="003E5837" w:rsidRPr="003E5837" w:rsidRDefault="003E5837" w:rsidP="003E5837">
            <w:pPr>
              <w:suppressAutoHyphens w:val="0"/>
              <w:spacing w:line="240" w:lineRule="auto"/>
              <w:jc w:val="center"/>
              <w:rPr>
                <w:rFonts w:ascii="Times New Roman" w:hAnsi="Times New Roman"/>
                <w:lang w:eastAsia="cs-CZ"/>
              </w:rPr>
            </w:pPr>
          </w:p>
        </w:tc>
        <w:tc>
          <w:tcPr>
            <w:tcW w:w="3643" w:type="dxa"/>
            <w:tcBorders>
              <w:top w:val="nil"/>
              <w:left w:val="nil"/>
              <w:bottom w:val="nil"/>
              <w:right w:val="nil"/>
            </w:tcBorders>
            <w:noWrap/>
            <w:hideMark/>
          </w:tcPr>
          <w:p w:rsidR="003E5837" w:rsidRPr="003E5837" w:rsidRDefault="003E5837" w:rsidP="003E5837">
            <w:pPr>
              <w:suppressAutoHyphens w:val="0"/>
              <w:spacing w:line="240" w:lineRule="auto"/>
              <w:rPr>
                <w:rFonts w:ascii="Times New Roman" w:hAnsi="Times New Roman"/>
                <w:lang w:eastAsia="cs-CZ"/>
              </w:rPr>
            </w:pPr>
          </w:p>
        </w:tc>
        <w:tc>
          <w:tcPr>
            <w:tcW w:w="1713" w:type="dxa"/>
            <w:tcBorders>
              <w:top w:val="nil"/>
              <w:left w:val="nil"/>
              <w:bottom w:val="nil"/>
              <w:right w:val="nil"/>
            </w:tcBorders>
            <w:noWrap/>
            <w:hideMark/>
          </w:tcPr>
          <w:p w:rsidR="003E5837" w:rsidRPr="003E5837" w:rsidRDefault="003E5837" w:rsidP="003E5837">
            <w:pPr>
              <w:suppressAutoHyphens w:val="0"/>
              <w:spacing w:line="240" w:lineRule="auto"/>
              <w:rPr>
                <w:rFonts w:ascii="Times New Roman" w:hAnsi="Times New Roman"/>
                <w:lang w:eastAsia="cs-CZ"/>
              </w:rPr>
            </w:pPr>
          </w:p>
        </w:tc>
        <w:tc>
          <w:tcPr>
            <w:tcW w:w="795" w:type="dxa"/>
            <w:tcBorders>
              <w:top w:val="nil"/>
              <w:left w:val="nil"/>
              <w:bottom w:val="nil"/>
              <w:right w:val="nil"/>
            </w:tcBorders>
            <w:noWrap/>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85"/>
        </w:trPr>
        <w:tc>
          <w:tcPr>
            <w:tcW w:w="2889" w:type="dxa"/>
            <w:tcBorders>
              <w:top w:val="nil"/>
              <w:left w:val="nil"/>
              <w:bottom w:val="nil"/>
              <w:right w:val="nil"/>
            </w:tcBorders>
            <w:vAlign w:val="bottom"/>
            <w:hideMark/>
          </w:tcPr>
          <w:p w:rsidR="003E5837" w:rsidRPr="003E5837" w:rsidRDefault="003E5837" w:rsidP="003E5837">
            <w:pPr>
              <w:suppressAutoHyphens w:val="0"/>
              <w:spacing w:line="240" w:lineRule="auto"/>
              <w:rPr>
                <w:rFonts w:cs="Arial"/>
                <w:i/>
                <w:iCs/>
                <w:sz w:val="18"/>
                <w:szCs w:val="18"/>
                <w:lang w:eastAsia="cs-CZ"/>
              </w:rPr>
            </w:pPr>
            <w:r w:rsidRPr="003E5837">
              <w:rPr>
                <w:rFonts w:cs="Arial"/>
                <w:i/>
                <w:iCs/>
                <w:sz w:val="18"/>
                <w:szCs w:val="18"/>
                <w:lang w:eastAsia="cs-CZ"/>
              </w:rPr>
              <w:t>Datum:</w:t>
            </w:r>
          </w:p>
        </w:tc>
        <w:tc>
          <w:tcPr>
            <w:tcW w:w="3643" w:type="dxa"/>
            <w:tcBorders>
              <w:top w:val="nil"/>
              <w:left w:val="nil"/>
              <w:bottom w:val="nil"/>
              <w:right w:val="nil"/>
            </w:tcBorders>
            <w:vAlign w:val="bottom"/>
            <w:hideMark/>
          </w:tcPr>
          <w:p w:rsidR="003E5837" w:rsidRPr="003E5837" w:rsidRDefault="003E5837" w:rsidP="003E5837">
            <w:pPr>
              <w:suppressAutoHyphens w:val="0"/>
              <w:spacing w:line="240" w:lineRule="auto"/>
              <w:rPr>
                <w:rFonts w:cs="Arial"/>
                <w:i/>
                <w:iCs/>
                <w:sz w:val="18"/>
                <w:szCs w:val="18"/>
                <w:lang w:eastAsia="cs-CZ"/>
              </w:rPr>
            </w:pPr>
            <w:r w:rsidRPr="003E5837">
              <w:rPr>
                <w:rFonts w:cs="Arial"/>
                <w:i/>
                <w:iCs/>
                <w:sz w:val="18"/>
                <w:szCs w:val="18"/>
                <w:lang w:eastAsia="cs-CZ"/>
              </w:rPr>
              <w:t xml:space="preserve">Jméno, příjmení </w:t>
            </w:r>
          </w:p>
        </w:tc>
        <w:tc>
          <w:tcPr>
            <w:tcW w:w="1713"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cs="Arial"/>
                <w:i/>
                <w:iCs/>
                <w:sz w:val="18"/>
                <w:szCs w:val="18"/>
                <w:lang w:eastAsia="cs-CZ"/>
              </w:rPr>
            </w:pPr>
          </w:p>
        </w:tc>
        <w:tc>
          <w:tcPr>
            <w:tcW w:w="795" w:type="dxa"/>
            <w:tcBorders>
              <w:top w:val="nil"/>
              <w:left w:val="nil"/>
              <w:bottom w:val="nil"/>
              <w:right w:val="nil"/>
            </w:tcBorders>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85"/>
        </w:trPr>
        <w:tc>
          <w:tcPr>
            <w:tcW w:w="2889" w:type="dxa"/>
            <w:tcBorders>
              <w:top w:val="nil"/>
              <w:left w:val="nil"/>
              <w:bottom w:val="nil"/>
              <w:right w:val="nil"/>
            </w:tcBorders>
            <w:vAlign w:val="bottom"/>
            <w:hideMark/>
          </w:tcPr>
          <w:p w:rsidR="003E5837" w:rsidRPr="003E5837" w:rsidRDefault="003E5837" w:rsidP="003E5837">
            <w:pPr>
              <w:suppressAutoHyphens w:val="0"/>
              <w:spacing w:line="240" w:lineRule="auto"/>
              <w:rPr>
                <w:rFonts w:cs="Arial"/>
                <w:i/>
                <w:iCs/>
                <w:sz w:val="18"/>
                <w:szCs w:val="18"/>
                <w:lang w:eastAsia="cs-CZ"/>
              </w:rPr>
            </w:pPr>
            <w:r w:rsidRPr="003E5837">
              <w:rPr>
                <w:rFonts w:cs="Arial"/>
                <w:i/>
                <w:iCs/>
                <w:sz w:val="18"/>
                <w:szCs w:val="18"/>
                <w:lang w:eastAsia="cs-CZ"/>
              </w:rPr>
              <w:t xml:space="preserve"> </w:t>
            </w:r>
          </w:p>
        </w:tc>
        <w:tc>
          <w:tcPr>
            <w:tcW w:w="3643"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cs="Arial"/>
                <w:i/>
                <w:iCs/>
                <w:sz w:val="18"/>
                <w:szCs w:val="18"/>
                <w:lang w:eastAsia="cs-CZ"/>
              </w:rPr>
            </w:pPr>
            <w:r w:rsidRPr="003E5837">
              <w:rPr>
                <w:rFonts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cs="Arial"/>
                <w:i/>
                <w:iCs/>
                <w:sz w:val="18"/>
                <w:szCs w:val="18"/>
                <w:lang w:eastAsia="cs-CZ"/>
              </w:rPr>
            </w:pPr>
          </w:p>
        </w:tc>
        <w:tc>
          <w:tcPr>
            <w:tcW w:w="795" w:type="dxa"/>
            <w:tcBorders>
              <w:top w:val="nil"/>
              <w:left w:val="nil"/>
              <w:bottom w:val="nil"/>
              <w:right w:val="nil"/>
            </w:tcBorders>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85"/>
        </w:trPr>
        <w:tc>
          <w:tcPr>
            <w:tcW w:w="2889" w:type="dxa"/>
            <w:tcBorders>
              <w:top w:val="nil"/>
              <w:left w:val="nil"/>
              <w:bottom w:val="nil"/>
              <w:right w:val="nil"/>
            </w:tcBorders>
            <w:noWrap/>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c>
          <w:tcPr>
            <w:tcW w:w="3643"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cs="Arial"/>
                <w:i/>
                <w:iCs/>
                <w:sz w:val="18"/>
                <w:szCs w:val="18"/>
                <w:lang w:eastAsia="cs-CZ"/>
              </w:rPr>
            </w:pPr>
            <w:r w:rsidRPr="003E5837">
              <w:rPr>
                <w:rFonts w:cs="Arial"/>
                <w:i/>
                <w:iCs/>
                <w:sz w:val="18"/>
                <w:szCs w:val="18"/>
                <w:lang w:eastAsia="cs-CZ"/>
              </w:rPr>
              <w:t xml:space="preserve">razítko </w:t>
            </w:r>
          </w:p>
        </w:tc>
        <w:tc>
          <w:tcPr>
            <w:tcW w:w="1713"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cs="Arial"/>
                <w:i/>
                <w:iCs/>
                <w:sz w:val="18"/>
                <w:szCs w:val="18"/>
                <w:lang w:eastAsia="cs-CZ"/>
              </w:rPr>
            </w:pPr>
          </w:p>
        </w:tc>
        <w:tc>
          <w:tcPr>
            <w:tcW w:w="795"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85"/>
        </w:trPr>
        <w:tc>
          <w:tcPr>
            <w:tcW w:w="2889" w:type="dxa"/>
            <w:tcBorders>
              <w:top w:val="nil"/>
              <w:left w:val="nil"/>
              <w:bottom w:val="nil"/>
              <w:right w:val="nil"/>
            </w:tcBorders>
            <w:vAlign w:val="bottom"/>
            <w:hideMark/>
          </w:tcPr>
          <w:p w:rsidR="003E5837" w:rsidRPr="003E5837" w:rsidRDefault="003E5837" w:rsidP="003E5837">
            <w:pPr>
              <w:suppressAutoHyphens w:val="0"/>
              <w:spacing w:line="240" w:lineRule="auto"/>
              <w:rPr>
                <w:rFonts w:ascii="Times New Roman" w:hAnsi="Times New Roman"/>
                <w:lang w:eastAsia="cs-CZ"/>
              </w:rPr>
            </w:pPr>
          </w:p>
        </w:tc>
        <w:tc>
          <w:tcPr>
            <w:tcW w:w="3643"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c>
          <w:tcPr>
            <w:tcW w:w="1713" w:type="dxa"/>
            <w:tcBorders>
              <w:top w:val="nil"/>
              <w:left w:val="nil"/>
              <w:bottom w:val="nil"/>
              <w:right w:val="nil"/>
            </w:tcBorders>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c>
          <w:tcPr>
            <w:tcW w:w="795" w:type="dxa"/>
            <w:tcBorders>
              <w:top w:val="nil"/>
              <w:left w:val="nil"/>
              <w:bottom w:val="nil"/>
              <w:right w:val="nil"/>
            </w:tcBorders>
            <w:vAlign w:val="bottom"/>
            <w:hideMark/>
          </w:tcPr>
          <w:p w:rsidR="003E5837" w:rsidRPr="003E5837" w:rsidRDefault="003E5837" w:rsidP="003E5837">
            <w:pPr>
              <w:suppressAutoHyphens w:val="0"/>
              <w:spacing w:line="240" w:lineRule="auto"/>
              <w:rPr>
                <w:rFonts w:ascii="Times New Roman" w:hAnsi="Times New Roman"/>
                <w:lang w:eastAsia="cs-CZ"/>
              </w:rPr>
            </w:pPr>
          </w:p>
        </w:tc>
      </w:tr>
    </w:tbl>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sectPr w:rsidR="003E5837" w:rsidRPr="003E5837">
          <w:footerReference w:type="default" r:id="rId8"/>
          <w:pgSz w:w="11906" w:h="16838"/>
          <w:pgMar w:top="1417" w:right="1417" w:bottom="1417" w:left="1417" w:header="708" w:footer="708" w:gutter="0"/>
          <w:cols w:space="708"/>
          <w:docGrid w:linePitch="360"/>
        </w:sectPr>
      </w:pPr>
    </w:p>
    <w:tbl>
      <w:tblPr>
        <w:tblW w:w="12780" w:type="dxa"/>
        <w:tblCellMar>
          <w:top w:w="15" w:type="dxa"/>
          <w:left w:w="70" w:type="dxa"/>
          <w:bottom w:w="15" w:type="dxa"/>
          <w:right w:w="70" w:type="dxa"/>
        </w:tblCellMar>
        <w:tblLook w:val="04A0" w:firstRow="1" w:lastRow="0" w:firstColumn="1" w:lastColumn="0" w:noHBand="0" w:noVBand="1"/>
      </w:tblPr>
      <w:tblGrid>
        <w:gridCol w:w="421"/>
        <w:gridCol w:w="6999"/>
        <w:gridCol w:w="5256"/>
        <w:gridCol w:w="146"/>
        <w:gridCol w:w="146"/>
      </w:tblGrid>
      <w:tr w:rsidR="003E5837" w:rsidRPr="003E5837" w:rsidTr="006277B9">
        <w:trPr>
          <w:trHeight w:val="20"/>
        </w:trPr>
        <w:tc>
          <w:tcPr>
            <w:tcW w:w="12780" w:type="dxa"/>
            <w:gridSpan w:val="5"/>
            <w:tcBorders>
              <w:top w:val="nil"/>
              <w:left w:val="nil"/>
              <w:bottom w:val="nil"/>
              <w:right w:val="nil"/>
            </w:tcBorders>
            <w:noWrap/>
            <w:vAlign w:val="bottom"/>
            <w:hideMark/>
          </w:tcPr>
          <w:p w:rsidR="003E5837" w:rsidRPr="003E5837" w:rsidRDefault="003E5837" w:rsidP="003E5837">
            <w:pPr>
              <w:suppressAutoHyphens w:val="0"/>
              <w:spacing w:line="240" w:lineRule="auto"/>
              <w:jc w:val="center"/>
              <w:rPr>
                <w:rFonts w:ascii="Calibri" w:hAnsi="Calibri" w:cs="Calibri"/>
                <w:b/>
                <w:bCs/>
                <w:i/>
                <w:iCs/>
                <w:color w:val="000000"/>
                <w:sz w:val="28"/>
                <w:szCs w:val="28"/>
                <w:lang w:eastAsia="cs-CZ"/>
              </w:rPr>
            </w:pPr>
            <w:r w:rsidRPr="003E5837">
              <w:rPr>
                <w:rFonts w:ascii="Calibri" w:hAnsi="Calibri" w:cs="Calibri"/>
                <w:b/>
                <w:bCs/>
                <w:i/>
                <w:iCs/>
                <w:color w:val="000000"/>
                <w:sz w:val="28"/>
                <w:szCs w:val="28"/>
                <w:lang w:eastAsia="cs-CZ"/>
              </w:rPr>
              <w:t>A4 - Přehled získaných finančních prostředků na paliativní službu - vyúčtování dotace</w:t>
            </w:r>
          </w:p>
        </w:tc>
      </w:tr>
      <w:tr w:rsidR="003E5837" w:rsidRPr="003E5837" w:rsidTr="006277B9">
        <w:trPr>
          <w:trHeight w:val="20"/>
        </w:trPr>
        <w:tc>
          <w:tcPr>
            <w:tcW w:w="7420" w:type="dxa"/>
            <w:gridSpan w:val="2"/>
            <w:tcBorders>
              <w:top w:val="nil"/>
              <w:left w:val="nil"/>
              <w:bottom w:val="single" w:sz="12" w:space="0" w:color="000000"/>
              <w:right w:val="nil"/>
            </w:tcBorders>
            <w:noWrap/>
            <w:vAlign w:val="bottom"/>
            <w:hideMark/>
          </w:tcPr>
          <w:p w:rsidR="003E5837" w:rsidRPr="003E5837" w:rsidRDefault="003E5837" w:rsidP="003E5837">
            <w:pPr>
              <w:suppressAutoHyphens w:val="0"/>
              <w:spacing w:line="240" w:lineRule="auto"/>
              <w:jc w:val="center"/>
              <w:rPr>
                <w:rFonts w:ascii="Calibri" w:hAnsi="Calibri" w:cs="Calibri"/>
                <w:b/>
                <w:bCs/>
                <w:i/>
                <w:iCs/>
                <w:color w:val="000000"/>
                <w:sz w:val="28"/>
                <w:szCs w:val="28"/>
                <w:lang w:eastAsia="cs-CZ"/>
              </w:rPr>
            </w:pPr>
          </w:p>
        </w:tc>
        <w:tc>
          <w:tcPr>
            <w:tcW w:w="5256" w:type="dxa"/>
            <w:tcBorders>
              <w:top w:val="nil"/>
              <w:left w:val="nil"/>
              <w:bottom w:val="single" w:sz="12" w:space="0" w:color="000000"/>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c>
          <w:tcPr>
            <w:tcW w:w="52" w:type="dxa"/>
            <w:tcBorders>
              <w:top w:val="nil"/>
              <w:left w:val="nil"/>
              <w:bottom w:val="single" w:sz="12" w:space="0" w:color="000000"/>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c>
          <w:tcPr>
            <w:tcW w:w="52" w:type="dxa"/>
            <w:tcBorders>
              <w:top w:val="nil"/>
              <w:left w:val="nil"/>
              <w:bottom w:val="single" w:sz="12" w:space="0" w:color="000000"/>
              <w:right w:val="single" w:sz="12" w:space="0" w:color="000000"/>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0"/>
        </w:trPr>
        <w:tc>
          <w:tcPr>
            <w:tcW w:w="12780" w:type="dxa"/>
            <w:gridSpan w:val="5"/>
            <w:tcBorders>
              <w:top w:val="single" w:sz="12" w:space="0" w:color="000000"/>
              <w:left w:val="single" w:sz="12" w:space="0" w:color="000000"/>
              <w:bottom w:val="single" w:sz="8" w:space="0" w:color="auto"/>
              <w:right w:val="single" w:sz="12" w:space="0" w:color="000000"/>
            </w:tcBorders>
            <w:shd w:val="clear" w:color="000000" w:fill="F2F2F2"/>
            <w:noWrap/>
            <w:vAlign w:val="center"/>
            <w:hideMark/>
          </w:tcPr>
          <w:p w:rsidR="003E5837" w:rsidRPr="003E5837" w:rsidRDefault="003E5837" w:rsidP="003E5837">
            <w:pPr>
              <w:suppressAutoHyphens w:val="0"/>
              <w:spacing w:line="240" w:lineRule="auto"/>
              <w:rPr>
                <w:rFonts w:ascii="Calibri" w:hAnsi="Calibri" w:cs="Calibri"/>
                <w:b/>
                <w:bCs/>
                <w:i/>
                <w:iCs/>
                <w:sz w:val="24"/>
                <w:szCs w:val="24"/>
                <w:lang w:eastAsia="cs-CZ"/>
              </w:rPr>
            </w:pPr>
            <w:r w:rsidRPr="003E5837">
              <w:rPr>
                <w:rFonts w:ascii="Calibri" w:hAnsi="Calibri" w:cs="Calibri"/>
                <w:b/>
                <w:bCs/>
                <w:i/>
                <w:iCs/>
                <w:sz w:val="24"/>
                <w:szCs w:val="24"/>
                <w:lang w:eastAsia="cs-CZ"/>
              </w:rPr>
              <w:t>Název organizace:</w:t>
            </w:r>
          </w:p>
        </w:tc>
      </w:tr>
      <w:tr w:rsidR="003E5837" w:rsidRPr="003E5837" w:rsidTr="006277B9">
        <w:trPr>
          <w:trHeight w:val="20"/>
        </w:trPr>
        <w:tc>
          <w:tcPr>
            <w:tcW w:w="12780" w:type="dxa"/>
            <w:gridSpan w:val="5"/>
            <w:tcBorders>
              <w:top w:val="single" w:sz="8" w:space="0" w:color="auto"/>
              <w:left w:val="single" w:sz="12" w:space="0" w:color="000000"/>
              <w:bottom w:val="single" w:sz="8" w:space="0" w:color="auto"/>
              <w:right w:val="single" w:sz="12" w:space="0" w:color="000000"/>
            </w:tcBorders>
            <w:shd w:val="clear" w:color="000000" w:fill="F2F2F2"/>
            <w:noWrap/>
            <w:vAlign w:val="center"/>
            <w:hideMark/>
          </w:tcPr>
          <w:p w:rsidR="003E5837" w:rsidRPr="003E5837" w:rsidRDefault="003E5837" w:rsidP="003E5837">
            <w:pPr>
              <w:suppressAutoHyphens w:val="0"/>
              <w:spacing w:line="240" w:lineRule="auto"/>
              <w:rPr>
                <w:rFonts w:ascii="Calibri" w:hAnsi="Calibri" w:cs="Calibri"/>
                <w:b/>
                <w:bCs/>
                <w:i/>
                <w:iCs/>
                <w:sz w:val="24"/>
                <w:szCs w:val="24"/>
                <w:lang w:eastAsia="cs-CZ"/>
              </w:rPr>
            </w:pPr>
            <w:r w:rsidRPr="003E5837">
              <w:rPr>
                <w:rFonts w:ascii="Calibri" w:hAnsi="Calibri" w:cs="Calibri"/>
                <w:b/>
                <w:bCs/>
                <w:i/>
                <w:iCs/>
                <w:sz w:val="24"/>
                <w:szCs w:val="24"/>
                <w:lang w:eastAsia="cs-CZ"/>
              </w:rPr>
              <w:t>Název paliativní služby:</w:t>
            </w:r>
          </w:p>
        </w:tc>
      </w:tr>
      <w:tr w:rsidR="003E5837" w:rsidRPr="003E5837" w:rsidTr="006277B9">
        <w:trPr>
          <w:trHeight w:val="20"/>
        </w:trPr>
        <w:tc>
          <w:tcPr>
            <w:tcW w:w="12780" w:type="dxa"/>
            <w:gridSpan w:val="5"/>
            <w:tcBorders>
              <w:top w:val="single" w:sz="8" w:space="0" w:color="auto"/>
              <w:left w:val="single" w:sz="12" w:space="0" w:color="000000"/>
              <w:bottom w:val="single" w:sz="8" w:space="0" w:color="auto"/>
              <w:right w:val="single" w:sz="12" w:space="0" w:color="000000"/>
            </w:tcBorders>
            <w:shd w:val="clear" w:color="000000" w:fill="F2F2F2"/>
            <w:noWrap/>
            <w:vAlign w:val="center"/>
            <w:hideMark/>
          </w:tcPr>
          <w:p w:rsidR="003E5837" w:rsidRPr="003E5837" w:rsidRDefault="003E5837" w:rsidP="003E5837">
            <w:pPr>
              <w:suppressAutoHyphens w:val="0"/>
              <w:spacing w:line="240" w:lineRule="auto"/>
              <w:rPr>
                <w:rFonts w:ascii="Calibri" w:hAnsi="Calibri" w:cs="Calibri"/>
                <w:b/>
                <w:bCs/>
                <w:i/>
                <w:iCs/>
                <w:sz w:val="24"/>
                <w:szCs w:val="24"/>
                <w:lang w:eastAsia="cs-CZ"/>
              </w:rPr>
            </w:pPr>
          </w:p>
        </w:tc>
      </w:tr>
      <w:tr w:rsidR="003E5837" w:rsidRPr="003E5837" w:rsidTr="006277B9">
        <w:trPr>
          <w:trHeight w:val="20"/>
        </w:trPr>
        <w:tc>
          <w:tcPr>
            <w:tcW w:w="12780" w:type="dxa"/>
            <w:gridSpan w:val="5"/>
            <w:tcBorders>
              <w:top w:val="single" w:sz="8" w:space="0" w:color="auto"/>
              <w:left w:val="single" w:sz="12" w:space="0" w:color="000000"/>
              <w:bottom w:val="single" w:sz="8" w:space="0" w:color="auto"/>
              <w:right w:val="single" w:sz="12" w:space="0" w:color="000000"/>
            </w:tcBorders>
            <w:shd w:val="clear" w:color="000000" w:fill="F2F2F2"/>
            <w:noWrap/>
            <w:vAlign w:val="center"/>
            <w:hideMark/>
          </w:tcPr>
          <w:p w:rsidR="003E5837" w:rsidRPr="003E5837" w:rsidRDefault="003E5837" w:rsidP="003E5837">
            <w:pPr>
              <w:suppressAutoHyphens w:val="0"/>
              <w:spacing w:line="240" w:lineRule="auto"/>
              <w:rPr>
                <w:rFonts w:ascii="Calibri" w:hAnsi="Calibri" w:cs="Calibri"/>
                <w:b/>
                <w:bCs/>
                <w:i/>
                <w:iCs/>
                <w:sz w:val="24"/>
                <w:szCs w:val="24"/>
                <w:lang w:eastAsia="cs-CZ"/>
              </w:rPr>
            </w:pPr>
            <w:r w:rsidRPr="003E5837">
              <w:rPr>
                <w:rFonts w:ascii="Calibri" w:hAnsi="Calibri" w:cs="Calibri"/>
                <w:b/>
                <w:bCs/>
                <w:i/>
                <w:iCs/>
                <w:sz w:val="24"/>
                <w:szCs w:val="24"/>
                <w:lang w:eastAsia="cs-CZ"/>
              </w:rPr>
              <w:t>Číslo smlouvy:</w:t>
            </w:r>
          </w:p>
        </w:tc>
      </w:tr>
      <w:tr w:rsidR="003E5837" w:rsidRPr="003E5837" w:rsidTr="006277B9">
        <w:trPr>
          <w:trHeight w:val="20"/>
        </w:trPr>
        <w:tc>
          <w:tcPr>
            <w:tcW w:w="7420" w:type="dxa"/>
            <w:gridSpan w:val="2"/>
            <w:tcBorders>
              <w:top w:val="single" w:sz="8" w:space="0" w:color="auto"/>
              <w:left w:val="single" w:sz="12" w:space="0" w:color="000000"/>
              <w:bottom w:val="single" w:sz="8" w:space="0" w:color="auto"/>
              <w:right w:val="nil"/>
            </w:tcBorders>
            <w:shd w:val="clear" w:color="000000" w:fill="F2F2F2"/>
            <w:vAlign w:val="center"/>
            <w:hideMark/>
          </w:tcPr>
          <w:p w:rsidR="003E5837" w:rsidRPr="003E5837" w:rsidRDefault="003E5837" w:rsidP="003E5837">
            <w:pPr>
              <w:suppressAutoHyphens w:val="0"/>
              <w:spacing w:line="240" w:lineRule="auto"/>
              <w:jc w:val="center"/>
              <w:rPr>
                <w:rFonts w:ascii="Calibri" w:hAnsi="Calibri" w:cs="Calibri"/>
                <w:b/>
                <w:bCs/>
                <w:i/>
                <w:iCs/>
                <w:sz w:val="24"/>
                <w:szCs w:val="24"/>
                <w:lang w:eastAsia="cs-CZ"/>
              </w:rPr>
            </w:pPr>
            <w:r w:rsidRPr="003E5837">
              <w:rPr>
                <w:rFonts w:ascii="Calibri" w:hAnsi="Calibri" w:cs="Calibri"/>
                <w:b/>
                <w:bCs/>
                <w:i/>
                <w:iCs/>
                <w:sz w:val="24"/>
                <w:szCs w:val="24"/>
                <w:lang w:eastAsia="cs-CZ"/>
              </w:rPr>
              <w:t>Zdroje finančních prostředků na paliativní službu</w:t>
            </w:r>
          </w:p>
        </w:tc>
        <w:tc>
          <w:tcPr>
            <w:tcW w:w="5360" w:type="dxa"/>
            <w:gridSpan w:val="3"/>
            <w:tcBorders>
              <w:top w:val="single" w:sz="8" w:space="0" w:color="auto"/>
              <w:left w:val="single" w:sz="8" w:space="0" w:color="auto"/>
              <w:bottom w:val="single" w:sz="8" w:space="0" w:color="auto"/>
              <w:right w:val="single" w:sz="12" w:space="0" w:color="000000"/>
            </w:tcBorders>
            <w:shd w:val="clear" w:color="000000" w:fill="F2F2F2"/>
            <w:vAlign w:val="center"/>
            <w:hideMark/>
          </w:tcPr>
          <w:p w:rsidR="003E5837" w:rsidRPr="003E5837" w:rsidRDefault="003E5837" w:rsidP="003E5837">
            <w:pPr>
              <w:suppressAutoHyphens w:val="0"/>
              <w:spacing w:line="240" w:lineRule="auto"/>
              <w:jc w:val="center"/>
              <w:rPr>
                <w:rFonts w:ascii="Calibri" w:hAnsi="Calibri" w:cs="Calibri"/>
                <w:b/>
                <w:bCs/>
                <w:i/>
                <w:iCs/>
                <w:sz w:val="24"/>
                <w:szCs w:val="24"/>
                <w:lang w:eastAsia="cs-CZ"/>
              </w:rPr>
            </w:pPr>
            <w:r w:rsidRPr="003E5837">
              <w:rPr>
                <w:rFonts w:ascii="Calibri" w:hAnsi="Calibri" w:cs="Calibri"/>
                <w:b/>
                <w:bCs/>
                <w:i/>
                <w:iCs/>
                <w:sz w:val="24"/>
                <w:szCs w:val="24"/>
                <w:lang w:eastAsia="cs-CZ"/>
              </w:rPr>
              <w:t>Skutečnost</w:t>
            </w:r>
          </w:p>
        </w:tc>
      </w:tr>
      <w:tr w:rsidR="003E5837" w:rsidRPr="003E5837" w:rsidTr="006277B9">
        <w:trPr>
          <w:trHeight w:val="20"/>
        </w:trPr>
        <w:tc>
          <w:tcPr>
            <w:tcW w:w="421" w:type="dxa"/>
            <w:tcBorders>
              <w:top w:val="single" w:sz="8" w:space="0" w:color="auto"/>
              <w:left w:val="single" w:sz="12" w:space="0" w:color="000000"/>
              <w:bottom w:val="single" w:sz="4" w:space="0" w:color="3F3F3F"/>
              <w:right w:val="single" w:sz="8" w:space="0" w:color="auto"/>
            </w:tcBorders>
            <w:shd w:val="clear" w:color="000000" w:fill="F2F2F2"/>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1</w:t>
            </w:r>
          </w:p>
        </w:tc>
        <w:tc>
          <w:tcPr>
            <w:tcW w:w="6999" w:type="dxa"/>
            <w:tcBorders>
              <w:top w:val="single" w:sz="8" w:space="0" w:color="auto"/>
              <w:left w:val="single" w:sz="8" w:space="0" w:color="auto"/>
              <w:bottom w:val="single" w:sz="4" w:space="0" w:color="3F3F3F"/>
              <w:right w:val="single" w:sz="8" w:space="0" w:color="auto"/>
            </w:tcBorders>
            <w:shd w:val="clear" w:color="000000" w:fill="F2F2F2"/>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Město Kroměříž</w:t>
            </w:r>
          </w:p>
        </w:tc>
        <w:tc>
          <w:tcPr>
            <w:tcW w:w="5360" w:type="dxa"/>
            <w:gridSpan w:val="3"/>
            <w:tcBorders>
              <w:top w:val="single" w:sz="8" w:space="0" w:color="auto"/>
              <w:left w:val="single" w:sz="8" w:space="0" w:color="auto"/>
              <w:bottom w:val="single" w:sz="4" w:space="0" w:color="3F3F3F"/>
              <w:right w:val="single" w:sz="12" w:space="0" w:color="000000"/>
            </w:tcBorders>
            <w:shd w:val="clear" w:color="000000" w:fill="F2F2F2"/>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2</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 xml:space="preserve">Zlínský kraj - státní finanční </w:t>
            </w:r>
            <w:proofErr w:type="gramStart"/>
            <w:r w:rsidRPr="003E5837">
              <w:rPr>
                <w:rFonts w:ascii="Calibri" w:hAnsi="Calibri" w:cs="Calibri"/>
                <w:b/>
                <w:bCs/>
                <w:i/>
                <w:iCs/>
                <w:sz w:val="22"/>
                <w:szCs w:val="22"/>
                <w:lang w:eastAsia="cs-CZ"/>
              </w:rPr>
              <w:t>prostředky  (MPSV</w:t>
            </w:r>
            <w:proofErr w:type="gramEnd"/>
            <w:r w:rsidRPr="003E5837">
              <w:rPr>
                <w:rFonts w:ascii="Calibri" w:hAnsi="Calibri" w:cs="Calibri"/>
                <w:b/>
                <w:bCs/>
                <w:i/>
                <w:iCs/>
                <w:sz w:val="22"/>
                <w:szCs w:val="22"/>
                <w:lang w:eastAsia="cs-CZ"/>
              </w:rPr>
              <w:t>)</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3</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Zlínský kraj - individuální projekt Zlínského kraje</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4</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Zlínský kraj - finanční prostředky kraje</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5</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Ostatní kraje</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6</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MŠMT</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7</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Ministerstvo vnitra</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8</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Ministerstvo zdravotnictví</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9</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Úřad vlády ČR</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10</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Ostatní rezorty státní správy</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11</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Úřady práce</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12</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Zdravotní pojišťovny</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13</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Nadace</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14</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Sponzorské dary</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15</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Příjmy od klientů</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16</w:t>
            </w:r>
          </w:p>
        </w:tc>
        <w:tc>
          <w:tcPr>
            <w:tcW w:w="6999" w:type="dxa"/>
            <w:tcBorders>
              <w:top w:val="single" w:sz="4" w:space="0" w:color="3F3F3F"/>
              <w:left w:val="single" w:sz="8" w:space="0" w:color="auto"/>
              <w:bottom w:val="single" w:sz="2" w:space="0" w:color="000000"/>
              <w:right w:val="single" w:sz="8" w:space="0" w:color="auto"/>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Ostatní</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nil"/>
              <w:right w:val="single" w:sz="2" w:space="0" w:color="000000"/>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17</w:t>
            </w:r>
          </w:p>
        </w:tc>
        <w:tc>
          <w:tcPr>
            <w:tcW w:w="6999" w:type="dxa"/>
            <w:tcBorders>
              <w:top w:val="single" w:sz="2" w:space="0" w:color="000000"/>
              <w:left w:val="single" w:sz="2" w:space="0" w:color="000000"/>
              <w:bottom w:val="single" w:sz="2" w:space="0" w:color="000000"/>
              <w:right w:val="single" w:sz="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r w:rsidRPr="003E5837">
              <w:rPr>
                <w:rFonts w:ascii="Calibri" w:hAnsi="Calibri" w:cs="Calibri"/>
                <w:b/>
                <w:bCs/>
                <w:i/>
                <w:iCs/>
                <w:sz w:val="22"/>
                <w:szCs w:val="22"/>
                <w:lang w:eastAsia="cs-CZ"/>
              </w:rPr>
              <w:t>Jiné obce, uveďte součet za všechny obce a názvy obcí</w:t>
            </w:r>
          </w:p>
        </w:tc>
        <w:tc>
          <w:tcPr>
            <w:tcW w:w="5360" w:type="dxa"/>
            <w:gridSpan w:val="3"/>
            <w:tcBorders>
              <w:top w:val="single" w:sz="4" w:space="0" w:color="3F3F3F"/>
              <w:left w:val="single" w:sz="2" w:space="0" w:color="000000"/>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Calibri" w:hAnsi="Calibri" w:cs="Calibri"/>
                <w:b/>
                <w:bCs/>
                <w:i/>
                <w:iCs/>
                <w:sz w:val="22"/>
                <w:szCs w:val="22"/>
                <w:lang w:eastAsia="cs-CZ"/>
              </w:rPr>
            </w:pPr>
          </w:p>
        </w:tc>
      </w:tr>
      <w:tr w:rsidR="003E5837" w:rsidRPr="003E5837" w:rsidTr="006277B9">
        <w:trPr>
          <w:trHeight w:val="20"/>
        </w:trPr>
        <w:tc>
          <w:tcPr>
            <w:tcW w:w="421" w:type="dxa"/>
            <w:tcBorders>
              <w:top w:val="single" w:sz="4" w:space="0" w:color="3F3F3F"/>
              <w:left w:val="single" w:sz="12" w:space="0" w:color="000000"/>
              <w:bottom w:val="nil"/>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18</w:t>
            </w:r>
          </w:p>
        </w:tc>
        <w:tc>
          <w:tcPr>
            <w:tcW w:w="6999" w:type="dxa"/>
            <w:tcBorders>
              <w:top w:val="single" w:sz="2" w:space="0" w:color="000000"/>
              <w:left w:val="single" w:sz="8" w:space="0" w:color="auto"/>
              <w:bottom w:val="nil"/>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0"/>
        </w:trPr>
        <w:tc>
          <w:tcPr>
            <w:tcW w:w="421" w:type="dxa"/>
            <w:tcBorders>
              <w:top w:val="single" w:sz="4" w:space="0" w:color="3F3F3F"/>
              <w:left w:val="single" w:sz="12" w:space="0" w:color="000000"/>
              <w:bottom w:val="nil"/>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19</w:t>
            </w:r>
          </w:p>
        </w:tc>
        <w:tc>
          <w:tcPr>
            <w:tcW w:w="6999" w:type="dxa"/>
            <w:tcBorders>
              <w:top w:val="single" w:sz="4" w:space="0" w:color="3F3F3F"/>
              <w:left w:val="single" w:sz="8" w:space="0" w:color="auto"/>
              <w:bottom w:val="nil"/>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0"/>
        </w:trPr>
        <w:tc>
          <w:tcPr>
            <w:tcW w:w="421" w:type="dxa"/>
            <w:tcBorders>
              <w:top w:val="single" w:sz="4" w:space="0" w:color="3F3F3F"/>
              <w:left w:val="single" w:sz="12" w:space="0" w:color="000000"/>
              <w:bottom w:val="nil"/>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20</w:t>
            </w:r>
          </w:p>
        </w:tc>
        <w:tc>
          <w:tcPr>
            <w:tcW w:w="6999" w:type="dxa"/>
            <w:tcBorders>
              <w:top w:val="single" w:sz="4" w:space="0" w:color="3F3F3F"/>
              <w:left w:val="single" w:sz="8" w:space="0" w:color="auto"/>
              <w:bottom w:val="nil"/>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0"/>
        </w:trPr>
        <w:tc>
          <w:tcPr>
            <w:tcW w:w="421" w:type="dxa"/>
            <w:tcBorders>
              <w:top w:val="single" w:sz="4" w:space="0" w:color="3F3F3F"/>
              <w:left w:val="single" w:sz="12" w:space="0" w:color="000000"/>
              <w:bottom w:val="single" w:sz="12" w:space="0" w:color="000000"/>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r w:rsidRPr="003E5837">
              <w:rPr>
                <w:rFonts w:ascii="Calibri" w:hAnsi="Calibri" w:cs="Calibri"/>
                <w:b/>
                <w:bCs/>
                <w:i/>
                <w:iCs/>
                <w:sz w:val="22"/>
                <w:szCs w:val="22"/>
                <w:lang w:eastAsia="cs-CZ"/>
              </w:rPr>
              <w:t>21</w:t>
            </w:r>
          </w:p>
        </w:tc>
        <w:tc>
          <w:tcPr>
            <w:tcW w:w="6999" w:type="dxa"/>
            <w:tcBorders>
              <w:top w:val="single" w:sz="4" w:space="0" w:color="3F3F3F"/>
              <w:left w:val="single" w:sz="8" w:space="0" w:color="auto"/>
              <w:bottom w:val="single" w:sz="12" w:space="0" w:color="000000"/>
              <w:right w:val="single" w:sz="8" w:space="0" w:color="auto"/>
            </w:tcBorders>
            <w:shd w:val="clear" w:color="000000" w:fill="F2F2F2"/>
            <w:noWrap/>
            <w:vAlign w:val="bottom"/>
            <w:hideMark/>
          </w:tcPr>
          <w:p w:rsidR="003E5837" w:rsidRPr="003E5837" w:rsidRDefault="003E5837" w:rsidP="003E5837">
            <w:pPr>
              <w:suppressAutoHyphens w:val="0"/>
              <w:spacing w:line="240" w:lineRule="auto"/>
              <w:jc w:val="right"/>
              <w:rPr>
                <w:rFonts w:ascii="Calibri" w:hAnsi="Calibri" w:cs="Calibri"/>
                <w:b/>
                <w:bCs/>
                <w:i/>
                <w:iCs/>
                <w:sz w:val="22"/>
                <w:szCs w:val="22"/>
                <w:lang w:eastAsia="cs-CZ"/>
              </w:rPr>
            </w:pPr>
          </w:p>
        </w:tc>
        <w:tc>
          <w:tcPr>
            <w:tcW w:w="5360" w:type="dxa"/>
            <w:gridSpan w:val="3"/>
            <w:tcBorders>
              <w:top w:val="single" w:sz="4" w:space="0" w:color="3F3F3F"/>
              <w:left w:val="single" w:sz="8" w:space="0" w:color="auto"/>
              <w:bottom w:val="single" w:sz="8" w:space="0" w:color="auto"/>
              <w:right w:val="single" w:sz="12" w:space="0" w:color="000000"/>
            </w:tcBorders>
            <w:shd w:val="clear" w:color="000000" w:fill="F2F2F2"/>
            <w:noWrap/>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0"/>
        </w:trPr>
        <w:tc>
          <w:tcPr>
            <w:tcW w:w="7420" w:type="dxa"/>
            <w:gridSpan w:val="2"/>
            <w:tcBorders>
              <w:top w:val="single" w:sz="8" w:space="0" w:color="auto"/>
              <w:left w:val="single" w:sz="12" w:space="0" w:color="000000"/>
              <w:bottom w:val="single" w:sz="12" w:space="0" w:color="000000"/>
              <w:right w:val="nil"/>
            </w:tcBorders>
            <w:shd w:val="clear" w:color="000000" w:fill="F2F2F2"/>
            <w:noWrap/>
            <w:vAlign w:val="center"/>
            <w:hideMark/>
          </w:tcPr>
          <w:p w:rsidR="003E5837" w:rsidRPr="003E5837" w:rsidRDefault="003E5837" w:rsidP="003E5837">
            <w:pPr>
              <w:suppressAutoHyphens w:val="0"/>
              <w:spacing w:line="240" w:lineRule="auto"/>
              <w:jc w:val="center"/>
              <w:rPr>
                <w:rFonts w:ascii="Calibri" w:hAnsi="Calibri" w:cs="Calibri"/>
                <w:b/>
                <w:bCs/>
                <w:i/>
                <w:iCs/>
                <w:sz w:val="22"/>
                <w:szCs w:val="22"/>
                <w:lang w:eastAsia="cs-CZ"/>
              </w:rPr>
            </w:pPr>
            <w:r w:rsidRPr="003E5837">
              <w:rPr>
                <w:rFonts w:ascii="Calibri" w:hAnsi="Calibri" w:cs="Calibri"/>
                <w:b/>
                <w:bCs/>
                <w:i/>
                <w:iCs/>
                <w:sz w:val="22"/>
                <w:szCs w:val="22"/>
                <w:lang w:eastAsia="cs-CZ"/>
              </w:rPr>
              <w:t>Celkové příjmy</w:t>
            </w:r>
          </w:p>
        </w:tc>
        <w:tc>
          <w:tcPr>
            <w:tcW w:w="5360" w:type="dxa"/>
            <w:gridSpan w:val="3"/>
            <w:tcBorders>
              <w:top w:val="single" w:sz="12" w:space="0" w:color="000000"/>
              <w:left w:val="single" w:sz="8" w:space="0" w:color="auto"/>
              <w:bottom w:val="single" w:sz="12" w:space="0" w:color="000000"/>
              <w:right w:val="single" w:sz="12" w:space="0" w:color="000000"/>
            </w:tcBorders>
            <w:shd w:val="clear" w:color="000000" w:fill="F2F2F2"/>
            <w:noWrap/>
            <w:vAlign w:val="center"/>
            <w:hideMark/>
          </w:tcPr>
          <w:p w:rsidR="003E5837" w:rsidRPr="003E5837" w:rsidRDefault="003E5837" w:rsidP="003E5837">
            <w:pPr>
              <w:suppressAutoHyphens w:val="0"/>
              <w:spacing w:line="240" w:lineRule="auto"/>
              <w:jc w:val="center"/>
              <w:rPr>
                <w:rFonts w:ascii="Calibri" w:hAnsi="Calibri" w:cs="Calibri"/>
                <w:b/>
                <w:bCs/>
                <w:i/>
                <w:iCs/>
                <w:sz w:val="22"/>
                <w:szCs w:val="22"/>
                <w:lang w:eastAsia="cs-CZ"/>
              </w:rPr>
            </w:pPr>
          </w:p>
        </w:tc>
      </w:tr>
      <w:tr w:rsidR="003E5837" w:rsidRPr="003E5837" w:rsidTr="006277B9">
        <w:trPr>
          <w:trHeight w:val="20"/>
        </w:trPr>
        <w:tc>
          <w:tcPr>
            <w:tcW w:w="7420" w:type="dxa"/>
            <w:gridSpan w:val="2"/>
            <w:tcBorders>
              <w:top w:val="single" w:sz="12" w:space="0" w:color="000000"/>
              <w:left w:val="nil"/>
              <w:bottom w:val="nil"/>
              <w:right w:val="nil"/>
            </w:tcBorders>
            <w:noWrap/>
            <w:vAlign w:val="bottom"/>
            <w:hideMark/>
          </w:tcPr>
          <w:p w:rsidR="003E5837" w:rsidRPr="003E5837" w:rsidRDefault="003E5837" w:rsidP="003E5837">
            <w:pPr>
              <w:suppressAutoHyphens w:val="0"/>
              <w:spacing w:line="240" w:lineRule="auto"/>
              <w:jc w:val="center"/>
              <w:rPr>
                <w:rFonts w:ascii="Calibri" w:hAnsi="Calibri" w:cs="Calibri"/>
                <w:b/>
                <w:bCs/>
                <w:i/>
                <w:iCs/>
                <w:sz w:val="22"/>
                <w:szCs w:val="22"/>
                <w:lang w:eastAsia="cs-CZ"/>
              </w:rPr>
            </w:pPr>
          </w:p>
        </w:tc>
        <w:tc>
          <w:tcPr>
            <w:tcW w:w="5256" w:type="dxa"/>
            <w:tcBorders>
              <w:top w:val="single" w:sz="12" w:space="0" w:color="000000"/>
              <w:left w:val="nil"/>
              <w:bottom w:val="nil"/>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c>
          <w:tcPr>
            <w:tcW w:w="52" w:type="dxa"/>
            <w:tcBorders>
              <w:top w:val="single" w:sz="12" w:space="0" w:color="000000"/>
              <w:left w:val="nil"/>
              <w:bottom w:val="nil"/>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c>
          <w:tcPr>
            <w:tcW w:w="52" w:type="dxa"/>
            <w:tcBorders>
              <w:top w:val="single" w:sz="12" w:space="0" w:color="000000"/>
              <w:left w:val="nil"/>
              <w:bottom w:val="nil"/>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0"/>
        </w:trPr>
        <w:tc>
          <w:tcPr>
            <w:tcW w:w="7420" w:type="dxa"/>
            <w:gridSpan w:val="2"/>
            <w:tcBorders>
              <w:top w:val="nil"/>
              <w:left w:val="nil"/>
              <w:bottom w:val="nil"/>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c>
          <w:tcPr>
            <w:tcW w:w="5256"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c>
          <w:tcPr>
            <w:tcW w:w="52" w:type="dxa"/>
            <w:tcBorders>
              <w:top w:val="nil"/>
              <w:left w:val="nil"/>
              <w:bottom w:val="nil"/>
              <w:right w:val="nil"/>
            </w:tcBorders>
            <w:noWrap/>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c>
          <w:tcPr>
            <w:tcW w:w="52"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0"/>
        </w:trPr>
        <w:tc>
          <w:tcPr>
            <w:tcW w:w="421" w:type="dxa"/>
            <w:tcBorders>
              <w:top w:val="nil"/>
              <w:left w:val="nil"/>
              <w:bottom w:val="nil"/>
              <w:right w:val="nil"/>
            </w:tcBorders>
            <w:noWrap/>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c>
          <w:tcPr>
            <w:tcW w:w="6999"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cs="Arial"/>
                <w:i/>
                <w:iCs/>
                <w:sz w:val="18"/>
                <w:szCs w:val="18"/>
                <w:lang w:eastAsia="cs-CZ"/>
              </w:rPr>
            </w:pPr>
            <w:r w:rsidRPr="003E5837">
              <w:rPr>
                <w:rFonts w:cs="Arial"/>
                <w:i/>
                <w:iCs/>
                <w:sz w:val="18"/>
                <w:szCs w:val="18"/>
                <w:lang w:eastAsia="cs-CZ"/>
              </w:rPr>
              <w:t xml:space="preserve"> </w:t>
            </w:r>
          </w:p>
        </w:tc>
        <w:tc>
          <w:tcPr>
            <w:tcW w:w="5256" w:type="dxa"/>
            <w:tcBorders>
              <w:top w:val="nil"/>
              <w:left w:val="nil"/>
              <w:bottom w:val="nil"/>
              <w:right w:val="nil"/>
            </w:tcBorders>
            <w:vAlign w:val="bottom"/>
            <w:hideMark/>
          </w:tcPr>
          <w:p w:rsidR="003E5837" w:rsidRPr="003E5837" w:rsidRDefault="003E5837" w:rsidP="003E5837">
            <w:pPr>
              <w:suppressAutoHyphens w:val="0"/>
              <w:spacing w:line="240" w:lineRule="auto"/>
              <w:rPr>
                <w:rFonts w:cs="Arial"/>
                <w:i/>
                <w:iCs/>
                <w:sz w:val="18"/>
                <w:szCs w:val="18"/>
                <w:lang w:eastAsia="cs-CZ"/>
              </w:rPr>
            </w:pPr>
            <w:r w:rsidRPr="003E5837">
              <w:rPr>
                <w:rFonts w:cs="Arial"/>
                <w:i/>
                <w:iCs/>
                <w:sz w:val="18"/>
                <w:szCs w:val="18"/>
                <w:lang w:eastAsia="cs-CZ"/>
              </w:rPr>
              <w:t xml:space="preserve">Jméno, příjmení </w:t>
            </w:r>
          </w:p>
        </w:tc>
        <w:tc>
          <w:tcPr>
            <w:tcW w:w="52"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cs="Arial"/>
                <w:i/>
                <w:iCs/>
                <w:sz w:val="18"/>
                <w:szCs w:val="18"/>
                <w:lang w:eastAsia="cs-CZ"/>
              </w:rPr>
            </w:pPr>
          </w:p>
        </w:tc>
        <w:tc>
          <w:tcPr>
            <w:tcW w:w="52"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0"/>
        </w:trPr>
        <w:tc>
          <w:tcPr>
            <w:tcW w:w="421" w:type="dxa"/>
            <w:tcBorders>
              <w:top w:val="nil"/>
              <w:left w:val="nil"/>
              <w:bottom w:val="nil"/>
              <w:right w:val="nil"/>
            </w:tcBorders>
            <w:noWrap/>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c>
          <w:tcPr>
            <w:tcW w:w="6999" w:type="dxa"/>
            <w:tcBorders>
              <w:top w:val="nil"/>
              <w:left w:val="nil"/>
              <w:bottom w:val="nil"/>
              <w:right w:val="nil"/>
            </w:tcBorders>
            <w:vAlign w:val="bottom"/>
            <w:hideMark/>
          </w:tcPr>
          <w:p w:rsidR="003E5837" w:rsidRPr="003E5837" w:rsidRDefault="003E5837" w:rsidP="003E5837">
            <w:pPr>
              <w:suppressAutoHyphens w:val="0"/>
              <w:spacing w:line="240" w:lineRule="auto"/>
              <w:rPr>
                <w:rFonts w:cs="Arial"/>
                <w:i/>
                <w:iCs/>
                <w:color w:val="000000"/>
                <w:sz w:val="18"/>
                <w:szCs w:val="18"/>
                <w:lang w:eastAsia="cs-CZ"/>
              </w:rPr>
            </w:pPr>
            <w:r w:rsidRPr="003E5837">
              <w:rPr>
                <w:rFonts w:cs="Arial"/>
                <w:i/>
                <w:iCs/>
                <w:color w:val="000000"/>
                <w:sz w:val="18"/>
                <w:szCs w:val="18"/>
                <w:lang w:eastAsia="cs-CZ"/>
              </w:rPr>
              <w:t>Datum:</w:t>
            </w:r>
          </w:p>
        </w:tc>
        <w:tc>
          <w:tcPr>
            <w:tcW w:w="5256"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cs="Arial"/>
                <w:i/>
                <w:iCs/>
                <w:sz w:val="18"/>
                <w:szCs w:val="18"/>
                <w:lang w:eastAsia="cs-CZ"/>
              </w:rPr>
            </w:pPr>
            <w:r w:rsidRPr="003E5837">
              <w:rPr>
                <w:rFonts w:cs="Arial"/>
                <w:i/>
                <w:iCs/>
                <w:sz w:val="18"/>
                <w:szCs w:val="18"/>
                <w:lang w:eastAsia="cs-CZ"/>
              </w:rPr>
              <w:t>podpis osoby oprávněné zastupovat žadatele</w:t>
            </w:r>
          </w:p>
        </w:tc>
        <w:tc>
          <w:tcPr>
            <w:tcW w:w="52"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cs="Arial"/>
                <w:i/>
                <w:iCs/>
                <w:sz w:val="18"/>
                <w:szCs w:val="18"/>
                <w:lang w:eastAsia="cs-CZ"/>
              </w:rPr>
            </w:pPr>
          </w:p>
        </w:tc>
        <w:tc>
          <w:tcPr>
            <w:tcW w:w="52"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r>
      <w:tr w:rsidR="003E5837" w:rsidRPr="003E5837" w:rsidTr="006277B9">
        <w:trPr>
          <w:trHeight w:val="20"/>
        </w:trPr>
        <w:tc>
          <w:tcPr>
            <w:tcW w:w="7420" w:type="dxa"/>
            <w:gridSpan w:val="2"/>
            <w:tcBorders>
              <w:top w:val="nil"/>
              <w:left w:val="nil"/>
              <w:bottom w:val="nil"/>
              <w:right w:val="nil"/>
            </w:tcBorders>
            <w:noWrap/>
            <w:vAlign w:val="bottom"/>
            <w:hideMark/>
          </w:tcPr>
          <w:p w:rsidR="003E5837" w:rsidRPr="003E5837" w:rsidRDefault="003E5837" w:rsidP="003E5837">
            <w:pPr>
              <w:suppressAutoHyphens w:val="0"/>
              <w:spacing w:line="240" w:lineRule="auto"/>
              <w:jc w:val="center"/>
              <w:rPr>
                <w:rFonts w:ascii="Times New Roman" w:hAnsi="Times New Roman"/>
                <w:lang w:eastAsia="cs-CZ"/>
              </w:rPr>
            </w:pPr>
          </w:p>
        </w:tc>
        <w:tc>
          <w:tcPr>
            <w:tcW w:w="5256"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cs="Arial"/>
                <w:i/>
                <w:iCs/>
                <w:sz w:val="18"/>
                <w:szCs w:val="18"/>
                <w:lang w:eastAsia="cs-CZ"/>
              </w:rPr>
            </w:pPr>
            <w:r w:rsidRPr="003E5837">
              <w:rPr>
                <w:rFonts w:cs="Arial"/>
                <w:i/>
                <w:iCs/>
                <w:sz w:val="18"/>
                <w:szCs w:val="18"/>
                <w:lang w:eastAsia="cs-CZ"/>
              </w:rPr>
              <w:t xml:space="preserve">razítko </w:t>
            </w:r>
          </w:p>
        </w:tc>
        <w:tc>
          <w:tcPr>
            <w:tcW w:w="52"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cs="Arial"/>
                <w:i/>
                <w:iCs/>
                <w:sz w:val="18"/>
                <w:szCs w:val="18"/>
                <w:lang w:eastAsia="cs-CZ"/>
              </w:rPr>
            </w:pPr>
          </w:p>
        </w:tc>
        <w:tc>
          <w:tcPr>
            <w:tcW w:w="52" w:type="dxa"/>
            <w:tcBorders>
              <w:top w:val="nil"/>
              <w:left w:val="nil"/>
              <w:bottom w:val="nil"/>
              <w:right w:val="nil"/>
            </w:tcBorders>
            <w:noWrap/>
            <w:vAlign w:val="bottom"/>
            <w:hideMark/>
          </w:tcPr>
          <w:p w:rsidR="003E5837" w:rsidRPr="003E5837" w:rsidRDefault="003E5837" w:rsidP="003E5837">
            <w:pPr>
              <w:suppressAutoHyphens w:val="0"/>
              <w:spacing w:line="240" w:lineRule="auto"/>
              <w:rPr>
                <w:rFonts w:ascii="Times New Roman" w:hAnsi="Times New Roman"/>
                <w:lang w:eastAsia="cs-CZ"/>
              </w:rPr>
            </w:pPr>
          </w:p>
        </w:tc>
      </w:tr>
    </w:tbl>
    <w:p w:rsidR="003E5837" w:rsidRPr="003E5837" w:rsidRDefault="003E5837" w:rsidP="003E5837">
      <w:pPr>
        <w:suppressAutoHyphens w:val="0"/>
        <w:spacing w:line="240" w:lineRule="auto"/>
        <w:jc w:val="both"/>
        <w:rPr>
          <w:rFonts w:asciiTheme="minorHAnsi" w:eastAsiaTheme="minorHAnsi" w:hAnsiTheme="minorHAnsi" w:cstheme="minorHAnsi"/>
          <w:sz w:val="22"/>
          <w:szCs w:val="22"/>
          <w:lang w:eastAsia="en-US"/>
        </w:rPr>
      </w:pPr>
    </w:p>
    <w:p w:rsidR="00F663DC" w:rsidRDefault="00F663DC"/>
    <w:sectPr w:rsidR="00F663DC" w:rsidSect="00432006">
      <w:headerReference w:type="default" r:id="rId9"/>
      <w:footnotePr>
        <w:pos w:val="beneathText"/>
      </w:footnotePr>
      <w:pgSz w:w="11905" w:h="16837"/>
      <w:pgMar w:top="2665" w:right="1134" w:bottom="1985" w:left="1559"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3AA" w:rsidRDefault="001E33AA">
      <w:pPr>
        <w:spacing w:line="240" w:lineRule="auto"/>
      </w:pPr>
      <w:r>
        <w:separator/>
      </w:r>
    </w:p>
  </w:endnote>
  <w:endnote w:type="continuationSeparator" w:id="0">
    <w:p w:rsidR="001E33AA" w:rsidRDefault="001E3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003830"/>
      <w:docPartObj>
        <w:docPartGallery w:val="Page Numbers (Bottom of Page)"/>
        <w:docPartUnique/>
      </w:docPartObj>
    </w:sdtPr>
    <w:sdtEndPr/>
    <w:sdtContent>
      <w:p w:rsidR="003E5837" w:rsidRDefault="003E5837">
        <w:pPr>
          <w:pStyle w:val="Zpat"/>
          <w:jc w:val="right"/>
        </w:pPr>
        <w:r>
          <w:fldChar w:fldCharType="begin"/>
        </w:r>
        <w:r>
          <w:instrText>PAGE   \* MERGEFORMAT</w:instrText>
        </w:r>
        <w:r>
          <w:fldChar w:fldCharType="separate"/>
        </w:r>
        <w:r w:rsidR="00641059">
          <w:rPr>
            <w:noProof/>
          </w:rPr>
          <w:t>10</w:t>
        </w:r>
        <w:r>
          <w:fldChar w:fldCharType="end"/>
        </w:r>
        <w:r>
          <w:t>/7</w:t>
        </w:r>
      </w:p>
    </w:sdtContent>
  </w:sdt>
  <w:p w:rsidR="003E5837" w:rsidRDefault="003E58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3AA" w:rsidRDefault="001E33AA">
      <w:pPr>
        <w:spacing w:line="240" w:lineRule="auto"/>
      </w:pPr>
      <w:r>
        <w:separator/>
      </w:r>
    </w:p>
  </w:footnote>
  <w:footnote w:type="continuationSeparator" w:id="0">
    <w:p w:rsidR="001E33AA" w:rsidRDefault="001E33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1E33AA">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3"/>
  </w:num>
  <w:num w:numId="7">
    <w:abstractNumId w:val="11"/>
  </w:num>
  <w:num w:numId="8">
    <w:abstractNumId w:val="9"/>
  </w:num>
  <w:num w:numId="9">
    <w:abstractNumId w:val="4"/>
  </w:num>
  <w:num w:numId="10">
    <w:abstractNumId w:val="2"/>
  </w:num>
  <w:num w:numId="11">
    <w:abstractNumId w:val="10"/>
  </w:num>
  <w:num w:numId="12">
    <w:abstractNumId w:val="5"/>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AA"/>
    <w:rsid w:val="000577FF"/>
    <w:rsid w:val="00196DA9"/>
    <w:rsid w:val="001B2311"/>
    <w:rsid w:val="001E33AA"/>
    <w:rsid w:val="002507E4"/>
    <w:rsid w:val="002B17EE"/>
    <w:rsid w:val="0035552A"/>
    <w:rsid w:val="003E5837"/>
    <w:rsid w:val="003F319A"/>
    <w:rsid w:val="00432006"/>
    <w:rsid w:val="004A6CEF"/>
    <w:rsid w:val="004B5DED"/>
    <w:rsid w:val="00623C7E"/>
    <w:rsid w:val="00641059"/>
    <w:rsid w:val="00672820"/>
    <w:rsid w:val="00706512"/>
    <w:rsid w:val="007233C7"/>
    <w:rsid w:val="00727E16"/>
    <w:rsid w:val="007C6BE4"/>
    <w:rsid w:val="00823A27"/>
    <w:rsid w:val="009C17D7"/>
    <w:rsid w:val="00A4107A"/>
    <w:rsid w:val="00CC7436"/>
    <w:rsid w:val="00CF1CF3"/>
    <w:rsid w:val="00D2781A"/>
    <w:rsid w:val="00E57035"/>
    <w:rsid w:val="00F032F7"/>
    <w:rsid w:val="00F117DD"/>
    <w:rsid w:val="00F66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2867E781-9677-4356-8079-24E25A2B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6512"/>
    <w:pPr>
      <w:suppressAutoHyphens/>
      <w:spacing w:line="280" w:lineRule="exact"/>
    </w:pPr>
    <w:rPr>
      <w:rFonts w:ascii="Arial" w:hAnsi="Arial"/>
      <w:lang w:eastAsia="ar-SA"/>
    </w:rPr>
  </w:style>
  <w:style w:type="paragraph" w:styleId="Nadpis1">
    <w:name w:val="heading 1"/>
    <w:basedOn w:val="Normln"/>
    <w:next w:val="Normln"/>
    <w:link w:val="Nadpis1Char"/>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 w:val="22"/>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rPr>
      <w:sz w:val="22"/>
    </w:rPr>
  </w:style>
  <w:style w:type="character" w:customStyle="1" w:styleId="Nadpis1Char">
    <w:name w:val="Nadpis 1 Char"/>
    <w:basedOn w:val="Standardnpsmoodstavce"/>
    <w:link w:val="Nadpis1"/>
    <w:rsid w:val="00706512"/>
    <w:rPr>
      <w:rFonts w:ascii="Arial" w:hAnsi="Arial" w:cs="Arial"/>
      <w:b/>
      <w:bCs/>
      <w:kern w:val="1"/>
      <w:sz w:val="30"/>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19</TotalTime>
  <Pages>10</Pages>
  <Words>3371</Words>
  <Characters>19895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Látalová Markéta</cp:lastModifiedBy>
  <cp:revision>16</cp:revision>
  <cp:lastPrinted>2008-11-24T18:55:00Z</cp:lastPrinted>
  <dcterms:created xsi:type="dcterms:W3CDTF">2023-01-09T07:28:00Z</dcterms:created>
  <dcterms:modified xsi:type="dcterms:W3CDTF">2023-12-13T07:48:00Z</dcterms:modified>
</cp:coreProperties>
</file>