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60" w:firstLine="0"/>
        <w:jc w:val="right"/>
        <w:rPr>
          <w:sz w:val="16"/>
          <w:szCs w:val="16"/>
        </w:rPr>
      </w:pPr>
      <w:r>
        <w:rPr>
          <w:rStyle w:val="CharStyle5"/>
          <w:sz w:val="16"/>
          <w:szCs w:val="16"/>
        </w:rPr>
        <w:t>2023009618</w:t>
      </w:r>
    </w:p>
    <w:p>
      <w:pPr>
        <w:pStyle w:val="Style10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CharStyle11"/>
          <w:b/>
          <w:bCs/>
        </w:rPr>
        <w:t>SMLOUVA O DÍLO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6634" w:val="left"/>
          <w:tab w:leader="hyphen" w:pos="6772" w:val="left"/>
          <w:tab w:leader="hyphen" w:pos="7118" w:val="left"/>
          <w:tab w:leader="hyphen" w:pos="7862" w:val="left"/>
        </w:tabs>
        <w:bidi w:val="0"/>
        <w:spacing w:before="0" w:after="440" w:line="240" w:lineRule="auto"/>
        <w:ind w:left="0" w:right="0" w:firstLine="0"/>
        <w:jc w:val="right"/>
      </w:pPr>
      <w:r>
        <w:rPr>
          <w:rStyle w:val="CharStyle3"/>
        </w:rPr>
        <w:t>podle ust. § 2586 a násl. občanského zákoníku, uzavřená mezr~~</w:t>
        <w:tab/>
        <w:tab/>
        <w:tab/>
        <w:t>—</w:t>
        <w:tab/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12700</wp:posOffset>
                </wp:positionV>
                <wp:extent cx="1652270" cy="14719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2270" cy="147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450000000000003pt;margin-top:1.pt;width:130.09999999999999pt;height:115.90000000000001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rStyle w:val="CharStyle13"/>
          <w:b/>
          <w:bCs/>
        </w:rPr>
        <w:t>Zdravotnická záchranná služba Jihomoravského kraje, příspěvková organizace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5"/>
          <w:shd w:val="clear" w:color="auto" w:fill="000000"/>
        </w:rPr>
        <w:t>.........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3"/>
          <w:shd w:val="clear" w:color="auto" w:fill="000000"/>
        </w:rPr>
        <w:t>.....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rStyle w:val="CharStyle3"/>
        </w:rPr>
        <w:t xml:space="preserve">MONETA Money Bank, a.s., č. ú. 117203514/0600 </w:t>
      </w:r>
      <w:r>
        <w:rPr>
          <w:rStyle w:val="CharStyle3"/>
        </w:rPr>
        <w:t xml:space="preserve">(dále jen </w:t>
      </w:r>
      <w:r>
        <w:rPr>
          <w:rStyle w:val="CharStyle3"/>
          <w:i/>
          <w:iCs/>
        </w:rPr>
        <w:t>„objednáte?)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a</w:t>
      </w:r>
    </w:p>
    <w:tbl>
      <w:tblPr>
        <w:tblOverlap w:val="never"/>
        <w:jc w:val="left"/>
        <w:tblLayout w:type="fixed"/>
      </w:tblPr>
      <w:tblGrid>
        <w:gridCol w:w="2659"/>
        <w:gridCol w:w="6077"/>
      </w:tblGrid>
      <w:tr>
        <w:trPr>
          <w:trHeight w:val="29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7"/>
                <w:b/>
                <w:bCs/>
              </w:rPr>
              <w:t>SOFTCOM GROUP,, spol. s r.o.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Sídlo: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28.Pluku 458/7,101 00 Praha 10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Ing. Aleš Plašil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27"/>
              </w:rPr>
              <w:t>Kontaktní osoba: 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7"/>
                <w:spacing w:val="3"/>
                <w:shd w:val="clear" w:color="auto" w:fill="000000"/>
              </w:rPr>
              <w:t>......</w:t>
            </w:r>
            <w:r>
              <w:rPr>
                <w:rStyle w:val="CharStyle27"/>
                <w:spacing w:val="4"/>
                <w:shd w:val="clear" w:color="auto" w:fill="000000"/>
              </w:rPr>
              <w:t>...</w:t>
            </w:r>
            <w:r>
              <w:rPr>
                <w:rStyle w:val="CharStyle27"/>
                <w:shd w:val="clear" w:color="auto" w:fill="000000"/>
              </w:rPr>
              <w:t>​</w:t>
            </w:r>
            <w:r>
              <w:rPr>
                <w:rStyle w:val="CharStyle27"/>
                <w:spacing w:val="4"/>
                <w:shd w:val="clear" w:color="auto" w:fill="000000"/>
              </w:rPr>
              <w:t>...</w:t>
            </w:r>
            <w:r>
              <w:rPr>
                <w:rStyle w:val="CharStyle27"/>
                <w:spacing w:val="5"/>
                <w:shd w:val="clear" w:color="auto" w:fill="000000"/>
              </w:rPr>
              <w:t>........</w:t>
            </w:r>
            <w:r>
              <w:rPr>
                <w:rStyle w:val="CharStyle27"/>
              </w:rPr>
              <w:t xml:space="preserve"> 25623290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DIČ: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CZ25623290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7"/>
              </w:rPr>
              <w:t>Firma je zapsána v obchodním rejstříku vedeném Městským soudem</w:t>
            </w:r>
          </w:p>
        </w:tc>
      </w:tr>
    </w:tbl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5"/>
        </w:rPr>
        <w:t>v Praze, oddíl C, vložka 55683.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5"/>
        </w:rPr>
        <w:t>Bankovní spojení (číslo účtu): 19-2295150207/0100</w:t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rStyle w:val="CharStyle3"/>
        </w:rPr>
        <w:t xml:space="preserve">(dále jen </w:t>
      </w:r>
      <w:r>
        <w:rPr>
          <w:rStyle w:val="CharStyle3"/>
          <w:i/>
          <w:iCs/>
        </w:rPr>
        <w:t>„zhotovíte?)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Zhotovitel je oprávněn zajišťovat technickou podporu k těmto počítačovým programům z produkce společnosti Veeam® Software (dále jen „výrobce"):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40" w:line="276" w:lineRule="auto"/>
        <w:ind w:left="0" w:right="0" w:firstLine="940"/>
        <w:jc w:val="left"/>
      </w:pPr>
      <w:bookmarkStart w:id="4" w:name="bookmark4"/>
      <w:r>
        <w:rPr>
          <w:rStyle w:val="CharStyle13"/>
          <w:b/>
          <w:bCs/>
        </w:rPr>
        <w:t>Veeam Backup &amp; Replication Enterprise pro 7 CPU</w:t>
      </w:r>
      <w:bookmarkEnd w:id="4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Objednatel je oprávněn užívat pro svoje potřeby počítačové programy podle či. 1 této smlouvy. Děje se tak na základě příslušných licenčních smluv, uzavřených mezi objednatelem a oprávněným poskytovatelem příslušných licencí.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Zhotovitel se zavazuje zajistit pro objednatele dílo ve formě technické podpory počítačových programů podle čl. 1 této smlouvy, čímž se rozumí umožnění přístupu k novým verzím těchto programů a k portálu výrobce pro řešení případných chyb těchto programů, a to nepřetržitě po dobu 2 let ode dne splnění závazku zhotovitele k provedení díla podle čí. 5 této smlouvy. Zhotovitel se zavazuje tak učinit v rozsahu dle podmínek podpory příslušných programů ze strany jejich výrobce.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Závazek zhotovitele k provedení díla podle čl. 3 této smlouvy se považuje za splněný po faktickém poskytnutí příslušných přístupových práv objednateli dnem předání a převzetí díla formou písemného předávacího protokolu, podepsaného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3"/>
        </w:rPr>
        <w:t>Zhotovitel se zavazuje splnit svůj závazek k provedení díla podle čí. 3 této smlouvy ve lhůtě do 16. 12. 2023. Místem splnění tohoto závazku zhotovitele je sídlo objednatele dle záhlaví ktéto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Pro případ prodlení zhotovitele se splněním jeho závazku podle této smlouvy ve lhůtě podle či. 5 této smlouvy se zhotovitel zavazuje zaplatit objednateli smluvní pokutu ve výši OJ % z ceny díla podle čl. 7 této smlouvy za každý započatý den prodlení. Pro případ tohoto prodlení zhotovitele o víc, než 10 dnů, je objednatel oprávněn od této smlouvy odstoupit.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after="0" w:line="286" w:lineRule="auto"/>
        <w:ind w:left="400" w:right="0" w:hanging="400"/>
        <w:jc w:val="both"/>
      </w:pPr>
      <w:r>
        <w:rPr>
          <w:rStyle w:val="CharStyle3"/>
        </w:rPr>
        <w:t>Objednatel se zavazuje zaplatit zhotoviteli za dílo podle či. 3 této smlouvy paušální cenu díla ve výši: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86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144200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174482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Součástí ceny díla podle čl. 7 této smlouvy bude i příslušná daň z přidané hodnoty a veškeré ostatní náklady, vynaložené zhotovitelem na splnění jeho závazku podle čl. 3 této smlouvy v místě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 xml:space="preserve">Cena díla podle čl. 7 této smlouvy je splatná jednorázově předem ve lhůtě do 30 dnů ode dne doručení jejího písemného vyúčtování (daňového dokladu/faktury).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P23V00003937. </w:t>
      </w:r>
      <w:r>
        <w:rPr>
          <w:rStyle w:val="CharStyle3"/>
        </w:rPr>
        <w:t>Přílohou faktury bude kopie oboustranně podepsaného předávacího protokolu. Nebude-Ii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3"/>
        </w:rPr>
        <w:t>Pro případ prodlení s úhradou ceny díla ve lhůtě podle čl. 9 této smlouvy se objednatel zavazuje zaplatit zhotoviteli úrok z prodlení ve výši dle zákona.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3"/>
        </w:rPr>
        <w:t>Pro případ závady na díle podle čl. 3 této smlouvy, čímž se rozumí jakákoliv závada v přístupu k novým verzím počítačových programů podle čl. 1 této smlouvy a k portálu výrobce pro řešení případných chyb těchto programů, je objednatel oprávněn od této smlouvy odstoupit.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Pro případ sporu o oprávněnost odstoupení od smlouvy podle čl. 11 této smlouvy se objednateli vyhrazuje právo nechat vyhotovit k prověření této oprávněnosti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tuzemským právním řádem, konkrétně ust. § 2586 až 2622 občanského zákoníku, přičemž citovaná ustanovení zákona mají přednost před nepsanými obchodními zvyklostmi. Tímto ujednáním se přitom vylučuje aplikace ust.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/>
        <w:ind w:left="0" w:right="0" w:firstLine="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03" w:val="left"/>
        </w:tabs>
        <w:bidi w:val="0"/>
        <w:spacing w:before="0" w:line="276" w:lineRule="auto"/>
        <w:ind w:left="400" w:right="0" w:hanging="400"/>
        <w:jc w:val="both"/>
      </w:pPr>
      <w:r>
        <w:rPr>
          <w:rStyle w:val="CharStyle3"/>
        </w:rPr>
        <w:t>Tato smlouva se sjednává na základě návrhu na její uzavření ze strany zhotovitele. Předpokladem uzavření této smlouvy je její písemná forma a dohoda o jejích podstatných náležitostech, čímž se rozumí celý obsah této smlouvy, jak je uveden v čl. 1 až 18 této smlouvy. Objednatel přitom předem vylučuje přijetí tohoto návrhu s dodatkem nebo odchylkou ve smyslu ust. § 1740 odst. 3 občanského zákoníku.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302" w:lineRule="auto"/>
        <w:ind w:left="500" w:right="0" w:hanging="500"/>
        <w:jc w:val="both"/>
      </w:pPr>
      <w:r>
        <w:rPr>
          <w:rStyle w:val="CharStyle3"/>
        </w:rPr>
        <w:t>Obě strany se dohodly, že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500" w:right="0" w:hanging="500"/>
        <w:jc w:val="both"/>
      </w:pPr>
      <w:r>
        <w:rPr>
          <w:rStyle w:val="CharStyle3"/>
        </w:rPr>
        <w:t>Tato smlouva nabývá platnosti dnem jejího uzavření a účinnosti dnem jejího uveřejnění registru podle zákona č. 340/2015 Sb. o registru smluv. Smluvní strany se dohodly, že uveřejnění v registru smluv (ISRS) včetně uvedení metadat provede objednatel.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0" w:line="295" w:lineRule="auto"/>
        <w:ind w:left="500" w:right="0" w:hanging="5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04" w:right="856" w:bottom="1994" w:left="1440" w:header="1076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18" w:right="0" w:bottom="11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104" w:h="283" w:wrap="none" w:vAnchor="text" w:hAnchor="page" w:x="15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V Brně, dne</w:t>
      </w:r>
    </w:p>
    <w:p>
      <w:pPr>
        <w:pStyle w:val="Style4"/>
        <w:keepNext w:val="0"/>
        <w:keepLines w:val="0"/>
        <w:framePr w:w="1560" w:h="691" w:wrap="none" w:vAnchor="text" w:hAnchor="page" w:x="3255" w:y="563"/>
        <w:widowControl w:val="0"/>
        <w:shd w:val="clear" w:color="auto" w:fill="auto"/>
        <w:tabs>
          <w:tab w:leader="underscore" w:pos="40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spacing w:val="2"/>
          <w:shd w:val="clear" w:color="auto" w:fill="000000"/>
        </w:rPr>
        <w:t>..</w:t>
      </w:r>
      <w:r>
        <w:rPr>
          <w:rStyle w:val="CharStyle5"/>
          <w:spacing w:val="3"/>
          <w:shd w:val="clear" w:color="auto" w:fill="000000"/>
        </w:rPr>
        <w:t>.......</w:t>
      </w:r>
      <w:r>
        <w:rPr>
          <w:rStyle w:val="CharStyle5"/>
          <w:shd w:val="clear" w:color="auto" w:fill="000000"/>
        </w:rPr>
        <w:t>.......</w:t>
      </w:r>
      <w:r>
        <w:rPr>
          <w:rStyle w:val="CharStyle5"/>
          <w:spacing w:val="1"/>
          <w:shd w:val="clear" w:color="auto" w:fill="000000"/>
        </w:rPr>
        <w:t>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..</w:t>
      </w:r>
      <w:r>
        <w:rPr>
          <w:rStyle w:val="CharStyle5"/>
          <w:spacing w:val="4"/>
          <w:shd w:val="clear" w:color="auto" w:fill="000000"/>
        </w:rPr>
        <w:t>......</w:t>
      </w:r>
      <w:r>
        <w:rPr>
          <w:rStyle w:val="CharStyle5"/>
          <w:color w:val="60A9DC"/>
        </w:rPr>
        <w:t>a</w:t>
      </w:r>
    </w:p>
    <w:p>
      <w:pPr>
        <w:pStyle w:val="Style2"/>
        <w:keepNext w:val="0"/>
        <w:keepLines w:val="0"/>
        <w:framePr w:w="1560" w:h="691" w:wrap="none" w:vAnchor="text" w:hAnchor="page" w:x="3255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2"/>
          <w:shd w:val="clear" w:color="auto" w:fill="000000"/>
        </w:rPr>
        <w:t>.............</w:t>
      </w:r>
      <w:r>
        <w:rPr>
          <w:rStyle w:val="CharStyle3"/>
          <w:spacing w:val="3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</w:t>
      </w:r>
      <w:r>
        <w:rPr>
          <w:rStyle w:val="CharStyle3"/>
          <w:color w:val="60A9DC"/>
        </w:rPr>
        <w:t>.</w:t>
      </w:r>
    </w:p>
    <w:p>
      <w:pPr>
        <w:pStyle w:val="Style4"/>
        <w:keepNext w:val="0"/>
        <w:keepLines w:val="0"/>
        <w:framePr w:w="1560" w:h="691" w:wrap="none" w:vAnchor="text" w:hAnchor="page" w:x="3255" w:y="563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rStyle w:val="CharStyle5"/>
          <w:sz w:val="16"/>
          <w:szCs w:val="16"/>
          <w:shd w:val="clear" w:color="auto" w:fill="000000"/>
        </w:rPr>
        <w:t>..</w:t>
      </w:r>
      <w:r>
        <w:rPr>
          <w:rStyle w:val="CharStyle5"/>
          <w:spacing w:val="1"/>
          <w:sz w:val="16"/>
          <w:szCs w:val="16"/>
          <w:shd w:val="clear" w:color="auto" w:fill="000000"/>
        </w:rPr>
        <w:t>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6"/>
          <w:shd w:val="clear" w:color="auto" w:fill="000000"/>
        </w:rPr>
        <w:t>...</w:t>
      </w:r>
      <w:r>
        <w:rPr>
          <w:rStyle w:val="CharStyle5"/>
          <w:spacing w:val="7"/>
          <w:shd w:val="clear" w:color="auto" w:fill="000000"/>
        </w:rPr>
        <w:t>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10"/>
          <w:shd w:val="clear" w:color="auto" w:fill="000000"/>
        </w:rPr>
        <w:t>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......</w:t>
      </w:r>
      <w:r>
        <w:rPr>
          <w:rStyle w:val="CharStyle5"/>
          <w:spacing w:val="4"/>
          <w:shd w:val="clear" w:color="auto" w:fill="000000"/>
        </w:rPr>
        <w:t>.</w:t>
      </w:r>
    </w:p>
    <w:p>
      <w:pPr>
        <w:pStyle w:val="Style48"/>
        <w:keepNext w:val="0"/>
        <w:keepLines w:val="0"/>
        <w:framePr w:w="648" w:h="413" w:wrap="none" w:vAnchor="text" w:hAnchor="page" w:x="2257" w:y="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49"/>
          <w:color w:val="000000"/>
          <w:spacing w:val="3"/>
          <w:shd w:val="clear" w:color="auto" w:fill="000000"/>
        </w:rPr>
        <w:t>.</w:t>
      </w:r>
      <w:r>
        <w:rPr>
          <w:rStyle w:val="CharStyle49"/>
          <w:color w:val="000000"/>
          <w:spacing w:val="4"/>
          <w:shd w:val="clear" w:color="auto" w:fill="000000"/>
        </w:rPr>
        <w:t>.......</w:t>
      </w:r>
    </w:p>
    <w:p>
      <w:pPr>
        <w:pStyle w:val="Style48"/>
        <w:keepNext w:val="0"/>
        <w:keepLines w:val="0"/>
        <w:framePr w:w="648" w:h="413" w:wrap="none" w:vAnchor="text" w:hAnchor="page" w:x="2257" w:y="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49"/>
          <w:color w:val="000000"/>
          <w:spacing w:val="1"/>
          <w:shd w:val="clear" w:color="auto" w:fill="000000"/>
        </w:rPr>
        <w:t>.........</w:t>
      </w:r>
      <w:r>
        <w:rPr>
          <w:rStyle w:val="CharStyle49"/>
          <w:color w:val="000000"/>
          <w:spacing w:val="2"/>
          <w:shd w:val="clear" w:color="auto" w:fill="000000"/>
        </w:rPr>
        <w:t>...</w:t>
      </w:r>
    </w:p>
    <w:p>
      <w:pPr>
        <w:pStyle w:val="Style2"/>
        <w:keepNext w:val="0"/>
        <w:keepLines w:val="0"/>
        <w:framePr w:w="2194" w:h="235" w:wrap="none" w:vAnchor="text" w:hAnchor="page" w:x="1551" w:y="1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MUDr. Hana Albrechtová</w:t>
      </w:r>
    </w:p>
    <w:p>
      <w:pPr>
        <w:pStyle w:val="Style2"/>
        <w:keepNext w:val="0"/>
        <w:keepLines w:val="0"/>
        <w:framePr w:w="763" w:h="235" w:wrap="none" w:vAnchor="text" w:hAnchor="page" w:x="1551" w:y="19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ředitelka</w:t>
      </w:r>
    </w:p>
    <w:p>
      <w:pPr>
        <w:pStyle w:val="Style4"/>
        <w:keepNext w:val="0"/>
        <w:keepLines w:val="0"/>
        <w:framePr w:w="1027" w:h="240" w:wrap="none" w:vAnchor="text" w:hAnchor="page" w:x="1556" w:y="21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Objednatel</w:t>
      </w:r>
    </w:p>
    <w:p>
      <w:pPr>
        <w:pStyle w:val="Style2"/>
        <w:keepNext w:val="0"/>
        <w:keepLines w:val="0"/>
        <w:framePr w:w="2741" w:h="2376" w:wrap="none" w:vAnchor="text" w:hAnchor="page" w:x="6457" w:y="44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left"/>
      </w:pPr>
      <w:r>
        <w:rPr>
          <w:rStyle w:val="CharStyle3"/>
        </w:rPr>
        <w:t>V Brně dne 8.12.2023</w:t>
      </w:r>
    </w:p>
    <w:p>
      <w:pPr>
        <w:pStyle w:val="Style4"/>
        <w:keepNext w:val="0"/>
        <w:keepLines w:val="0"/>
        <w:framePr w:w="2741" w:h="2376" w:wrap="none" w:vAnchor="text" w:hAnchor="page" w:x="6457" w:y="44"/>
        <w:widowControl w:val="0"/>
        <w:shd w:val="clear" w:color="auto" w:fill="auto"/>
        <w:bidi w:val="0"/>
        <w:spacing w:before="0" w:after="0" w:line="262" w:lineRule="auto"/>
        <w:ind w:left="0" w:right="0" w:firstLine="200"/>
        <w:jc w:val="both"/>
      </w:pPr>
      <w:r>
        <w:rPr>
          <w:rStyle w:val="CharStyle5"/>
        </w:rPr>
        <w:t>SOFTCOM GROUP, SPOL. S R.O</w:t>
      </w:r>
      <w:r>
        <w:rPr>
          <w:rStyle w:val="CharStyle5"/>
          <w:vertAlign w:val="superscript"/>
        </w:rPr>
        <w:t>3</w:t>
      </w:r>
    </w:p>
    <w:p>
      <w:pPr>
        <w:pStyle w:val="Style54"/>
        <w:keepNext w:val="0"/>
        <w:keepLines w:val="0"/>
        <w:framePr w:w="2741" w:h="2376" w:wrap="none" w:vAnchor="text" w:hAnchor="page" w:x="6457" w:y="4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55"/>
        </w:rPr>
        <w:t>HYBEŠOVA 25, 6020$ BRNO</w:t>
        <w:br/>
        <w:t>a TEL.: 541 210 5ý?-&lt;ER7IS: 549 216 222</w:t>
        <w:br/>
        <w:t>IČO: 256232ÍÍ ĎfC: €225623290</w:t>
      </w:r>
    </w:p>
    <w:p>
      <w:pPr>
        <w:pStyle w:val="Style54"/>
        <w:keepNext w:val="0"/>
        <w:keepLines w:val="0"/>
        <w:framePr w:w="2741" w:h="2376" w:wrap="none" w:vAnchor="text" w:hAnchor="page" w:x="6457" w:y="44"/>
        <w:widowControl w:val="0"/>
        <w:shd w:val="clear" w:color="auto" w:fill="auto"/>
        <w:bidi w:val="0"/>
        <w:spacing w:before="0" w:after="140"/>
        <w:ind w:left="0" w:right="0" w:firstLine="680"/>
        <w:jc w:val="left"/>
      </w:pPr>
      <w:r>
        <w:rPr>
          <w:rStyle w:val="CharStyle55"/>
        </w:rPr>
        <w:t xml:space="preserve">WWW </w:t>
      </w:r>
      <w:r>
        <w:rPr>
          <w:rStyle w:val="CharStyle55"/>
        </w:rPr>
        <w:t>SOFTCOM.CZ</w:t>
      </w:r>
    </w:p>
    <w:p>
      <w:pPr>
        <w:pStyle w:val="Style2"/>
        <w:keepNext w:val="0"/>
        <w:keepLines w:val="0"/>
        <w:framePr w:w="2741" w:h="2376" w:wrap="none" w:vAnchor="text" w:hAnchor="page" w:x="6457" w:y="44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rStyle w:val="CharStyle3"/>
        </w:rPr>
        <w:t>Ing. Aleš Plašil jednatel</w:t>
      </w:r>
    </w:p>
    <w:p>
      <w:pPr>
        <w:pStyle w:val="Style4"/>
        <w:keepNext w:val="0"/>
        <w:keepLines w:val="0"/>
        <w:framePr w:w="2741" w:h="2376" w:wrap="none" w:vAnchor="text" w:hAnchor="page" w:x="6457" w:y="44"/>
        <w:widowControl w:val="0"/>
        <w:shd w:val="clear" w:color="auto" w:fill="auto"/>
        <w:bidi w:val="0"/>
        <w:spacing w:before="0" w:after="80" w:line="262" w:lineRule="auto"/>
        <w:ind w:left="0" w:right="0" w:firstLine="0"/>
        <w:jc w:val="left"/>
      </w:pPr>
      <w:r>
        <w:rPr>
          <w:rStyle w:val="CharStyle5"/>
        </w:rPr>
        <w:t>Zhotovitel</w:t>
      </w:r>
    </w:p>
    <w:p>
      <w:pPr>
        <w:widowControl w:val="0"/>
        <w:spacing w:line="360" w:lineRule="exact"/>
      </w:pPr>
      <w:r>
        <w:drawing>
          <wp:anchor distT="0" distB="0" distL="362585" distR="0" simplePos="0" relativeHeight="62914692" behindDoc="1" locked="0" layoutInCell="1" allowOverlap="1">
            <wp:simplePos x="0" y="0"/>
            <wp:positionH relativeFrom="page">
              <wp:posOffset>1795145</wp:posOffset>
            </wp:positionH>
            <wp:positionV relativeFrom="paragraph">
              <wp:posOffset>450850</wp:posOffset>
            </wp:positionV>
            <wp:extent cx="676910" cy="5854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676910" cy="585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18" w:right="907" w:bottom="1182" w:left="138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10004425</wp:posOffset>
              </wp:positionV>
              <wp:extent cx="2075815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581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64_2023 Prodloužení podpory Veeam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3.650000000000006pt;margin-top:787.75pt;width:163.45000000000002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64_2023 Prodloužení podpory Veeam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Nadpis #2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Titulek tabulky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Jiné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9">
    <w:name w:val="Titulek obrázku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color w:val="60A9DC"/>
      <w:sz w:val="16"/>
      <w:szCs w:val="16"/>
      <w:u w:val="none"/>
    </w:rPr>
  </w:style>
  <w:style w:type="character" w:customStyle="1" w:styleId="CharStyle55">
    <w:name w:val="Základní text (2)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auto"/>
      <w:spacing w:after="240" w:line="190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auto"/>
      <w:spacing w:after="120" w:line="286" w:lineRule="auto"/>
      <w:ind w:firstLine="47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4">
    <w:name w:val="Titulek tabulky"/>
    <w:basedOn w:val="Normal"/>
    <w:link w:val="CharStyle2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6">
    <w:name w:val="Jiné"/>
    <w:basedOn w:val="Normal"/>
    <w:link w:val="CharStyle27"/>
    <w:pPr>
      <w:widowControl w:val="0"/>
      <w:shd w:val="clear" w:color="auto" w:fill="auto"/>
      <w:spacing w:after="240" w:line="28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8">
    <w:name w:val="Titulek obrázku"/>
    <w:basedOn w:val="Normal"/>
    <w:link w:val="CharStyle49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0A9DC"/>
      <w:sz w:val="16"/>
      <w:szCs w:val="16"/>
      <w:u w:val="none"/>
    </w:rPr>
  </w:style>
  <w:style w:type="paragraph" w:customStyle="1" w:styleId="Style54">
    <w:name w:val="Základní text (2)"/>
    <w:basedOn w:val="Normal"/>
    <w:link w:val="CharStyle55"/>
    <w:pPr>
      <w:widowControl w:val="0"/>
      <w:shd w:val="clear" w:color="auto" w:fill="auto"/>
      <w:spacing w:line="30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