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160" w:firstLine="0"/>
        <w:jc w:val="right"/>
        <w:rPr>
          <w:sz w:val="16"/>
          <w:szCs w:val="16"/>
        </w:rPr>
      </w:pPr>
      <w:r>
        <w:rPr>
          <w:rStyle w:val="CharStyle5"/>
          <w:sz w:val="16"/>
          <w:szCs w:val="16"/>
        </w:rPr>
        <w:t>2023009618</w:t>
      </w:r>
    </w:p>
    <w:p>
      <w:pPr>
        <w:pStyle w:val="Style10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/>
        <w:ind w:left="0" w:right="0" w:firstLine="0"/>
        <w:jc w:val="center"/>
      </w:pPr>
      <w:bookmarkStart w:id="0" w:name="bookmark0"/>
      <w:r>
        <w:rPr>
          <w:rStyle w:val="CharStyle11"/>
          <w:b/>
          <w:bCs/>
        </w:rPr>
        <w:t>SMLOUVA O DÍLO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tabs>
          <w:tab w:leader="hyphen" w:pos="6634" w:val="left"/>
          <w:tab w:leader="hyphen" w:pos="6772" w:val="left"/>
          <w:tab w:leader="hyphen" w:pos="7118" w:val="left"/>
          <w:tab w:leader="hyphen" w:pos="7862" w:val="left"/>
        </w:tabs>
        <w:bidi w:val="0"/>
        <w:spacing w:before="0" w:after="440" w:line="240" w:lineRule="auto"/>
        <w:ind w:left="0" w:right="0" w:firstLine="0"/>
        <w:jc w:val="right"/>
      </w:pPr>
      <w:r>
        <w:rPr>
          <w:rStyle w:val="CharStyle3"/>
        </w:rPr>
        <w:t>podle ust. § 2586 a násl. občanského zákoníku, uzavřená mezr~~</w:t>
        <w:tab/>
        <w:tab/>
        <w:tab/>
        <w:t>—</w:t>
        <w:tab/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mc:AlternateContent>
          <mc:Choice Requires="wps">
            <w:drawing>
              <wp:anchor distT="0" distB="0" distL="76200" distR="76200" simplePos="0" relativeHeight="125829378" behindDoc="0" locked="0" layoutInCell="1" allowOverlap="1">
                <wp:simplePos x="0" y="0"/>
                <wp:positionH relativeFrom="page">
                  <wp:posOffset>920115</wp:posOffset>
                </wp:positionH>
                <wp:positionV relativeFrom="paragraph">
                  <wp:posOffset>12700</wp:posOffset>
                </wp:positionV>
                <wp:extent cx="1652270" cy="147193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2270" cy="1471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Jméno: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Jednající: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Kontaktní osoba: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Zápis v OR: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>Bankovní spojení (číslo účtu):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2.450000000000003pt;margin-top:1.pt;width:130.09999999999999pt;height:115.90000000000001pt;z-index:-125829375;mso-wrap-distance-left:6.pt;mso-wrap-distance-right:6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Kontaktní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</w:rPr>
                        <w:t>Bankovní spojení (číslo účtu):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" w:name="bookmark2"/>
      <w:r>
        <w:rPr>
          <w:rStyle w:val="CharStyle13"/>
          <w:b/>
          <w:bCs/>
        </w:rPr>
        <w:t>Zdravotnická záchranná služba Jihomoravského kraje, příspěvková organizace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rStyle w:val="CharStyle3"/>
        </w:rPr>
        <w:t>Kamenice 798/1 d, 625 00 Brno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rStyle w:val="CharStyle3"/>
        </w:rPr>
        <w:t>MUDr. Hana Albrechtová, ředitelka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rStyle w:val="CharStyle3"/>
          <w:shd w:val="clear" w:color="auto" w:fill="000000"/>
        </w:rPr>
        <w:t>.......​</w:t>
      </w:r>
      <w:r>
        <w:rPr>
          <w:rStyle w:val="CharStyle3"/>
          <w:spacing w:val="5"/>
          <w:shd w:val="clear" w:color="auto" w:fill="000000"/>
        </w:rPr>
        <w:t>.........</w:t>
      </w:r>
      <w:r>
        <w:rPr>
          <w:rStyle w:val="CharStyle3"/>
          <w:spacing w:val="6"/>
          <w:shd w:val="clear" w:color="auto" w:fill="000000"/>
        </w:rPr>
        <w:t>.</w:t>
      </w:r>
      <w:r>
        <w:rPr>
          <w:rStyle w:val="CharStyle3"/>
          <w:shd w:val="clear" w:color="auto" w:fill="000000"/>
        </w:rPr>
        <w:t>​..</w:t>
      </w:r>
      <w:r>
        <w:rPr>
          <w:rStyle w:val="CharStyle3"/>
          <w:spacing w:val="1"/>
          <w:shd w:val="clear" w:color="auto" w:fill="000000"/>
        </w:rPr>
        <w:t>.........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3"/>
          <w:shd w:val="clear" w:color="auto" w:fill="000000"/>
        </w:rPr>
        <w:t>..</w:t>
      </w:r>
      <w:r>
        <w:rPr>
          <w:rStyle w:val="CharStyle3"/>
          <w:spacing w:val="4"/>
          <w:shd w:val="clear" w:color="auto" w:fill="000000"/>
        </w:rPr>
        <w:t>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3"/>
          <w:shd w:val="clear" w:color="auto" w:fill="000000"/>
        </w:rPr>
        <w:t>..</w:t>
      </w:r>
      <w:r>
        <w:rPr>
          <w:rStyle w:val="CharStyle3"/>
          <w:spacing w:val="4"/>
          <w:shd w:val="clear" w:color="auto" w:fill="000000"/>
        </w:rPr>
        <w:t>......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​...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...........................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.</w:t>
      </w:r>
      <w:r>
        <w:rPr>
          <w:rStyle w:val="CharStyle3"/>
          <w:shd w:val="clear" w:color="auto" w:fill="000000"/>
          <w:lang w:val="en-US" w:eastAsia="en-US" w:bidi="en-US"/>
        </w:rPr>
        <w:t>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7"/>
          <w:shd w:val="clear" w:color="auto" w:fill="000000"/>
        </w:rPr>
        <w:t>......</w:t>
      </w:r>
      <w:r>
        <w:rPr>
          <w:rStyle w:val="CharStyle3"/>
          <w:shd w:val="clear" w:color="auto" w:fill="000000"/>
        </w:rPr>
        <w:t>​....</w:t>
      </w:r>
      <w:r>
        <w:rPr>
          <w:rStyle w:val="CharStyle3"/>
          <w:spacing w:val="1"/>
          <w:shd w:val="clear" w:color="auto" w:fill="000000"/>
        </w:rPr>
        <w:t>.....</w:t>
      </w:r>
      <w:r>
        <w:rPr>
          <w:rStyle w:val="CharStyle3"/>
          <w:shd w:val="clear" w:color="auto" w:fill="000000"/>
        </w:rPr>
        <w:t>​.......​</w:t>
      </w:r>
      <w:r>
        <w:rPr>
          <w:rStyle w:val="CharStyle3"/>
          <w:spacing w:val="3"/>
          <w:shd w:val="clear" w:color="auto" w:fill="000000"/>
        </w:rPr>
        <w:t>.....</w:t>
      </w:r>
      <w:r>
        <w:rPr>
          <w:rStyle w:val="CharStyle3"/>
          <w:spacing w:val="4"/>
          <w:shd w:val="clear" w:color="auto" w:fill="000000"/>
        </w:rPr>
        <w:t>......</w:t>
      </w:r>
      <w:r>
        <w:rPr>
          <w:rStyle w:val="CharStyle3"/>
        </w:rPr>
        <w:t xml:space="preserve"> 00346292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rStyle w:val="CharStyle3"/>
        </w:rPr>
        <w:t>CZ00346292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rStyle w:val="CharStyle3"/>
        </w:rPr>
        <w:t>Krajský soud v Brně sp. zn. Pr 1245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left"/>
      </w:pPr>
      <w:r>
        <w:rPr>
          <w:rStyle w:val="CharStyle3"/>
        </w:rPr>
        <w:t xml:space="preserve">MONETA Money Bank, a.s., č. ú. 117203514/0600 </w:t>
      </w:r>
      <w:r>
        <w:rPr>
          <w:rStyle w:val="CharStyle3"/>
        </w:rPr>
        <w:t xml:space="preserve">(dále jen </w:t>
      </w:r>
      <w:r>
        <w:rPr>
          <w:rStyle w:val="CharStyle3"/>
          <w:i/>
          <w:iCs/>
        </w:rPr>
        <w:t>„objednáte?)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a</w:t>
      </w:r>
    </w:p>
    <w:tbl>
      <w:tblPr>
        <w:tblOverlap w:val="never"/>
        <w:jc w:val="left"/>
        <w:tblLayout w:type="fixed"/>
      </w:tblPr>
      <w:tblGrid>
        <w:gridCol w:w="2659"/>
        <w:gridCol w:w="6077"/>
      </w:tblGrid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27"/>
                <w:b/>
                <w:bCs/>
              </w:rPr>
              <w:t>SOFTCOM GROUP,, spol. s r.o.</w:t>
            </w:r>
          </w:p>
        </w:tc>
      </w:tr>
      <w:tr>
        <w:trPr>
          <w:trHeight w:val="51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Sídlo: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28.Pluku 458/7,101 00 Praha 10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Ing. Aleš Plašil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7"/>
              </w:rPr>
              <w:t>Kontaktní osoba: IČO: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rStyle w:val="CharStyle27"/>
                <w:spacing w:val="3"/>
                <w:shd w:val="clear" w:color="auto" w:fill="000000"/>
              </w:rPr>
              <w:t>......</w:t>
            </w:r>
            <w:r>
              <w:rPr>
                <w:rStyle w:val="CharStyle27"/>
                <w:spacing w:val="4"/>
                <w:shd w:val="clear" w:color="auto" w:fill="000000"/>
              </w:rPr>
              <w:t>...</w:t>
            </w:r>
            <w:r>
              <w:rPr>
                <w:rStyle w:val="CharStyle27"/>
                <w:shd w:val="clear" w:color="auto" w:fill="000000"/>
              </w:rPr>
              <w:t>​</w:t>
            </w:r>
            <w:r>
              <w:rPr>
                <w:rStyle w:val="CharStyle27"/>
                <w:spacing w:val="4"/>
                <w:shd w:val="clear" w:color="auto" w:fill="000000"/>
              </w:rPr>
              <w:t>...</w:t>
            </w:r>
            <w:r>
              <w:rPr>
                <w:rStyle w:val="CharStyle27"/>
                <w:spacing w:val="5"/>
                <w:shd w:val="clear" w:color="auto" w:fill="000000"/>
              </w:rPr>
              <w:t>........</w:t>
            </w:r>
            <w:r>
              <w:rPr>
                <w:rStyle w:val="CharStyle27"/>
              </w:rPr>
              <w:t xml:space="preserve"> 25623290</w:t>
            </w:r>
          </w:p>
        </w:tc>
      </w:tr>
      <w:tr>
        <w:trPr>
          <w:trHeight w:val="54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DIČ: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Zápis v OR: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CZ25623290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Firma je zapsána v obchodním rejstříku vedeném Městským soudem</w:t>
            </w:r>
          </w:p>
        </w:tc>
      </w:tr>
    </w:tbl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5"/>
        </w:rPr>
        <w:t>v Praze, oddíl C, vložka 55683.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5"/>
        </w:rPr>
        <w:t>Bankovní spojení (číslo účtu): 19-2295150207/0100</w:t>
      </w:r>
    </w:p>
    <w:p>
      <w:pPr>
        <w:widowControl w:val="0"/>
        <w:spacing w:after="2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</w:pPr>
      <w:r>
        <w:rPr>
          <w:rStyle w:val="CharStyle3"/>
        </w:rPr>
        <w:t xml:space="preserve">(dále jen </w:t>
      </w:r>
      <w:r>
        <w:rPr>
          <w:rStyle w:val="CharStyle3"/>
          <w:i/>
          <w:iCs/>
        </w:rPr>
        <w:t>„zhotovíte?)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76" w:lineRule="auto"/>
        <w:ind w:left="400" w:right="0" w:hanging="400"/>
        <w:jc w:val="both"/>
      </w:pPr>
      <w:r>
        <w:rPr>
          <w:rStyle w:val="CharStyle3"/>
        </w:rPr>
        <w:t>Zhotovitel je oprávněn zajišťovat technickou podporu k těmto počítačovým programům z produkce společnosti Veeam® Software (dále jen „výrobce"):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240" w:line="276" w:lineRule="auto"/>
        <w:ind w:left="0" w:right="0" w:firstLine="940"/>
        <w:jc w:val="left"/>
      </w:pPr>
      <w:bookmarkStart w:id="4" w:name="bookmark4"/>
      <w:r>
        <w:rPr>
          <w:rStyle w:val="CharStyle13"/>
          <w:b/>
          <w:bCs/>
        </w:rPr>
        <w:t>Veeam Backup &amp; Replication Enterprise pro 7 CPU</w:t>
      </w:r>
      <w:bookmarkEnd w:id="4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Objednatel je oprávněn užívat pro svoje potřeby počítačové programy podle či. 1 této smlouvy. Děje se tak na základě příslušných licenčních smluv, uzavřených mezi objednatelem a oprávněným poskytovatelem příslušných licencí.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76" w:lineRule="auto"/>
        <w:ind w:left="400" w:right="0" w:hanging="400"/>
        <w:jc w:val="both"/>
      </w:pPr>
      <w:r>
        <w:rPr>
          <w:rStyle w:val="CharStyle3"/>
        </w:rPr>
        <w:t>Zhotovitel se zavazuje zajistit pro objednatele dílo ve formě technické podpory počítačových programů podle čl. 1 této smlouvy, čímž se rozumí umožnění přístupu k novým verzím těchto programů a k portálu výrobce pro řešení případných chyb těchto programů, a to nepřetržitě po dobu 2 let ode dne splnění závazku zhotovitele k provedení díla podle čí. 5 této smlouvy. Zhotovitel se zavazuje tak učinit v rozsahu dle podmínek podpory příslušných programů ze strany jejich výrobce.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76" w:lineRule="auto"/>
        <w:ind w:left="400" w:right="0" w:hanging="400"/>
        <w:jc w:val="both"/>
      </w:pPr>
      <w:r>
        <w:rPr>
          <w:rStyle w:val="CharStyle3"/>
        </w:rPr>
        <w:t>Závazek zhotovitele k provedení díla podle čl. 3 této smlouvy se považuje za splněný po faktickém poskytnutí příslušných přístupových práv objednateli dnem předání a převzetí díla formou písemného předávacího protokolu, podepsaného oběma smluvními stranami.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403" w:val="left"/>
        </w:tabs>
        <w:bidi w:val="0"/>
        <w:spacing w:before="0" w:line="293" w:lineRule="auto"/>
        <w:ind w:left="400" w:right="0" w:hanging="400"/>
        <w:jc w:val="both"/>
      </w:pPr>
      <w:r>
        <w:rPr>
          <w:rStyle w:val="CharStyle3"/>
        </w:rPr>
        <w:t>Zhotovitel se zavazuje splnit svůj závazek k provedení díla podle čí. 3 této smlouvy ve lhůtě do 16. 12. 2023. Místem splnění tohoto závazku zhotovitele je sídlo objednatele dle záhlaví ktéto smlouvě.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403" w:val="left"/>
        </w:tabs>
        <w:bidi w:val="0"/>
        <w:spacing w:before="0" w:line="286" w:lineRule="auto"/>
        <w:ind w:left="400" w:right="0" w:hanging="400"/>
        <w:jc w:val="both"/>
      </w:pPr>
      <w:r>
        <w:rPr>
          <w:rStyle w:val="CharStyle3"/>
        </w:rPr>
        <w:t>Pro případ prodlení zhotovitele se splněním jeho závazku podle této smlouvy ve lhůtě podle či. 5 této smlouvy se zhotovitel zavazuje zaplatit objednateli smluvní pokutu ve výši OJ % z ceny díla podle čl. 7 této smlouvy za každý započatý den prodlení. Pro případ tohoto prodlení zhotovitele o víc, než 10 dnů, je objednatel oprávněn od této smlouvy odstoupit.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403" w:val="left"/>
        </w:tabs>
        <w:bidi w:val="0"/>
        <w:spacing w:before="0" w:after="0" w:line="286" w:lineRule="auto"/>
        <w:ind w:left="400" w:right="0" w:hanging="400"/>
        <w:jc w:val="both"/>
      </w:pPr>
      <w:r>
        <w:rPr>
          <w:rStyle w:val="CharStyle3"/>
        </w:rPr>
        <w:t>Objednatel se zavazuje zaplatit zhotoviteli za dílo podle či. 3 této smlouvy paušální cenu díla ve výši: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line="286" w:lineRule="auto"/>
        <w:ind w:left="0" w:right="0" w:firstLine="0"/>
        <w:jc w:val="center"/>
      </w:pPr>
      <w:r>
        <w:rPr>
          <w:rStyle w:val="CharStyle3"/>
          <w:b/>
          <w:bCs/>
        </w:rPr>
        <w:t xml:space="preserve">144200 </w:t>
      </w:r>
      <w:r>
        <w:rPr>
          <w:rStyle w:val="CharStyle3"/>
        </w:rPr>
        <w:t xml:space="preserve">Kč bez DPH, tj. </w:t>
      </w:r>
      <w:r>
        <w:rPr>
          <w:rStyle w:val="CharStyle3"/>
          <w:b/>
          <w:bCs/>
        </w:rPr>
        <w:t xml:space="preserve">174482 </w:t>
      </w:r>
      <w:r>
        <w:rPr>
          <w:rStyle w:val="CharStyle3"/>
        </w:rPr>
        <w:t>Kč včetně DPH.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403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Součástí ceny díla podle čl. 7 této smlouvy bude i příslušná daň z přidané hodnoty a veškeré ostatní náklady, vynaložené zhotovitelem na splnění jeho závazku podle čl. 3 této smlouvy v místě podle čl. 5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403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 xml:space="preserve">Cena díla podle čl. 7 této smlouvy je splatná jednorázově předem ve lhůtě do 30 dnů ode dne doručení jejího písemného vyúčtování (daňového dokladu/faktury). Faktura bude doručena elektronicky na email: 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...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...........................</w:t>
      </w:r>
      <w:r>
        <w:rPr>
          <w:rStyle w:val="CharStyle3"/>
          <w:shd w:val="clear" w:color="auto" w:fill="000000"/>
          <w:lang w:val="en-US" w:eastAsia="en-US" w:bidi="en-US"/>
        </w:rPr>
        <w:t>.</w:t>
      </w:r>
      <w:r>
        <w:rPr>
          <w:rStyle w:val="CharStyle3"/>
          <w:shd w:val="clear" w:color="auto" w:fill="000000"/>
        </w:rPr>
        <w:t>​...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lang w:val="en-US" w:eastAsia="en-US" w:bidi="en-US"/>
        </w:rPr>
        <w:t xml:space="preserve">. </w:t>
      </w:r>
      <w:r>
        <w:rPr>
          <w:rStyle w:val="CharStyle3"/>
        </w:rPr>
        <w:t xml:space="preserve">Na faktuře musí být mimo jiné vždy uvedeno toto číslo veřejné zakázky, ke které se faktura vztahuje: </w:t>
      </w:r>
      <w:r>
        <w:rPr>
          <w:rStyle w:val="CharStyle3"/>
          <w:b/>
          <w:bCs/>
        </w:rPr>
        <w:t xml:space="preserve">P23V00003937. </w:t>
      </w:r>
      <w:r>
        <w:rPr>
          <w:rStyle w:val="CharStyle3"/>
        </w:rPr>
        <w:t>Přílohou faktury bude kopie oboustranně podepsaného předávacího protokolu. Nebude-Ii faktura splňovat veškeré náležitosti daňového dokladu podle zákona a další náležitosti podle této smlouvy, je kupující oprávněn vrátit takovou fakturu prodávajícímu k opravě, přičemž doba její splatnosti začne znovu běžet ode dne doručení opravené faktury kupujícímu.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403" w:val="left"/>
        </w:tabs>
        <w:bidi w:val="0"/>
        <w:spacing w:before="0" w:line="286" w:lineRule="auto"/>
        <w:ind w:left="400" w:right="0" w:hanging="400"/>
        <w:jc w:val="both"/>
      </w:pPr>
      <w:r>
        <w:rPr>
          <w:rStyle w:val="CharStyle3"/>
        </w:rPr>
        <w:t>Pro případ prodlení s úhradou ceny díla ve lhůtě podle čl. 9 této smlouvy se objednatel zavazuje zaplatit zhotoviteli úrok z prodlení ve výši dle zákona.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403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Pro případ závady na díle podle čl. 3 této smlouvy, čímž se rozumí jakákoliv závada v přístupu k novým verzím počítačových programů podle čl. 1 této smlouvy a k portálu výrobce pro řešení případných chyb těchto programů, je objednatel oprávněn od této smlouvy odstoupit.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403" w:val="left"/>
        </w:tabs>
        <w:bidi w:val="0"/>
        <w:spacing w:before="0" w:line="276" w:lineRule="auto"/>
        <w:ind w:left="400" w:right="0" w:hanging="400"/>
        <w:jc w:val="both"/>
      </w:pPr>
      <w:r>
        <w:rPr>
          <w:rStyle w:val="CharStyle3"/>
        </w:rPr>
        <w:t>Pro případ sporu o oprávněnost odstoupení od smlouvy podle čl. 11 této smlouvy se objednateli vyhrazuje právo nechat vyhotovit k prověření této oprávněnosti soudně znalecký posudek, jehož výroku se obě strany zavazují podřizovat s tím, že náklady na vyhotovení tohoto posudku se zavazuje nést ten účastník sporu, kterému tento posudek nedal zapravdu.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403" w:val="left"/>
        </w:tabs>
        <w:bidi w:val="0"/>
        <w:spacing w:before="0" w:line="276" w:lineRule="auto"/>
        <w:ind w:left="400" w:right="0" w:hanging="400"/>
        <w:jc w:val="both"/>
      </w:pPr>
      <w:r>
        <w:rPr>
          <w:rStyle w:val="CharStyle3"/>
        </w:rPr>
        <w:t>Není-li touto smlouvou ujednáno jinak, řídí se vzájemný právní vztah mezi zhotovitelem a objednatelem tuzemským právním řádem, konkrétně ust. § 2586 až 2622 občanského zákoníku, přičemž citovaná ustanovení zákona mají přednost před nepsanými obchodními zvyklostmi. Tímto ujednáním se přitom vylučuje aplikace ust. § 558 občanského zákoníku na vztah mezi oběma stranami podle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403" w:val="left"/>
        </w:tabs>
        <w:bidi w:val="0"/>
        <w:spacing w:before="0"/>
        <w:ind w:left="0" w:right="0" w:firstLine="0"/>
        <w:jc w:val="left"/>
      </w:pPr>
      <w:r>
        <w:rPr>
          <w:rStyle w:val="CharStyle3"/>
        </w:rPr>
        <w:t>Tuto smlouvu lze změnit nebo zrušit pouze jinou písemnou dohodou obou smluvních stran.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403" w:val="left"/>
        </w:tabs>
        <w:bidi w:val="0"/>
        <w:spacing w:before="0" w:line="276" w:lineRule="auto"/>
        <w:ind w:left="400" w:right="0" w:hanging="400"/>
        <w:jc w:val="both"/>
      </w:pPr>
      <w:r>
        <w:rPr>
          <w:rStyle w:val="CharStyle3"/>
        </w:rPr>
        <w:t>Tato smlouva se sjednává na základě návrhu na její uzavření ze strany zhotovitele. Předpokladem uzavření této smlouvy je její písemná forma a dohoda o jejích podstatných náležitostech, čímž se rozumí celý obsah této smlouvy, jak je uveden v čl. 1 až 18 této smlouvy. Objednatel přitom předem vylučuje přijetí tohoto návrhu s dodatkem nebo odchylkou ve smyslu ust. § 1740 odst. 3 občanského zákoníku.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302" w:lineRule="auto"/>
        <w:ind w:left="500" w:right="0" w:hanging="500"/>
        <w:jc w:val="both"/>
      </w:pPr>
      <w:r>
        <w:rPr>
          <w:rStyle w:val="CharStyle3"/>
        </w:rPr>
        <w:t>Obě strany se dohodly, že zaplacením smluvní pokuty podle této smlouvy není nijak dotčeno právo strany na náhradu škody v plné výši. Tímto ujednáním se přitom vylučuje aplikace ust. § 2050 na vztah mezi oběma stranami podle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90" w:lineRule="auto"/>
        <w:ind w:left="500" w:right="0" w:hanging="500"/>
        <w:jc w:val="both"/>
      </w:pPr>
      <w:r>
        <w:rPr>
          <w:rStyle w:val="CharStyle3"/>
        </w:rPr>
        <w:t>Tato smlouva nabývá platnosti dnem jejího uzavření a účinnosti dnem jejího uveřejnění registru podle zákona č. 340/2015 Sb. o registru smluv. Smluvní strany se dohodly, že uveřejnění v registru smluv (ISRS) včetně uvedení metadat provede objednatel.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0" w:line="295" w:lineRule="auto"/>
        <w:ind w:left="500" w:right="0" w:hanging="50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504" w:right="856" w:bottom="1994" w:left="1440" w:header="1076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3"/>
        </w:rPr>
        <w:t>Dáno ve dvou originálních písemných vyhotoveních, z nichž každá ze smluvních stran obdrží po jednom.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18" w:right="0" w:bottom="118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104" w:h="283" w:wrap="none" w:vAnchor="text" w:hAnchor="page" w:x="155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V Brně, dne</w:t>
      </w:r>
    </w:p>
    <w:p>
      <w:pPr>
        <w:pStyle w:val="Style4"/>
        <w:keepNext w:val="0"/>
        <w:keepLines w:val="0"/>
        <w:framePr w:w="1560" w:h="691" w:wrap="none" w:vAnchor="text" w:hAnchor="page" w:x="3255" w:y="563"/>
        <w:widowControl w:val="0"/>
        <w:shd w:val="clear" w:color="auto" w:fill="auto"/>
        <w:tabs>
          <w:tab w:leader="underscore" w:pos="40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  <w:spacing w:val="2"/>
          <w:shd w:val="clear" w:color="auto" w:fill="000000"/>
        </w:rPr>
        <w:t>..</w:t>
      </w:r>
      <w:r>
        <w:rPr>
          <w:rStyle w:val="CharStyle5"/>
          <w:spacing w:val="3"/>
          <w:shd w:val="clear" w:color="auto" w:fill="000000"/>
        </w:rPr>
        <w:t>.......</w:t>
      </w:r>
      <w:r>
        <w:rPr>
          <w:rStyle w:val="CharStyle5"/>
          <w:shd w:val="clear" w:color="auto" w:fill="000000"/>
        </w:rPr>
        <w:t>.......</w:t>
      </w:r>
      <w:r>
        <w:rPr>
          <w:rStyle w:val="CharStyle5"/>
          <w:spacing w:val="1"/>
          <w:shd w:val="clear" w:color="auto" w:fill="000000"/>
        </w:rPr>
        <w:t>....</w:t>
      </w:r>
      <w:r>
        <w:rPr>
          <w:rStyle w:val="CharStyle5"/>
          <w:shd w:val="clear" w:color="auto" w:fill="000000"/>
        </w:rPr>
        <w:t>​</w:t>
      </w:r>
      <w:r>
        <w:rPr>
          <w:rStyle w:val="CharStyle5"/>
          <w:spacing w:val="3"/>
          <w:shd w:val="clear" w:color="auto" w:fill="000000"/>
        </w:rPr>
        <w:t>..</w:t>
      </w:r>
      <w:r>
        <w:rPr>
          <w:rStyle w:val="CharStyle5"/>
          <w:spacing w:val="4"/>
          <w:shd w:val="clear" w:color="auto" w:fill="000000"/>
        </w:rPr>
        <w:t>......</w:t>
      </w:r>
      <w:r>
        <w:rPr>
          <w:rStyle w:val="CharStyle5"/>
          <w:color w:val="60A9DC"/>
        </w:rPr>
        <w:t>a</w:t>
      </w:r>
    </w:p>
    <w:p>
      <w:pPr>
        <w:pStyle w:val="Style2"/>
        <w:keepNext w:val="0"/>
        <w:keepLines w:val="0"/>
        <w:framePr w:w="1560" w:h="691" w:wrap="none" w:vAnchor="text" w:hAnchor="page" w:x="3255" w:y="5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spacing w:val="2"/>
          <w:shd w:val="clear" w:color="auto" w:fill="000000"/>
        </w:rPr>
        <w:t>.............</w:t>
      </w:r>
      <w:r>
        <w:rPr>
          <w:rStyle w:val="CharStyle3"/>
          <w:spacing w:val="3"/>
          <w:shd w:val="clear" w:color="auto" w:fill="000000"/>
        </w:rPr>
        <w:t>.....</w:t>
      </w:r>
      <w:r>
        <w:rPr>
          <w:rStyle w:val="CharStyle3"/>
          <w:shd w:val="clear" w:color="auto" w:fill="000000"/>
        </w:rPr>
        <w:t>​.....</w:t>
      </w:r>
      <w:r>
        <w:rPr>
          <w:rStyle w:val="CharStyle3"/>
          <w:color w:val="60A9DC"/>
        </w:rPr>
        <w:t>.</w:t>
      </w:r>
    </w:p>
    <w:p>
      <w:pPr>
        <w:pStyle w:val="Style4"/>
        <w:keepNext w:val="0"/>
        <w:keepLines w:val="0"/>
        <w:framePr w:w="1560" w:h="691" w:wrap="none" w:vAnchor="text" w:hAnchor="page" w:x="3255" w:y="563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rStyle w:val="CharStyle5"/>
          <w:sz w:val="16"/>
          <w:szCs w:val="16"/>
          <w:shd w:val="clear" w:color="auto" w:fill="000000"/>
        </w:rPr>
        <w:t>..</w:t>
      </w:r>
      <w:r>
        <w:rPr>
          <w:rStyle w:val="CharStyle5"/>
          <w:spacing w:val="1"/>
          <w:sz w:val="16"/>
          <w:szCs w:val="16"/>
          <w:shd w:val="clear" w:color="auto" w:fill="000000"/>
        </w:rPr>
        <w:t>.</w:t>
      </w:r>
      <w:r>
        <w:rPr>
          <w:rStyle w:val="CharStyle5"/>
          <w:shd w:val="clear" w:color="auto" w:fill="000000"/>
        </w:rPr>
        <w:t>​</w:t>
      </w:r>
      <w:r>
        <w:rPr>
          <w:rStyle w:val="CharStyle5"/>
          <w:spacing w:val="6"/>
          <w:shd w:val="clear" w:color="auto" w:fill="000000"/>
        </w:rPr>
        <w:t>...</w:t>
      </w:r>
      <w:r>
        <w:rPr>
          <w:rStyle w:val="CharStyle5"/>
          <w:spacing w:val="7"/>
          <w:shd w:val="clear" w:color="auto" w:fill="000000"/>
        </w:rPr>
        <w:t>...</w:t>
      </w:r>
      <w:r>
        <w:rPr>
          <w:rStyle w:val="CharStyle5"/>
          <w:shd w:val="clear" w:color="auto" w:fill="000000"/>
        </w:rPr>
        <w:t>​</w:t>
      </w:r>
      <w:r>
        <w:rPr>
          <w:rStyle w:val="CharStyle5"/>
          <w:spacing w:val="10"/>
          <w:shd w:val="clear" w:color="auto" w:fill="000000"/>
        </w:rPr>
        <w:t>....</w:t>
      </w:r>
      <w:r>
        <w:rPr>
          <w:rStyle w:val="CharStyle5"/>
          <w:shd w:val="clear" w:color="auto" w:fill="000000"/>
        </w:rPr>
        <w:t>​</w:t>
      </w:r>
      <w:r>
        <w:rPr>
          <w:rStyle w:val="CharStyle5"/>
          <w:spacing w:val="3"/>
          <w:shd w:val="clear" w:color="auto" w:fill="000000"/>
        </w:rPr>
        <w:t>......</w:t>
      </w:r>
      <w:r>
        <w:rPr>
          <w:rStyle w:val="CharStyle5"/>
          <w:spacing w:val="4"/>
          <w:shd w:val="clear" w:color="auto" w:fill="000000"/>
        </w:rPr>
        <w:t>.</w:t>
      </w:r>
    </w:p>
    <w:p>
      <w:pPr>
        <w:pStyle w:val="Style48"/>
        <w:keepNext w:val="0"/>
        <w:keepLines w:val="0"/>
        <w:framePr w:w="648" w:h="413" w:wrap="none" w:vAnchor="text" w:hAnchor="page" w:x="2257" w:y="8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49"/>
          <w:color w:val="000000"/>
          <w:spacing w:val="3"/>
          <w:shd w:val="clear" w:color="auto" w:fill="000000"/>
        </w:rPr>
        <w:t>.</w:t>
      </w:r>
      <w:r>
        <w:rPr>
          <w:rStyle w:val="CharStyle49"/>
          <w:color w:val="000000"/>
          <w:spacing w:val="4"/>
          <w:shd w:val="clear" w:color="auto" w:fill="000000"/>
        </w:rPr>
        <w:t>.......</w:t>
      </w:r>
    </w:p>
    <w:p>
      <w:pPr>
        <w:pStyle w:val="Style48"/>
        <w:keepNext w:val="0"/>
        <w:keepLines w:val="0"/>
        <w:framePr w:w="648" w:h="413" w:wrap="none" w:vAnchor="text" w:hAnchor="page" w:x="2257" w:y="8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49"/>
          <w:color w:val="000000"/>
          <w:spacing w:val="1"/>
          <w:shd w:val="clear" w:color="auto" w:fill="000000"/>
        </w:rPr>
        <w:t>.........</w:t>
      </w:r>
      <w:r>
        <w:rPr>
          <w:rStyle w:val="CharStyle49"/>
          <w:color w:val="000000"/>
          <w:spacing w:val="2"/>
          <w:shd w:val="clear" w:color="auto" w:fill="000000"/>
        </w:rPr>
        <w:t>...</w:t>
      </w:r>
    </w:p>
    <w:p>
      <w:pPr>
        <w:pStyle w:val="Style2"/>
        <w:keepNext w:val="0"/>
        <w:keepLines w:val="0"/>
        <w:framePr w:w="2194" w:h="235" w:wrap="none" w:vAnchor="text" w:hAnchor="page" w:x="1551" w:y="16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MUDr. Hana Albrechtová</w:t>
      </w:r>
    </w:p>
    <w:p>
      <w:pPr>
        <w:pStyle w:val="Style2"/>
        <w:keepNext w:val="0"/>
        <w:keepLines w:val="0"/>
        <w:framePr w:w="763" w:h="235" w:wrap="none" w:vAnchor="text" w:hAnchor="page" w:x="1551" w:y="19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ředitelka</w:t>
      </w:r>
    </w:p>
    <w:p>
      <w:pPr>
        <w:pStyle w:val="Style4"/>
        <w:keepNext w:val="0"/>
        <w:keepLines w:val="0"/>
        <w:framePr w:w="1027" w:h="240" w:wrap="none" w:vAnchor="text" w:hAnchor="page" w:x="1556" w:y="21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Objednatel</w:t>
      </w:r>
    </w:p>
    <w:p>
      <w:pPr>
        <w:pStyle w:val="Style2"/>
        <w:keepNext w:val="0"/>
        <w:keepLines w:val="0"/>
        <w:framePr w:w="2741" w:h="2376" w:wrap="none" w:vAnchor="text" w:hAnchor="page" w:x="6457" w:y="44"/>
        <w:widowControl w:val="0"/>
        <w:shd w:val="clear" w:color="auto" w:fill="auto"/>
        <w:bidi w:val="0"/>
        <w:spacing w:before="0" w:after="200" w:line="286" w:lineRule="auto"/>
        <w:ind w:left="0" w:right="0" w:firstLine="0"/>
        <w:jc w:val="left"/>
      </w:pPr>
      <w:r>
        <w:rPr>
          <w:rStyle w:val="CharStyle3"/>
        </w:rPr>
        <w:t>V Brně dne 8.12.2023</w:t>
      </w:r>
    </w:p>
    <w:p>
      <w:pPr>
        <w:pStyle w:val="Style4"/>
        <w:keepNext w:val="0"/>
        <w:keepLines w:val="0"/>
        <w:framePr w:w="2741" w:h="2376" w:wrap="none" w:vAnchor="text" w:hAnchor="page" w:x="6457" w:y="44"/>
        <w:widowControl w:val="0"/>
        <w:shd w:val="clear" w:color="auto" w:fill="auto"/>
        <w:bidi w:val="0"/>
        <w:spacing w:before="0" w:after="0" w:line="262" w:lineRule="auto"/>
        <w:ind w:left="0" w:right="0" w:firstLine="200"/>
        <w:jc w:val="both"/>
      </w:pPr>
      <w:r>
        <w:rPr>
          <w:rStyle w:val="CharStyle5"/>
        </w:rPr>
        <w:t>SOFTCOM GROUP, SPOL. S R.O</w:t>
      </w:r>
      <w:r>
        <w:rPr>
          <w:rStyle w:val="CharStyle5"/>
          <w:vertAlign w:val="superscript"/>
        </w:rPr>
        <w:t>3</w:t>
      </w:r>
    </w:p>
    <w:p>
      <w:pPr>
        <w:pStyle w:val="Style54"/>
        <w:keepNext w:val="0"/>
        <w:keepLines w:val="0"/>
        <w:framePr w:w="2741" w:h="2376" w:wrap="none" w:vAnchor="text" w:hAnchor="page" w:x="6457" w:y="4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55"/>
        </w:rPr>
        <w:t>HYBEŠOVA 25, 6020$ BRNO</w:t>
        <w:br/>
        <w:t>a TEL.: 541 210 5ý?-&lt;ER7IS: 549 216 222</w:t>
        <w:br/>
        <w:t>IČO: 256232ÍÍ ĎfC: €225623290</w:t>
      </w:r>
    </w:p>
    <w:p>
      <w:pPr>
        <w:pStyle w:val="Style54"/>
        <w:keepNext w:val="0"/>
        <w:keepLines w:val="0"/>
        <w:framePr w:w="2741" w:h="2376" w:wrap="none" w:vAnchor="text" w:hAnchor="page" w:x="6457" w:y="44"/>
        <w:widowControl w:val="0"/>
        <w:shd w:val="clear" w:color="auto" w:fill="auto"/>
        <w:bidi w:val="0"/>
        <w:spacing w:before="0" w:after="140"/>
        <w:ind w:left="0" w:right="0" w:firstLine="680"/>
        <w:jc w:val="left"/>
      </w:pPr>
      <w:r>
        <w:rPr>
          <w:rStyle w:val="CharStyle55"/>
        </w:rPr>
        <w:t xml:space="preserve">WWW </w:t>
      </w:r>
      <w:r>
        <w:rPr>
          <w:rStyle w:val="CharStyle55"/>
        </w:rPr>
        <w:t>SOFTCOM.CZ</w:t>
      </w:r>
    </w:p>
    <w:p>
      <w:pPr>
        <w:pStyle w:val="Style2"/>
        <w:keepNext w:val="0"/>
        <w:keepLines w:val="0"/>
        <w:framePr w:w="2741" w:h="2376" w:wrap="none" w:vAnchor="text" w:hAnchor="page" w:x="6457" w:y="44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rStyle w:val="CharStyle3"/>
        </w:rPr>
        <w:t>Ing. Aleš Plašil jednatel</w:t>
      </w:r>
    </w:p>
    <w:p>
      <w:pPr>
        <w:pStyle w:val="Style4"/>
        <w:keepNext w:val="0"/>
        <w:keepLines w:val="0"/>
        <w:framePr w:w="2741" w:h="2376" w:wrap="none" w:vAnchor="text" w:hAnchor="page" w:x="6457" w:y="44"/>
        <w:widowControl w:val="0"/>
        <w:shd w:val="clear" w:color="auto" w:fill="auto"/>
        <w:bidi w:val="0"/>
        <w:spacing w:before="0" w:after="80" w:line="262" w:lineRule="auto"/>
        <w:ind w:left="0" w:right="0" w:firstLine="0"/>
        <w:jc w:val="left"/>
      </w:pPr>
      <w:r>
        <w:rPr>
          <w:rStyle w:val="CharStyle5"/>
        </w:rPr>
        <w:t>Zhotovitel</w:t>
      </w:r>
    </w:p>
    <w:p>
      <w:pPr>
        <w:widowControl w:val="0"/>
        <w:spacing w:line="360" w:lineRule="exact"/>
      </w:pPr>
      <w:r>
        <w:drawing>
          <wp:anchor distT="0" distB="0" distL="362585" distR="0" simplePos="0" relativeHeight="62914692" behindDoc="1" locked="0" layoutInCell="1" allowOverlap="1">
            <wp:simplePos x="0" y="0"/>
            <wp:positionH relativeFrom="page">
              <wp:posOffset>1795145</wp:posOffset>
            </wp:positionH>
            <wp:positionV relativeFrom="paragraph">
              <wp:posOffset>450850</wp:posOffset>
            </wp:positionV>
            <wp:extent cx="676910" cy="58547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676910" cy="585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23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518" w:right="907" w:bottom="1182" w:left="1388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935355</wp:posOffset>
              </wp:positionH>
              <wp:positionV relativeFrom="page">
                <wp:posOffset>10004425</wp:posOffset>
              </wp:positionV>
              <wp:extent cx="2075815" cy="12509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75815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8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64_2023 Prodloužení podpory Veeam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73.650000000000006pt;margin-top:787.75pt;width:163.45000000000002pt;height:9.8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64_2023 Prodloužení podpory Veeam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Základní text (3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8">
    <w:name w:val="Záhlaví nebo zápatí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Nadpis #1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Nadpis #2_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5">
    <w:name w:val="Titulek tabulky_"/>
    <w:basedOn w:val="DefaultParagraphFont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7">
    <w:name w:val="Jiné_"/>
    <w:basedOn w:val="DefaultParagraphFont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9">
    <w:name w:val="Titulek obrázku_"/>
    <w:basedOn w:val="DefaultParagraphFont"/>
    <w:link w:val="Style48"/>
    <w:rPr>
      <w:rFonts w:ascii="Arial" w:eastAsia="Arial" w:hAnsi="Arial" w:cs="Arial"/>
      <w:b w:val="0"/>
      <w:bCs w:val="0"/>
      <w:i w:val="0"/>
      <w:iCs w:val="0"/>
      <w:smallCaps w:val="0"/>
      <w:strike w:val="0"/>
      <w:color w:val="60A9DC"/>
      <w:sz w:val="16"/>
      <w:szCs w:val="16"/>
      <w:u w:val="none"/>
    </w:rPr>
  </w:style>
  <w:style w:type="character" w:customStyle="1" w:styleId="CharStyle55">
    <w:name w:val="Základní text (2)_"/>
    <w:basedOn w:val="DefaultParagraphFont"/>
    <w:link w:val="Style5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240" w:line="28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">
    <w:name w:val="Základní text (3)"/>
    <w:basedOn w:val="Normal"/>
    <w:link w:val="CharStyle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7">
    <w:name w:val="Záhlaví nebo zápatí (2)"/>
    <w:basedOn w:val="Normal"/>
    <w:link w:val="CharStyle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Nadpis #1"/>
    <w:basedOn w:val="Normal"/>
    <w:link w:val="CharStyle11"/>
    <w:pPr>
      <w:widowControl w:val="0"/>
      <w:shd w:val="clear" w:color="auto" w:fill="auto"/>
      <w:spacing w:after="240" w:line="190" w:lineRule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Nadpis #2"/>
    <w:basedOn w:val="Normal"/>
    <w:link w:val="CharStyle13"/>
    <w:pPr>
      <w:widowControl w:val="0"/>
      <w:shd w:val="clear" w:color="auto" w:fill="auto"/>
      <w:spacing w:after="120" w:line="286" w:lineRule="auto"/>
      <w:ind w:firstLine="47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4">
    <w:name w:val="Titulek tabulky"/>
    <w:basedOn w:val="Normal"/>
    <w:link w:val="CharStyle2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6">
    <w:name w:val="Jiné"/>
    <w:basedOn w:val="Normal"/>
    <w:link w:val="CharStyle27"/>
    <w:pPr>
      <w:widowControl w:val="0"/>
      <w:shd w:val="clear" w:color="auto" w:fill="auto"/>
      <w:spacing w:after="240" w:line="28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8">
    <w:name w:val="Titulek obrázku"/>
    <w:basedOn w:val="Normal"/>
    <w:link w:val="CharStyle49"/>
    <w:pPr>
      <w:widowControl w:val="0"/>
      <w:shd w:val="clear" w:color="auto" w:fill="auto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0A9DC"/>
      <w:sz w:val="16"/>
      <w:szCs w:val="16"/>
      <w:u w:val="none"/>
    </w:rPr>
  </w:style>
  <w:style w:type="paragraph" w:customStyle="1" w:styleId="Style54">
    <w:name w:val="Základní text (2)"/>
    <w:basedOn w:val="Normal"/>
    <w:link w:val="CharStyle55"/>
    <w:pPr>
      <w:widowControl w:val="0"/>
      <w:shd w:val="clear" w:color="auto" w:fill="auto"/>
      <w:spacing w:line="300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1.png" TargetMode="External"/></Relationships>
</file>