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Nadpis1"/>
        <w:tabs>
          <w:tab w:val="left" w:pos="567"/>
        </w:tabs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caps/>
          <w:sz w:val="32"/>
          <w:szCs w:val="32"/>
          <w:lang w:val="cs-CZ"/>
        </w:rPr>
        <w:t xml:space="preserve">Rámcová </w:t>
      </w:r>
      <w:r>
        <w:rPr>
          <w:rFonts w:asciiTheme="minorHAnsi" w:hAnsiTheme="minorHAnsi"/>
          <w:sz w:val="32"/>
          <w:szCs w:val="32"/>
          <w:lang w:val="cs-CZ"/>
        </w:rPr>
        <w:t>DOHODA</w:t>
      </w:r>
      <w:r>
        <w:rPr>
          <w:rFonts w:asciiTheme="minorHAnsi" w:hAnsiTheme="minorHAnsi"/>
          <w:sz w:val="32"/>
          <w:szCs w:val="32"/>
        </w:rPr>
        <w:t xml:space="preserve"> O POSKYTOVÁNÍ SLUŽEB</w:t>
      </w:r>
    </w:p>
    <w:p>
      <w:pPr>
        <w:pStyle w:val="Nadpis1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</w:rPr>
        <w:t>uzavřená dle ust. § 17</w:t>
      </w:r>
      <w:r>
        <w:rPr>
          <w:rFonts w:asciiTheme="minorHAnsi" w:hAnsiTheme="minorHAnsi"/>
          <w:sz w:val="22"/>
          <w:szCs w:val="22"/>
          <w:lang w:val="cs-CZ"/>
        </w:rPr>
        <w:t>46 odst. 2</w:t>
      </w:r>
      <w:r>
        <w:rPr>
          <w:rFonts w:asciiTheme="minorHAnsi" w:hAnsiTheme="minorHAnsi"/>
          <w:sz w:val="22"/>
          <w:szCs w:val="22"/>
        </w:rPr>
        <w:t xml:space="preserve"> zákona č. 89/2012 Sb.,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>
        <w:rPr>
          <w:rFonts w:asciiTheme="minorHAnsi" w:hAnsiTheme="minorHAnsi"/>
          <w:sz w:val="22"/>
          <w:szCs w:val="22"/>
        </w:rPr>
        <w:t>občanský zákoník</w:t>
      </w:r>
      <w:r>
        <w:rPr>
          <w:rFonts w:asciiTheme="minorHAnsi" w:hAnsiTheme="minorHAnsi"/>
          <w:sz w:val="22"/>
          <w:szCs w:val="22"/>
          <w:lang w:val="cs-CZ"/>
        </w:rPr>
        <w:t>, ve znění pozdějších předpisů, mezi:</w:t>
      </w:r>
    </w:p>
    <w:p>
      <w:pPr>
        <w:tabs>
          <w:tab w:val="left" w:pos="567"/>
        </w:tabs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pict>
          <v:rect id="_x0000_i1025" style="width:0;height:1.5pt" o:hralign="center" o:hrstd="t" o:hr="t" fillcolor="#a0a0a0" stroked="f"/>
        </w:pict>
      </w:r>
    </w:p>
    <w:p>
      <w:pPr>
        <w:rPr>
          <w:rFonts w:asciiTheme="minorHAnsi" w:hAnsiTheme="minorHAnsi"/>
          <w:sz w:val="22"/>
        </w:rPr>
      </w:pPr>
    </w:p>
    <w:p>
      <w:pPr>
        <w:pStyle w:val="nadpisvesmlouvch"/>
        <w:numPr>
          <w:ilvl w:val="0"/>
          <w:numId w:val="5"/>
        </w:numPr>
        <w:spacing w:before="240"/>
        <w:ind w:left="714" w:hanging="357"/>
      </w:pPr>
    </w:p>
    <w:p>
      <w:pPr>
        <w:pStyle w:val="nadpisvesmlouvch"/>
        <w:spacing w:after="120"/>
      </w:pPr>
      <w:r>
        <w:t>Smluvní strany</w:t>
      </w:r>
    </w:p>
    <w:p>
      <w:pPr>
        <w:spacing w:after="12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Objednatel: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>
        <w:tc>
          <w:tcPr>
            <w:tcW w:w="9212" w:type="dxa"/>
            <w:gridSpan w:val="2"/>
            <w:shd w:val="clear" w:color="auto" w:fill="auto"/>
          </w:tcPr>
          <w:p>
            <w:pPr>
              <w:spacing w:after="1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Město Žďár nad Sázavou</w:t>
            </w:r>
          </w:p>
        </w:tc>
      </w:tr>
      <w:tr>
        <w:tc>
          <w:tcPr>
            <w:tcW w:w="2943" w:type="dxa"/>
            <w:shd w:val="clear" w:color="auto" w:fill="auto"/>
          </w:tcPr>
          <w:p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zastoupené:</w:t>
            </w:r>
          </w:p>
        </w:tc>
        <w:tc>
          <w:tcPr>
            <w:tcW w:w="6269" w:type="dxa"/>
            <w:shd w:val="clear" w:color="auto" w:fill="auto"/>
          </w:tcPr>
          <w:p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JUDr. Martinou Hostomskou, tajemnicí městského úřadu, na základě pověření dle Směrnice č. 5/2023, o zadávání veřejných zakázek města Žďár nad Sázavou</w:t>
            </w:r>
          </w:p>
        </w:tc>
      </w:tr>
      <w:tr>
        <w:tc>
          <w:tcPr>
            <w:tcW w:w="2943" w:type="dxa"/>
            <w:shd w:val="clear" w:color="auto" w:fill="auto"/>
          </w:tcPr>
          <w:p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6269" w:type="dxa"/>
            <w:shd w:val="clear" w:color="auto" w:fill="auto"/>
          </w:tcPr>
          <w:p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Žižkova 227/1, 591 01 Žďár nad Sázavou</w:t>
            </w:r>
          </w:p>
        </w:tc>
      </w:tr>
      <w:tr>
        <w:tc>
          <w:tcPr>
            <w:tcW w:w="2943" w:type="dxa"/>
            <w:shd w:val="clear" w:color="auto" w:fill="auto"/>
          </w:tcPr>
          <w:p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6269" w:type="dxa"/>
            <w:shd w:val="clear" w:color="auto" w:fill="auto"/>
          </w:tcPr>
          <w:p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00295841</w:t>
            </w:r>
          </w:p>
        </w:tc>
      </w:tr>
      <w:tr>
        <w:tc>
          <w:tcPr>
            <w:tcW w:w="2943" w:type="dxa"/>
            <w:shd w:val="clear" w:color="auto" w:fill="auto"/>
          </w:tcPr>
          <w:p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6269" w:type="dxa"/>
            <w:shd w:val="clear" w:color="auto" w:fill="auto"/>
          </w:tcPr>
          <w:p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CZ00295841</w:t>
            </w:r>
          </w:p>
        </w:tc>
      </w:tr>
      <w:tr>
        <w:tc>
          <w:tcPr>
            <w:tcW w:w="2943" w:type="dxa"/>
            <w:shd w:val="clear" w:color="auto" w:fill="auto"/>
          </w:tcPr>
          <w:p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269" w:type="dxa"/>
            <w:shd w:val="clear" w:color="auto" w:fill="auto"/>
          </w:tcPr>
          <w:p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Komerční banka, a.s.</w:t>
            </w:r>
          </w:p>
        </w:tc>
      </w:tr>
      <w:tr>
        <w:tc>
          <w:tcPr>
            <w:tcW w:w="2943" w:type="dxa"/>
            <w:shd w:val="clear" w:color="auto" w:fill="auto"/>
          </w:tcPr>
          <w:p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č. účtu:</w:t>
            </w:r>
          </w:p>
        </w:tc>
        <w:tc>
          <w:tcPr>
            <w:tcW w:w="6269" w:type="dxa"/>
            <w:shd w:val="clear" w:color="auto" w:fill="auto"/>
          </w:tcPr>
          <w:p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328751/0100</w:t>
            </w:r>
          </w:p>
        </w:tc>
      </w:tr>
      <w:tr>
        <w:tc>
          <w:tcPr>
            <w:tcW w:w="2943" w:type="dxa"/>
            <w:shd w:val="clear" w:color="auto" w:fill="auto"/>
          </w:tcPr>
          <w:p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269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</w:t>
            </w:r>
          </w:p>
        </w:tc>
      </w:tr>
      <w:tr>
        <w:tc>
          <w:tcPr>
            <w:tcW w:w="2943" w:type="dxa"/>
            <w:shd w:val="clear" w:color="auto" w:fill="auto"/>
          </w:tcPr>
          <w:p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6269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</w:t>
            </w:r>
          </w:p>
        </w:tc>
      </w:tr>
      <w:tr>
        <w:tc>
          <w:tcPr>
            <w:tcW w:w="2943" w:type="dxa"/>
            <w:shd w:val="clear" w:color="auto" w:fill="auto"/>
          </w:tcPr>
          <w:p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6269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</w:t>
            </w:r>
          </w:p>
        </w:tc>
      </w:tr>
      <w:tr>
        <w:tc>
          <w:tcPr>
            <w:tcW w:w="2943" w:type="dxa"/>
            <w:shd w:val="clear" w:color="auto" w:fill="auto"/>
          </w:tcPr>
          <w:p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ID DS:</w:t>
            </w:r>
          </w:p>
        </w:tc>
        <w:tc>
          <w:tcPr>
            <w:tcW w:w="6269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ybxb3sz</w:t>
            </w:r>
          </w:p>
        </w:tc>
      </w:tr>
      <w:tr>
        <w:tc>
          <w:tcPr>
            <w:tcW w:w="2943" w:type="dxa"/>
            <w:shd w:val="clear" w:color="auto" w:fill="auto"/>
          </w:tcPr>
          <w:p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číslo dohody objednatele:</w:t>
            </w:r>
          </w:p>
        </w:tc>
        <w:tc>
          <w:tcPr>
            <w:tcW w:w="6269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</w:p>
    <w:p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</w:t>
      </w:r>
    </w:p>
    <w:p>
      <w:pPr>
        <w:rPr>
          <w:rFonts w:asciiTheme="minorHAnsi" w:hAnsiTheme="minorHAnsi"/>
          <w:sz w:val="22"/>
        </w:rPr>
      </w:pPr>
    </w:p>
    <w:p>
      <w:p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Poskytovatel: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>
        <w:tc>
          <w:tcPr>
            <w:tcW w:w="9212" w:type="dxa"/>
            <w:gridSpan w:val="2"/>
          </w:tcPr>
          <w:p>
            <w:pPr>
              <w:spacing w:before="100" w:beforeAutospacing="1" w:after="120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I3 Consultants s.r.o.</w:t>
            </w:r>
          </w:p>
        </w:tc>
      </w:tr>
      <w:tr>
        <w:tc>
          <w:tcPr>
            <w:tcW w:w="9212" w:type="dxa"/>
            <w:gridSpan w:val="2"/>
          </w:tcPr>
          <w:p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vedená u Městského soudu v Praze, spisová značka C 126634</w:t>
            </w:r>
          </w:p>
        </w:tc>
      </w:tr>
      <w:tr>
        <w:tc>
          <w:tcPr>
            <w:tcW w:w="2943" w:type="dxa"/>
          </w:tcPr>
          <w:p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zastoupená:</w:t>
            </w:r>
          </w:p>
        </w:tc>
        <w:tc>
          <w:tcPr>
            <w:tcW w:w="6269" w:type="dxa"/>
          </w:tcPr>
          <w:p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Tomášem Kubínkem, jednatelem;</w:t>
            </w:r>
          </w:p>
          <w:p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Igorem Proseckým, jednatelem</w:t>
            </w:r>
          </w:p>
        </w:tc>
      </w:tr>
      <w:tr>
        <w:tc>
          <w:tcPr>
            <w:tcW w:w="2943" w:type="dxa"/>
          </w:tcPr>
          <w:p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6269" w:type="dxa"/>
          </w:tcPr>
          <w:p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Praha 6, Řepy, K Trninám 945/34, PSČ 163 00</w:t>
            </w:r>
          </w:p>
        </w:tc>
      </w:tr>
      <w:tr>
        <w:tc>
          <w:tcPr>
            <w:tcW w:w="2943" w:type="dxa"/>
          </w:tcPr>
          <w:p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6269" w:type="dxa"/>
          </w:tcPr>
          <w:p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279 21 344</w:t>
            </w:r>
          </w:p>
        </w:tc>
      </w:tr>
      <w:tr>
        <w:tc>
          <w:tcPr>
            <w:tcW w:w="2943" w:type="dxa"/>
          </w:tcPr>
          <w:p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6269" w:type="dxa"/>
          </w:tcPr>
          <w:p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CZ27921344  </w:t>
            </w:r>
          </w:p>
        </w:tc>
      </w:tr>
      <w:tr>
        <w:tc>
          <w:tcPr>
            <w:tcW w:w="2943" w:type="dxa"/>
          </w:tcPr>
          <w:p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269" w:type="dxa"/>
          </w:tcPr>
          <w:p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</w:t>
            </w:r>
          </w:p>
        </w:tc>
      </w:tr>
      <w:tr>
        <w:tc>
          <w:tcPr>
            <w:tcW w:w="2943" w:type="dxa"/>
          </w:tcPr>
          <w:p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č. účtu:</w:t>
            </w:r>
          </w:p>
        </w:tc>
        <w:tc>
          <w:tcPr>
            <w:tcW w:w="6269" w:type="dxa"/>
          </w:tcPr>
          <w:p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</w:t>
            </w:r>
          </w:p>
        </w:tc>
      </w:tr>
      <w:tr>
        <w:tc>
          <w:tcPr>
            <w:tcW w:w="2943" w:type="dxa"/>
          </w:tcPr>
          <w:p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269" w:type="dxa"/>
          </w:tcPr>
          <w:p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</w:t>
            </w:r>
          </w:p>
        </w:tc>
      </w:tr>
      <w:tr>
        <w:tc>
          <w:tcPr>
            <w:tcW w:w="2943" w:type="dxa"/>
          </w:tcPr>
          <w:p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6269" w:type="dxa"/>
          </w:tcPr>
          <w:p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</w:t>
            </w:r>
          </w:p>
        </w:tc>
      </w:tr>
      <w:tr>
        <w:tc>
          <w:tcPr>
            <w:tcW w:w="2943" w:type="dxa"/>
          </w:tcPr>
          <w:p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6269" w:type="dxa"/>
          </w:tcPr>
          <w:p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</w:t>
            </w:r>
          </w:p>
        </w:tc>
      </w:tr>
      <w:tr>
        <w:tc>
          <w:tcPr>
            <w:tcW w:w="2943" w:type="dxa"/>
          </w:tcPr>
          <w:p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ID DS:</w:t>
            </w:r>
          </w:p>
        </w:tc>
        <w:tc>
          <w:tcPr>
            <w:tcW w:w="6269" w:type="dxa"/>
          </w:tcPr>
          <w:p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mazc9cz</w:t>
            </w:r>
          </w:p>
        </w:tc>
      </w:tr>
      <w:tr>
        <w:tc>
          <w:tcPr>
            <w:tcW w:w="2943" w:type="dxa"/>
          </w:tcPr>
          <w:p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číslo dohody poskytovatele:</w:t>
            </w:r>
          </w:p>
        </w:tc>
        <w:tc>
          <w:tcPr>
            <w:tcW w:w="6269" w:type="dxa"/>
          </w:tcPr>
          <w:p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/>
    <w:p>
      <w:pPr>
        <w:pStyle w:val="Odstavecseseznamem"/>
        <w:numPr>
          <w:ilvl w:val="0"/>
          <w:numId w:val="5"/>
        </w:numPr>
        <w:jc w:val="center"/>
      </w:pPr>
    </w:p>
    <w:p>
      <w:pPr>
        <w:pStyle w:val="nadpisvesmlouvch"/>
        <w:spacing w:after="120"/>
      </w:pPr>
      <w:r>
        <w:t>Předmět dohody</w:t>
      </w:r>
    </w:p>
    <w:p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Předmětem této rámcové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  <w:szCs w:val="22"/>
        </w:rPr>
        <w:t xml:space="preserve">o poskytování služeb je zavedení systému kybernetické bezpečnosti a výkon role odpovědné osoby za kybernetickou bezpečnost pro Město Žďár nad Sázavou, a to v souladu s podmínkami této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  <w:szCs w:val="22"/>
        </w:rPr>
        <w:t>o poskytování služeb (dále také jen „</w:t>
      </w:r>
      <w:r>
        <w:rPr>
          <w:rFonts w:asciiTheme="minorHAnsi" w:hAnsiTheme="minorHAnsi"/>
          <w:sz w:val="22"/>
        </w:rPr>
        <w:t>dohoda</w:t>
      </w:r>
      <w:r>
        <w:rPr>
          <w:rFonts w:ascii="Calibri" w:hAnsi="Calibri"/>
          <w:sz w:val="22"/>
          <w:szCs w:val="22"/>
        </w:rPr>
        <w:t>“).</w:t>
      </w:r>
    </w:p>
    <w:p>
      <w:pPr>
        <w:pStyle w:val="Zkladntext3"/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</w:p>
    <w:p>
      <w:pPr>
        <w:pStyle w:val="nadpisvesmlouvch"/>
        <w:numPr>
          <w:ilvl w:val="0"/>
          <w:numId w:val="5"/>
        </w:numPr>
        <w:spacing w:before="240"/>
        <w:ind w:left="714" w:hanging="357"/>
      </w:pPr>
    </w:p>
    <w:p>
      <w:pPr>
        <w:pStyle w:val="nadpisvesmlouvch"/>
        <w:spacing w:after="120"/>
      </w:pPr>
      <w:r>
        <w:t>Vymezení předmětu dohody</w:t>
      </w:r>
    </w:p>
    <w:p>
      <w:pPr>
        <w:pStyle w:val="Zkladntext3"/>
        <w:numPr>
          <w:ilvl w:val="0"/>
          <w:numId w:val="6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v rámci zavedení systému kybernetické bezpečnosti vypracuje opatření k zajištění kybernetické bezpečnosti, poskytne zadavateli podporu při implementaci opatření a vypracuje bezpečnostní dokumentaci v souladu s požadavky směrnice Evropského parlamentu a Rady (EU) 2022/2555 o opatřeních k zajištění vysoké společné úrovně kybernetické bezpečnosti v Unii a o změně nařízení (EU) č. 910/2014 a směrnice (EU) 2018/1972 a o zrušení směrnice (EU) 2016/1148 (směrnice NIS 2) a s ní spojeným návrhem nového zákona o kybernetické bezpečnosti a jeho prováděcích předpisů, především návrhu vyhlášky o bezpečnostních opatřeních poskytovatele regulované služby v režimu nižších povinností .</w:t>
      </w:r>
    </w:p>
    <w:p>
      <w:pPr>
        <w:pStyle w:val="Zkladntext3"/>
        <w:numPr>
          <w:ilvl w:val="0"/>
          <w:numId w:val="6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zajistí výkon role odpovědné osoby za kybernetickou bezpečnost po dobu 24 měsíců od zavedení systému kybernetické bezpečnosti, v rozsahu 24 MD.</w:t>
      </w:r>
    </w:p>
    <w:p>
      <w:pPr>
        <w:pStyle w:val="Zkladntext3"/>
        <w:numPr>
          <w:ilvl w:val="0"/>
          <w:numId w:val="6"/>
        </w:numPr>
        <w:tabs>
          <w:tab w:val="left" w:pos="426"/>
        </w:tabs>
        <w:spacing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Maximální celková cena nepřesáhne celkovou fixní částku </w:t>
      </w:r>
      <w:r>
        <w:rPr>
          <w:rFonts w:ascii="Calibri" w:hAnsi="Calibri"/>
          <w:b/>
          <w:bCs/>
          <w:sz w:val="22"/>
          <w:szCs w:val="22"/>
        </w:rPr>
        <w:t>480 000,- Kč bez DPH</w:t>
      </w:r>
      <w:r>
        <w:rPr>
          <w:rFonts w:ascii="Calibri" w:hAnsi="Calibri"/>
          <w:sz w:val="22"/>
          <w:szCs w:val="22"/>
        </w:rPr>
        <w:t>, přičemž objednatel není povinen částku vyčerpat.</w:t>
      </w:r>
    </w:p>
    <w:p>
      <w:pPr>
        <w:pStyle w:val="Zkladntext3"/>
        <w:numPr>
          <w:ilvl w:val="0"/>
          <w:numId w:val="6"/>
        </w:numPr>
        <w:tabs>
          <w:tab w:val="left" w:pos="426"/>
        </w:tabs>
        <w:spacing w:line="20" w:lineRule="atLeas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Rozsah plnění:</w:t>
      </w:r>
    </w:p>
    <w:p>
      <w:pPr>
        <w:pStyle w:val="Zkladntext3"/>
        <w:tabs>
          <w:tab w:val="left" w:pos="426"/>
        </w:tabs>
        <w:spacing w:line="20" w:lineRule="atLeast"/>
        <w:ind w:left="36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Zavedení systému zajištění kybernetické bezpečnosti </w:t>
      </w:r>
      <w:r>
        <w:rPr>
          <w:rFonts w:ascii="Calibri" w:hAnsi="Calibri"/>
          <w:sz w:val="22"/>
          <w:szCs w:val="22"/>
        </w:rPr>
        <w:t>a výkon role odpovědné osoby za kybernetickou bezpečnost</w:t>
      </w:r>
      <w:r>
        <w:rPr>
          <w:rFonts w:ascii="Calibri" w:hAnsi="Calibri" w:cs="Calibri"/>
          <w:sz w:val="22"/>
          <w:szCs w:val="22"/>
        </w:rPr>
        <w:t xml:space="preserve"> bude realizováno ve dvou etapách:</w:t>
      </w:r>
    </w:p>
    <w:p>
      <w:pPr>
        <w:pStyle w:val="Zkladntext3"/>
        <w:numPr>
          <w:ilvl w:val="0"/>
          <w:numId w:val="45"/>
        </w:numPr>
        <w:tabs>
          <w:tab w:val="left" w:pos="426"/>
        </w:tabs>
        <w:spacing w:line="20" w:lineRule="atLeas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Etapa 1: realizace do 30.6.2024</w:t>
      </w:r>
    </w:p>
    <w:p>
      <w:pPr>
        <w:pStyle w:val="Zkladntext3"/>
        <w:tabs>
          <w:tab w:val="left" w:pos="426"/>
        </w:tabs>
        <w:spacing w:line="20" w:lineRule="atLeast"/>
        <w:ind w:left="72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opatření k zajištění kybernetické bezpečnosti a vypracování bezpečnostní dokumentace v minimálním rozsahu:</w:t>
      </w:r>
    </w:p>
    <w:p>
      <w:pPr>
        <w:pStyle w:val="Zkladntext3"/>
        <w:numPr>
          <w:ilvl w:val="0"/>
          <w:numId w:val="46"/>
        </w:numPr>
        <w:tabs>
          <w:tab w:val="left" w:pos="426"/>
        </w:tabs>
        <w:spacing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Politika zajišťování minimální úrovně kybernetické bezpečnosti</w:t>
      </w:r>
    </w:p>
    <w:p>
      <w:pPr>
        <w:pStyle w:val="Zkladntext3"/>
        <w:numPr>
          <w:ilvl w:val="0"/>
          <w:numId w:val="46"/>
        </w:numPr>
        <w:tabs>
          <w:tab w:val="left" w:pos="426"/>
        </w:tabs>
        <w:spacing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Politika bezpečnosti lidských zdrojů</w:t>
      </w:r>
    </w:p>
    <w:p>
      <w:pPr>
        <w:pStyle w:val="Zkladntext3"/>
        <w:numPr>
          <w:ilvl w:val="0"/>
          <w:numId w:val="46"/>
        </w:numPr>
        <w:tabs>
          <w:tab w:val="left" w:pos="426"/>
        </w:tabs>
        <w:spacing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Politika řízení kontinuity činností</w:t>
      </w:r>
    </w:p>
    <w:p>
      <w:pPr>
        <w:pStyle w:val="Zkladntext3"/>
        <w:numPr>
          <w:ilvl w:val="0"/>
          <w:numId w:val="46"/>
        </w:numPr>
        <w:tabs>
          <w:tab w:val="left" w:pos="426"/>
        </w:tabs>
        <w:spacing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Politika řízení přístupu</w:t>
      </w:r>
    </w:p>
    <w:p>
      <w:pPr>
        <w:pStyle w:val="Zkladntext3"/>
        <w:numPr>
          <w:ilvl w:val="0"/>
          <w:numId w:val="46"/>
        </w:numPr>
        <w:tabs>
          <w:tab w:val="left" w:pos="426"/>
        </w:tabs>
        <w:spacing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Politika detekce kybernetických bezpečnostních událostí a řešení kybernetických bezpečnostních incidentů</w:t>
      </w:r>
    </w:p>
    <w:p>
      <w:pPr>
        <w:pStyle w:val="Zkladntext3"/>
        <w:numPr>
          <w:ilvl w:val="0"/>
          <w:numId w:val="46"/>
        </w:numPr>
        <w:tabs>
          <w:tab w:val="left" w:pos="426"/>
        </w:tabs>
        <w:spacing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Politika bezpečnosti komunikační sítě</w:t>
      </w:r>
    </w:p>
    <w:p>
      <w:pPr>
        <w:pStyle w:val="Zkladntext3"/>
        <w:numPr>
          <w:ilvl w:val="0"/>
          <w:numId w:val="46"/>
        </w:numPr>
        <w:tabs>
          <w:tab w:val="left" w:pos="426"/>
        </w:tabs>
        <w:spacing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Politika aplikační bezpečnosti</w:t>
      </w:r>
    </w:p>
    <w:p>
      <w:pPr>
        <w:pStyle w:val="Zkladntext3"/>
        <w:numPr>
          <w:ilvl w:val="0"/>
          <w:numId w:val="46"/>
        </w:numPr>
        <w:tabs>
          <w:tab w:val="left" w:pos="426"/>
        </w:tabs>
        <w:spacing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Evidence aktiv</w:t>
      </w:r>
    </w:p>
    <w:p>
      <w:pPr>
        <w:pStyle w:val="Zkladntext3"/>
        <w:numPr>
          <w:ilvl w:val="0"/>
          <w:numId w:val="46"/>
        </w:numPr>
        <w:tabs>
          <w:tab w:val="left" w:pos="426"/>
        </w:tabs>
        <w:spacing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Evidence nepodporovaných technických aktiv</w:t>
      </w:r>
    </w:p>
    <w:p>
      <w:pPr>
        <w:pStyle w:val="Zkladntext3"/>
        <w:numPr>
          <w:ilvl w:val="0"/>
          <w:numId w:val="46"/>
        </w:numPr>
        <w:tabs>
          <w:tab w:val="left" w:pos="426"/>
        </w:tabs>
        <w:spacing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Přehled bezpečnostních opatření</w:t>
      </w:r>
    </w:p>
    <w:p>
      <w:pPr>
        <w:pStyle w:val="Zkladntext3"/>
        <w:numPr>
          <w:ilvl w:val="0"/>
          <w:numId w:val="46"/>
        </w:numPr>
        <w:tabs>
          <w:tab w:val="left" w:pos="426"/>
        </w:tabs>
        <w:spacing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Plány obnovy/havarijní plány</w:t>
      </w:r>
    </w:p>
    <w:p>
      <w:pPr>
        <w:pStyle w:val="Zkladntext3"/>
        <w:numPr>
          <w:ilvl w:val="0"/>
          <w:numId w:val="46"/>
        </w:numPr>
        <w:tabs>
          <w:tab w:val="left" w:pos="426"/>
        </w:tabs>
        <w:spacing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Vzor Závěrečné zpráva o kybernetickém bezpečnostním incidentu</w:t>
      </w:r>
    </w:p>
    <w:p>
      <w:pPr>
        <w:pStyle w:val="Zkladntext3"/>
        <w:tabs>
          <w:tab w:val="left" w:pos="426"/>
        </w:tabs>
        <w:spacing w:line="20" w:lineRule="atLeast"/>
        <w:ind w:left="72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výše uvedené plnění (Etapa 1) bude po jeho dokončení fakturována částka 180 000 Kč bez DPH.</w:t>
      </w:r>
    </w:p>
    <w:p>
      <w:pPr>
        <w:pStyle w:val="Zkladntext3"/>
        <w:numPr>
          <w:ilvl w:val="0"/>
          <w:numId w:val="45"/>
        </w:numPr>
        <w:tabs>
          <w:tab w:val="left" w:pos="426"/>
        </w:tabs>
        <w:spacing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Etapa 2: realizace od 1.10.2024 do 30.9.2026</w:t>
      </w:r>
    </w:p>
    <w:p>
      <w:pPr>
        <w:pStyle w:val="Zkladntext3"/>
        <w:tabs>
          <w:tab w:val="left" w:pos="426"/>
        </w:tabs>
        <w:spacing w:line="20" w:lineRule="atLeast"/>
        <w:ind w:left="72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Výkon role odpovědné osoby za kybernetickou bezpečnost v rozsahu 1 MD / měsíc.</w:t>
      </w:r>
    </w:p>
    <w:p>
      <w:pPr>
        <w:pStyle w:val="Zkladntext3"/>
        <w:tabs>
          <w:tab w:val="left" w:pos="426"/>
        </w:tabs>
        <w:spacing w:line="20" w:lineRule="atLeast"/>
        <w:ind w:left="72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výše uvedené plnění (Etapa 2) bude za měsíční plnění fakturována částka 9 000 Kč bez DPH vždy do 15. dne následujícího měsíce s DUZP za daný měsíc, celkem 216 000 Kč bez DPH.</w:t>
      </w:r>
    </w:p>
    <w:p>
      <w:pPr>
        <w:pStyle w:val="Zkladntext3"/>
        <w:tabs>
          <w:tab w:val="left" w:pos="426"/>
        </w:tabs>
        <w:spacing w:line="20" w:lineRule="atLeast"/>
        <w:ind w:left="72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případě, že výše uvedený časový fond bude v daném měsíci překročen, úhrada každé další započaté hodiny výkonu role odpovědné osoby za kybernetickou bezpečnost činí 1 125 Kč bez </w:t>
      </w:r>
      <w:r>
        <w:rPr>
          <w:rFonts w:ascii="Calibri" w:hAnsi="Calibri"/>
          <w:sz w:val="22"/>
          <w:szCs w:val="22"/>
        </w:rPr>
        <w:lastRenderedPageBreak/>
        <w:t>DPH. V případě této situace poskytovatel předkládá výkaz práce vykonaných činností, který podléhá odsouhlasení objednatelem.</w:t>
      </w:r>
    </w:p>
    <w:p>
      <w:pPr>
        <w:pStyle w:val="nadpisvesmlouvch"/>
        <w:numPr>
          <w:ilvl w:val="0"/>
          <w:numId w:val="5"/>
        </w:numPr>
        <w:spacing w:before="240"/>
        <w:ind w:left="714" w:hanging="357"/>
      </w:pPr>
    </w:p>
    <w:p>
      <w:pPr>
        <w:spacing w:after="12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Termín poskytnutí služeb a místo plnění</w:t>
      </w:r>
    </w:p>
    <w:p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Poskytování služeb bude zahájeno po podpisu dohody a nabytí účinnosti této dohody.</w:t>
      </w:r>
    </w:p>
    <w:p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>
        <w:rPr>
          <w:rFonts w:ascii="Calibri" w:hAnsi="Calibri"/>
          <w:sz w:val="22"/>
          <w:szCs w:val="22"/>
        </w:rPr>
        <w:t>Poskytování služeb bude ukončeno</w:t>
      </w:r>
      <w:bookmarkStart w:id="0" w:name="_Hlk62804345"/>
      <w:r>
        <w:rPr>
          <w:rFonts w:ascii="Calibri" w:hAnsi="Calibri"/>
          <w:sz w:val="22"/>
          <w:szCs w:val="22"/>
        </w:rPr>
        <w:t xml:space="preserve"> 30.9.2026</w:t>
      </w:r>
      <w:bookmarkEnd w:id="0"/>
      <w:r>
        <w:rPr>
          <w:rFonts w:asciiTheme="minorHAnsi" w:hAnsiTheme="minorHAnsi"/>
          <w:sz w:val="22"/>
        </w:rPr>
        <w:t>.</w:t>
      </w:r>
    </w:p>
    <w:p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Místem plnění je sídlo objednatele na adrese Žižkova 227/1, 591 01 Žďár nad Sázavou.</w:t>
      </w:r>
    </w:p>
    <w:p>
      <w:pPr>
        <w:pStyle w:val="Zkladntext2"/>
        <w:numPr>
          <w:ilvl w:val="0"/>
          <w:numId w:val="30"/>
        </w:numPr>
        <w:spacing w:line="240" w:lineRule="auto"/>
        <w:rPr>
          <w:rFonts w:ascii="Calibri" w:hAnsi="Calibri" w:cs="Calibri"/>
          <w:sz w:val="22"/>
        </w:rPr>
      </w:pPr>
      <w:r>
        <w:rPr>
          <w:rFonts w:ascii="Calibri" w:hAnsi="Calibri"/>
          <w:sz w:val="22"/>
        </w:rPr>
        <w:t>Pokud to však povaha plnění této dohody umožňuje a na straně objednatele neexistuje závažný důvod k jinému postupu, je poskytovatel oprávněn poskytovat služby ze svého sídla, místa podnikání či pobočky nebo pracoviště a výstupy z těchto služeb poskytovat objednateli vzdáleně elektronickými prostředky.</w:t>
      </w:r>
    </w:p>
    <w:p>
      <w:pPr>
        <w:pStyle w:val="nadpisvesmlouvch"/>
        <w:numPr>
          <w:ilvl w:val="0"/>
          <w:numId w:val="5"/>
        </w:numPr>
        <w:spacing w:before="240"/>
        <w:ind w:left="714" w:hanging="357"/>
      </w:pPr>
    </w:p>
    <w:p>
      <w:pPr>
        <w:pStyle w:val="nadpisvesmlouvch"/>
        <w:spacing w:after="120"/>
      </w:pPr>
      <w:r>
        <w:t>Cena za poskytování služeb</w:t>
      </w:r>
    </w:p>
    <w:p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Cena za </w:t>
      </w:r>
      <w:r>
        <w:rPr>
          <w:rFonts w:ascii="Calibri" w:hAnsi="Calibri"/>
          <w:b/>
          <w:bCs/>
          <w:sz w:val="22"/>
          <w:szCs w:val="22"/>
        </w:rPr>
        <w:t>Etapu 1:</w:t>
      </w:r>
      <w:r>
        <w:rPr>
          <w:rFonts w:ascii="Calibri" w:hAnsi="Calibri"/>
          <w:sz w:val="22"/>
          <w:szCs w:val="22"/>
        </w:rPr>
        <w:t xml:space="preserve"> Ustanovení opatření k zajištění kybernetické bezpečnosti a vypracování bezpečnostní dokumentace byla dohodou smluvních stran stanovena na:</w:t>
      </w:r>
    </w:p>
    <w:p>
      <w:pPr>
        <w:pStyle w:val="Seznam0"/>
        <w:ind w:left="2832" w:firstLine="426"/>
        <w:rPr>
          <w:rFonts w:asciiTheme="minorHAnsi" w:hAnsiTheme="minorHAnsi"/>
          <w:sz w:val="22"/>
          <w:szCs w:val="22"/>
        </w:rPr>
      </w:pPr>
    </w:p>
    <w:p>
      <w:pPr>
        <w:pStyle w:val="Seznam0"/>
        <w:tabs>
          <w:tab w:val="right" w:pos="5387"/>
        </w:tabs>
        <w:ind w:firstLine="709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Celková cena bez DPH: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ab/>
        <w:t>180 000,- Kč</w:t>
      </w:r>
    </w:p>
    <w:p>
      <w:pPr>
        <w:pStyle w:val="Seznam0"/>
        <w:ind w:left="709"/>
        <w:rPr>
          <w:rFonts w:asciiTheme="minorHAnsi" w:hAnsiTheme="minorHAnsi"/>
          <w:color w:val="000000"/>
          <w:sz w:val="22"/>
          <w:szCs w:val="22"/>
        </w:rPr>
      </w:pPr>
    </w:p>
    <w:p>
      <w:pPr>
        <w:pStyle w:val="Seznam0"/>
        <w:tabs>
          <w:tab w:val="right" w:pos="5387"/>
        </w:tabs>
        <w:ind w:left="709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DPH 21 %:</w:t>
      </w:r>
      <w:r>
        <w:rPr>
          <w:rFonts w:asciiTheme="minorHAnsi" w:hAnsiTheme="minorHAnsi"/>
          <w:color w:val="000000"/>
          <w:sz w:val="22"/>
          <w:szCs w:val="22"/>
        </w:rPr>
        <w:tab/>
        <w:t xml:space="preserve">37 800,- Kč </w:t>
      </w:r>
    </w:p>
    <w:p>
      <w:pPr>
        <w:pStyle w:val="Seznam0"/>
        <w:ind w:firstLine="709"/>
        <w:rPr>
          <w:rFonts w:asciiTheme="minorHAnsi" w:hAnsiTheme="minorHAnsi"/>
          <w:color w:val="000000"/>
          <w:sz w:val="22"/>
          <w:szCs w:val="22"/>
        </w:rPr>
      </w:pPr>
    </w:p>
    <w:p>
      <w:pPr>
        <w:pStyle w:val="Seznam0"/>
        <w:tabs>
          <w:tab w:val="right" w:pos="5387"/>
        </w:tabs>
        <w:ind w:firstLine="709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Celková cena včetně DPH:</w:t>
      </w:r>
      <w:r>
        <w:rPr>
          <w:rFonts w:asciiTheme="minorHAnsi" w:hAnsiTheme="minorHAnsi"/>
          <w:color w:val="000000"/>
          <w:sz w:val="22"/>
          <w:szCs w:val="22"/>
        </w:rPr>
        <w:tab/>
        <w:t>217 800,- Kč</w:t>
      </w:r>
    </w:p>
    <w:p>
      <w:pPr>
        <w:pStyle w:val="Seznam0"/>
        <w:tabs>
          <w:tab w:val="right" w:pos="5387"/>
        </w:tabs>
        <w:ind w:firstLine="709"/>
        <w:rPr>
          <w:rFonts w:asciiTheme="minorHAnsi" w:hAnsiTheme="minorHAnsi"/>
          <w:color w:val="000000"/>
          <w:sz w:val="22"/>
          <w:szCs w:val="22"/>
        </w:rPr>
      </w:pPr>
    </w:p>
    <w:p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Cena za </w:t>
      </w:r>
      <w:r>
        <w:rPr>
          <w:rFonts w:ascii="Calibri" w:hAnsi="Calibri"/>
          <w:b/>
          <w:bCs/>
          <w:sz w:val="22"/>
          <w:szCs w:val="22"/>
        </w:rPr>
        <w:t>Etapu 2:</w:t>
      </w:r>
      <w:r>
        <w:rPr>
          <w:rFonts w:ascii="Calibri" w:hAnsi="Calibri"/>
          <w:sz w:val="22"/>
          <w:szCs w:val="22"/>
        </w:rPr>
        <w:t xml:space="preserve"> Výkon role odpovědné osoby za kybernetickou bezpečnost, v rozsahu 24 MD byla dohodou smluvních stran stanovena na:</w:t>
      </w:r>
    </w:p>
    <w:p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</w:p>
    <w:p>
      <w:pPr>
        <w:pStyle w:val="Seznam0"/>
        <w:tabs>
          <w:tab w:val="right" w:pos="5387"/>
        </w:tabs>
        <w:ind w:firstLine="709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Celková cena za 1 MD bez DPH: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ab/>
        <w:t>9 000,- Kč</w:t>
      </w:r>
    </w:p>
    <w:p>
      <w:pPr>
        <w:pStyle w:val="Seznam0"/>
        <w:ind w:left="709"/>
        <w:rPr>
          <w:rFonts w:asciiTheme="minorHAnsi" w:hAnsiTheme="minorHAnsi"/>
          <w:color w:val="000000"/>
          <w:sz w:val="22"/>
          <w:szCs w:val="22"/>
        </w:rPr>
      </w:pPr>
    </w:p>
    <w:p>
      <w:pPr>
        <w:pStyle w:val="Seznam0"/>
        <w:tabs>
          <w:tab w:val="right" w:pos="5387"/>
        </w:tabs>
        <w:ind w:left="709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DPH 21 %:</w:t>
      </w:r>
      <w:r>
        <w:rPr>
          <w:rFonts w:asciiTheme="minorHAnsi" w:hAnsiTheme="minorHAnsi"/>
          <w:color w:val="000000"/>
          <w:sz w:val="22"/>
          <w:szCs w:val="22"/>
        </w:rPr>
        <w:tab/>
        <w:t xml:space="preserve">1 890,- Kč </w:t>
      </w:r>
    </w:p>
    <w:p>
      <w:pPr>
        <w:pStyle w:val="Seznam0"/>
        <w:ind w:firstLine="709"/>
        <w:rPr>
          <w:rFonts w:asciiTheme="minorHAnsi" w:hAnsiTheme="minorHAnsi"/>
          <w:color w:val="000000"/>
          <w:sz w:val="22"/>
          <w:szCs w:val="22"/>
        </w:rPr>
      </w:pPr>
    </w:p>
    <w:p>
      <w:pPr>
        <w:pStyle w:val="Seznam0"/>
        <w:tabs>
          <w:tab w:val="right" w:pos="5387"/>
        </w:tabs>
        <w:ind w:firstLine="709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Celková cena za 1 MD včetně DPH:</w:t>
      </w:r>
      <w:r>
        <w:rPr>
          <w:rFonts w:asciiTheme="minorHAnsi" w:hAnsiTheme="minorHAnsi"/>
          <w:color w:val="000000"/>
          <w:sz w:val="22"/>
          <w:szCs w:val="22"/>
        </w:rPr>
        <w:tab/>
        <w:t>10 890,- Kč</w:t>
      </w:r>
    </w:p>
    <w:p>
      <w:pPr>
        <w:pStyle w:val="Seznam0"/>
        <w:tabs>
          <w:tab w:val="right" w:pos="5387"/>
        </w:tabs>
        <w:ind w:firstLine="709"/>
        <w:rPr>
          <w:rFonts w:asciiTheme="minorHAnsi" w:hAnsiTheme="minorHAnsi"/>
          <w:color w:val="000000"/>
          <w:sz w:val="22"/>
          <w:szCs w:val="22"/>
        </w:rPr>
      </w:pPr>
    </w:p>
    <w:p>
      <w:pPr>
        <w:pStyle w:val="Seznam0"/>
        <w:tabs>
          <w:tab w:val="right" w:pos="5387"/>
        </w:tabs>
        <w:ind w:firstLine="567"/>
        <w:rPr>
          <w:rFonts w:asciiTheme="minorHAnsi" w:hAnsi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/>
          <w:color w:val="000000"/>
          <w:sz w:val="22"/>
          <w:szCs w:val="22"/>
          <w:u w:val="single"/>
        </w:rPr>
        <w:t>Cena nad rámec časového fondu</w:t>
      </w:r>
    </w:p>
    <w:p>
      <w:pPr>
        <w:pStyle w:val="Seznam0"/>
        <w:tabs>
          <w:tab w:val="right" w:pos="5387"/>
        </w:tabs>
        <w:ind w:firstLine="709"/>
        <w:rPr>
          <w:rFonts w:asciiTheme="minorHAnsi" w:hAnsiTheme="minorHAnsi"/>
          <w:color w:val="000000"/>
          <w:sz w:val="22"/>
          <w:szCs w:val="22"/>
        </w:rPr>
      </w:pPr>
    </w:p>
    <w:p>
      <w:pPr>
        <w:pStyle w:val="Seznam0"/>
        <w:tabs>
          <w:tab w:val="right" w:pos="5387"/>
        </w:tabs>
        <w:ind w:firstLine="709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Celková cena za 1 hod. bez DPH: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ab/>
        <w:t>1 125,- Kč</w:t>
      </w:r>
    </w:p>
    <w:p>
      <w:pPr>
        <w:pStyle w:val="Seznam0"/>
        <w:tabs>
          <w:tab w:val="right" w:pos="5387"/>
        </w:tabs>
        <w:ind w:firstLine="709"/>
        <w:rPr>
          <w:rFonts w:asciiTheme="minorHAnsi" w:hAnsiTheme="minorHAnsi"/>
          <w:b/>
          <w:bCs/>
          <w:color w:val="000000"/>
          <w:sz w:val="22"/>
          <w:szCs w:val="22"/>
        </w:rPr>
      </w:pPr>
    </w:p>
    <w:p>
      <w:pPr>
        <w:pStyle w:val="Seznam0"/>
        <w:tabs>
          <w:tab w:val="right" w:pos="5387"/>
        </w:tabs>
        <w:ind w:firstLine="709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DPH 21 %:</w:t>
      </w:r>
      <w:r>
        <w:rPr>
          <w:rFonts w:asciiTheme="minorHAnsi" w:hAnsiTheme="minorHAnsi"/>
          <w:color w:val="000000"/>
          <w:sz w:val="22"/>
          <w:szCs w:val="22"/>
        </w:rPr>
        <w:tab/>
        <w:t>236, 25 Kč</w:t>
      </w:r>
    </w:p>
    <w:p>
      <w:pPr>
        <w:pStyle w:val="Seznam0"/>
        <w:tabs>
          <w:tab w:val="right" w:pos="5387"/>
        </w:tabs>
        <w:ind w:firstLine="709"/>
        <w:rPr>
          <w:rFonts w:asciiTheme="minorHAnsi" w:hAnsiTheme="minorHAnsi"/>
          <w:color w:val="000000"/>
          <w:sz w:val="22"/>
          <w:szCs w:val="22"/>
        </w:rPr>
      </w:pPr>
    </w:p>
    <w:p>
      <w:pPr>
        <w:pStyle w:val="Seznam0"/>
        <w:tabs>
          <w:tab w:val="right" w:pos="5387"/>
        </w:tabs>
        <w:ind w:firstLine="709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Celková cena za 1 hod. včetně DPH:</w:t>
      </w:r>
      <w:r>
        <w:rPr>
          <w:rFonts w:asciiTheme="minorHAnsi" w:hAnsiTheme="minorHAnsi"/>
          <w:color w:val="000000"/>
          <w:sz w:val="22"/>
          <w:szCs w:val="22"/>
        </w:rPr>
        <w:tab/>
        <w:t>1 361,25 Kč</w:t>
      </w:r>
    </w:p>
    <w:p>
      <w:pPr>
        <w:pStyle w:val="Seznam0"/>
        <w:ind w:left="991" w:firstLine="426"/>
        <w:rPr>
          <w:rFonts w:asciiTheme="minorHAnsi" w:hAnsiTheme="minorHAnsi"/>
          <w:bCs/>
          <w:color w:val="000000"/>
          <w:sz w:val="22"/>
          <w:szCs w:val="22"/>
        </w:rPr>
      </w:pPr>
    </w:p>
    <w:p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Uvedená cena je cenou nejvýše přípustnou, zahrnuje veškeré náklady a vedlejší výkony nutné k řádnému poskytování služeb a nelze ji zvýšit ani pod vlivem změny cen vstupů nebo jiných vnějších podmínek.</w:t>
      </w:r>
    </w:p>
    <w:p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Ke změně ceny může dojít pouze v případě dodatečných změn v rozsahu poskytovaných služeb odsouhlasených oběma smluvními stranami nebo pokud v průběhu poskytované služby dojde ke změně sazeb daně z přidané hodnoty.</w:t>
      </w:r>
    </w:p>
    <w:p>
      <w:pPr>
        <w:pStyle w:val="nadpisvesmlouvch"/>
        <w:numPr>
          <w:ilvl w:val="0"/>
          <w:numId w:val="5"/>
        </w:numPr>
        <w:spacing w:before="240"/>
        <w:ind w:left="714" w:hanging="357"/>
      </w:pPr>
    </w:p>
    <w:p>
      <w:pPr>
        <w:pStyle w:val="nadpisvesmlouvch"/>
        <w:spacing w:after="120"/>
      </w:pPr>
      <w:r>
        <w:t>Platební podmínky</w:t>
      </w:r>
    </w:p>
    <w:p>
      <w:pPr>
        <w:pStyle w:val="Seznam0"/>
        <w:numPr>
          <w:ilvl w:val="0"/>
          <w:numId w:val="10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</w:rPr>
        <w:t>Cena za poskytnutí služeb bude fakturována následovně:</w:t>
      </w:r>
    </w:p>
    <w:p>
      <w:pPr>
        <w:pStyle w:val="Seznam0"/>
        <w:numPr>
          <w:ilvl w:val="0"/>
          <w:numId w:val="46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</w:rPr>
        <w:lastRenderedPageBreak/>
        <w:t>Fakturace Etapy 1 proběhne na základě faktury po jejím předání akceptaci.</w:t>
      </w:r>
    </w:p>
    <w:p>
      <w:pPr>
        <w:pStyle w:val="Seznam0"/>
        <w:numPr>
          <w:ilvl w:val="0"/>
          <w:numId w:val="4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Fakturace Etapy 2 bude probíhat na základě faktur, které budou poskytovatelem vystaveny </w:t>
      </w:r>
      <w:r>
        <w:rPr>
          <w:rFonts w:ascii="Calibri" w:hAnsi="Calibri" w:cs="Calibri"/>
          <w:sz w:val="22"/>
          <w:szCs w:val="22"/>
        </w:rPr>
        <w:t>jedenkrát měsíčně, vždy do 15. dne kalendářního měsíce následujícího po měsíci, za nějž požaduje úhradu.</w:t>
      </w:r>
    </w:p>
    <w:p>
      <w:pPr>
        <w:pStyle w:val="Seznam0"/>
        <w:numPr>
          <w:ilvl w:val="0"/>
          <w:numId w:val="10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Faktura je daňovým dokladem a musí být vystavena v souladu s § 28 zákona č. 235/2004 Sb., o dani z přidané hodnoty, ve znění pozdějších předpisů. Poskytovatel se zavazuje dodat fakturu objednateli na email: </w:t>
      </w:r>
      <w:hyperlink r:id="rId7" w:history="1">
        <w:r>
          <w:rPr>
            <w:rStyle w:val="Hypertextovodkaz"/>
            <w:rFonts w:ascii="Calibri" w:hAnsi="Calibri"/>
            <w:sz w:val="22"/>
          </w:rPr>
          <w:t>faktury@zdarns.cz</w:t>
        </w:r>
      </w:hyperlink>
      <w:r>
        <w:rPr>
          <w:rFonts w:ascii="Calibri" w:hAnsi="Calibri"/>
          <w:sz w:val="22"/>
        </w:rPr>
        <w:t>.</w:t>
      </w:r>
    </w:p>
    <w:p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Poskytovatel se zavazuje na daňovém dokladu pro platbu ceny služeb uvádět pouze bankovní účet, který určil správci daně ke zveřejnění v registru plátců a identifikovaných osob. Poskytovatel a objednatel se dohodli, že pokud bude na daňovém dokladu uveden jiný bankovní účet než ten, který je zveřejněn správcem daně v registru plátců a identifikovaných osob, objednatel je oprávněn provést úhradu daňového dokladu na tento účet zveřejněný podle zákona č. 235/2004 Sb., o dani z přidané hodnoty, ve znění pozdějších předpisů, a nebude tak v prodlení s úhradou ceny služeb. Pokud by objednateli vzniklo ručení v souvislosti s neplněním povinnosti poskytovatele vyplývajících ze zákona č. 235/2004 Sb., o dani z přidané hodnoty, ve znění pozdějších předpisů, má objednatel nárok na náhradu všeho, co za poskytovatele v souvislosti s tímto ručením plnil. </w:t>
      </w:r>
    </w:p>
    <w:p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 je oprávněn vrátit fakturu poskytovateli až do data její splatnosti, jestliže obsahuje neúplné nebo nepravdivé údaje. Při nezaplacení takto nesprávně vystavené a doručené faktury není objednatel v prodlení se zaplacením. Poskytovatel je povinen fakturu řádně opravit a doručit ji objednateli s novou lhůtou splatnosti.</w:t>
      </w:r>
    </w:p>
    <w:p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Každá faktura je splatná do 30 dnů od jejího doručení objednateli.</w:t>
      </w:r>
    </w:p>
    <w:p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>
      <w:pPr>
        <w:pStyle w:val="nadpisvesmlouvch"/>
        <w:numPr>
          <w:ilvl w:val="0"/>
          <w:numId w:val="5"/>
        </w:numPr>
        <w:spacing w:before="240"/>
        <w:ind w:left="714" w:hanging="357"/>
        <w:rPr>
          <w:rFonts w:ascii="Calibri" w:hAnsi="Calibri"/>
          <w:b w:val="0"/>
        </w:rPr>
      </w:pPr>
    </w:p>
    <w:p>
      <w:pPr>
        <w:spacing w:after="12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Další povinnosti smluvních stran</w:t>
      </w:r>
    </w:p>
    <w:p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bookmarkStart w:id="1" w:name="_Hlk62802336"/>
      <w:r>
        <w:rPr>
          <w:rFonts w:asciiTheme="minorHAnsi" w:hAnsiTheme="minorHAnsi" w:cstheme="minorHAnsi"/>
          <w:sz w:val="22"/>
        </w:rPr>
        <w:t>Poskytovatel je povinen dodržovat právní a technické podmínky vyplývající ze závazných platných právních předpisů, vyhlášek a norem.</w:t>
      </w:r>
    </w:p>
    <w:bookmarkEnd w:id="1"/>
    <w:p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Poskytovatel je povinen zajistit autorskoprávní nezávadnost plnění. Pokud poskytovatel při plnění této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</w:rPr>
        <w:t>užije výsledek činnosti třetího subjektu chráněný právem průmyslového nebo jiného duševního vlastnictví, autorským právem apod., a uplatní-li oprávněná osoba z tohoto titulu své nároky vůči objednateli, poskytovatel provede na své náklady vypořádání majetkových důsledků a je odpovědný za jakoukoli újmu způsobenou objednateli.</w:t>
      </w:r>
    </w:p>
    <w:p>
      <w:pPr>
        <w:pStyle w:val="nadpisvesmlouvch"/>
        <w:numPr>
          <w:ilvl w:val="0"/>
          <w:numId w:val="5"/>
        </w:numPr>
        <w:spacing w:before="240"/>
        <w:ind w:left="714" w:hanging="357"/>
      </w:pPr>
      <w:bookmarkStart w:id="2" w:name="_Hlk496911952"/>
    </w:p>
    <w:p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Odpovědnost za vady </w:t>
      </w:r>
    </w:p>
    <w:p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Poskytovatel odpovídá za odbornou úroveň poskytovaných služeb dle této </w:t>
      </w:r>
      <w:r>
        <w:rPr>
          <w:rFonts w:asciiTheme="minorHAnsi" w:hAnsiTheme="minorHAnsi"/>
          <w:sz w:val="22"/>
        </w:rPr>
        <w:t>dohody</w:t>
      </w:r>
      <w:r>
        <w:rPr>
          <w:rFonts w:ascii="Calibri" w:hAnsi="Calibri"/>
          <w:sz w:val="22"/>
          <w:szCs w:val="22"/>
        </w:rPr>
        <w:t>. Právo na náhradu újmy vzniklé neodborným provedením poskytovaných služeb se řídí příslušnými ustanoveními zákona č. 89/2012 Sb., občanský zákoník, ve znění pozdějších předpisů.</w:t>
      </w:r>
    </w:p>
    <w:p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Poskytovatel tímto čestně prohlašuje, že má oprávnění k činnosti v rozsahu této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  <w:szCs w:val="22"/>
        </w:rPr>
        <w:t>a je účasten pojištění z odpovědnosti za újmu vzniklou jinému v souvislosti s poskytováním služeb.</w:t>
      </w:r>
    </w:p>
    <w:bookmarkEnd w:id="2"/>
    <w:p>
      <w:pPr>
        <w:pStyle w:val="nadpisvesmlouvch"/>
        <w:numPr>
          <w:ilvl w:val="0"/>
          <w:numId w:val="5"/>
        </w:numPr>
        <w:spacing w:before="240"/>
        <w:ind w:left="714" w:hanging="357"/>
      </w:pPr>
    </w:p>
    <w:p>
      <w:pPr>
        <w:pStyle w:val="nadpisvesmlouvch"/>
        <w:spacing w:after="120"/>
      </w:pPr>
      <w:r>
        <w:t>Další ujednání</w:t>
      </w:r>
    </w:p>
    <w:p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Smluvní strany se zavazují, že bez předchozího písemného souhlasu druhé strany nevyzradí třetím osobám technické ani obchodní informace druhé strany, které se dozvěděly v souvislosti s plněním dle této </w:t>
      </w:r>
      <w:r>
        <w:rPr>
          <w:rFonts w:asciiTheme="minorHAnsi" w:hAnsiTheme="minorHAnsi"/>
          <w:sz w:val="22"/>
        </w:rPr>
        <w:t>dohody</w:t>
      </w:r>
      <w:r>
        <w:rPr>
          <w:rFonts w:asciiTheme="minorHAnsi" w:hAnsiTheme="minorHAnsi" w:cstheme="minorHAnsi"/>
          <w:sz w:val="22"/>
        </w:rPr>
        <w:t>.</w:t>
      </w:r>
    </w:p>
    <w:p>
      <w:pPr>
        <w:pStyle w:val="Seznam0"/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>Poskytovatel</w:t>
      </w:r>
      <w:r>
        <w:rPr>
          <w:rFonts w:ascii="Calibri" w:hAnsi="Calibri"/>
          <w:sz w:val="22"/>
          <w:szCs w:val="22"/>
        </w:rPr>
        <w:t xml:space="preserve"> se zavazuje (v prostorách a na pracovištích objednatele) postupovat při plnění této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  <w:szCs w:val="22"/>
        </w:rPr>
        <w:t>s odbornou péčí a zavazuje se dodržovat právní a technické předpisy a ostatní podmínky uložené mu dohodou nebo veřejnoprávními orgány a dále zejména tato ustanovení:</w:t>
      </w:r>
    </w:p>
    <w:p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§ 100 a násl. zákona č. 262/2006 Sb., zákoníku práce, ve znění pozdějších předpisů,</w:t>
      </w:r>
    </w:p>
    <w:p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nařízení vlády č. 495/2001 Sb., kterým se stanoví rozsah a bližší podmínky poskytování osobních ochranných pracovních prostředků, mycích, čisticích a dezinfekčních prostředků, ve znění pozdějších předpisů,</w:t>
      </w:r>
    </w:p>
    <w:p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nařízení vlády č. 361/2007 Sb., kterým se stanoví podmínky ochrany zdraví zaměstnanců při práci, ve znění pozdějších předpisů, ve znění pozdějších předpisů,</w:t>
      </w:r>
    </w:p>
    <w:p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tak, aby byla zajištěna bezpečnost pracovníků poskytovatele a třetích subjektů po celou dobu poskytování služeb.</w:t>
      </w:r>
    </w:p>
    <w:p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 je povinen upozornit objednatele ihned na nesprávnost jeho pokynů nebo podkladů, jinak odpovídá objednateli za újmu tím způsobenou.</w:t>
      </w:r>
    </w:p>
    <w:p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 je povinen informovat objednatele o tom, že se dostal do úpadku ve smyslu § 3 zák. č. 182/2006 Sb., insolvenční zákon, ve znění pozdějších předpisů.</w:t>
      </w:r>
    </w:p>
    <w:p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 prohlašuje, že neumožňuje výkon nelegální práce ve smyslu zák. č. 435/2004 Sb., o zaměstnanosti, ve znění pozdějších předpisů, a ani neodebírá žádné plnění od osoby, která by výkon nelegální práce umožňovala. V případě, že se toto prohlášení ukáže v budoucnu nepravdivým a vznikne ručení objednatele ve smyslu ust. zák. č. 435/2004 Sb., o zaměstnanosti, ve znění pozdějších předpisů, má objednatel nárok na náhradu všeho, co za poskytovatele v souvislosti s tímto ručením plnil.</w:t>
      </w:r>
    </w:p>
    <w:p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 na sebe přebírá nebezpečí změny okolností dle ustanovení § 1765 zákona č. 89/2012 Sb., občanský zákoník, ve znění pozdějších předpisů.</w:t>
      </w:r>
    </w:p>
    <w:p>
      <w:pPr>
        <w:pStyle w:val="nadpisvesmlouvch"/>
        <w:numPr>
          <w:ilvl w:val="0"/>
          <w:numId w:val="5"/>
        </w:numPr>
        <w:spacing w:before="240"/>
        <w:ind w:left="714" w:hanging="357"/>
      </w:pPr>
    </w:p>
    <w:p>
      <w:pPr>
        <w:pStyle w:val="nadpisvesmlouvch"/>
        <w:spacing w:after="120"/>
      </w:pPr>
      <w:r>
        <w:t>Sankce</w:t>
      </w:r>
    </w:p>
    <w:p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Jestliže se objednatel bezdůvodně opozdí s platbou ceny poskytovaných služeb, může po něm poskytovatel uplatňovat úrok z prodlení ve výši 0,2 % z dlužné částky za každý započatý den prodlení.</w:t>
      </w:r>
    </w:p>
    <w:p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prodlení poskytovatele s poskytováním služeb nebo s jejich předáním bez zavinění objednatele může objednatel po poskytovateli uplatňovat smluvní pokutu ve výši 1.000,- Kč za každý jednotlivý případě prodlení a za každý započatý den prodlení.</w:t>
      </w:r>
    </w:p>
    <w:p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případě, že poskytovatel poruší své povinnosti dle čl. IX., může po něm objednatel uplatňovat smluvní pokutu ve výši 1.000,- Kč za každé takové porušení.</w:t>
      </w:r>
    </w:p>
    <w:p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3" w:name="_Hlk62800523"/>
      <w:r>
        <w:rPr>
          <w:rFonts w:asciiTheme="minorHAnsi" w:hAnsiTheme="minorHAnsi" w:cstheme="minorHAnsi"/>
          <w:sz w:val="22"/>
          <w:szCs w:val="22"/>
        </w:rPr>
        <w:t xml:space="preserve">V případě prodlení poskytovatele s odstraněním vad, na něž se vztahuje odpovědnost za vady, které májí služby v době předání a převzetí, </w:t>
      </w:r>
      <w:r>
        <w:rPr>
          <w:rFonts w:ascii="Calibri" w:hAnsi="Calibri"/>
          <w:sz w:val="22"/>
          <w:szCs w:val="22"/>
        </w:rPr>
        <w:t xml:space="preserve">může po něm objednatel uplatňovat </w:t>
      </w:r>
      <w:r>
        <w:rPr>
          <w:rFonts w:asciiTheme="minorHAnsi" w:hAnsiTheme="minorHAnsi" w:cstheme="minorHAnsi"/>
          <w:sz w:val="22"/>
          <w:szCs w:val="22"/>
        </w:rPr>
        <w:t>smluvní pokutu ve výši 1.000,- Kč denně za každou neodstraněnou vadu, u níž je poskytovatel v prodlení.</w:t>
      </w:r>
    </w:p>
    <w:p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4" w:name="_Hlk62800592"/>
      <w:bookmarkEnd w:id="3"/>
      <w:r>
        <w:rPr>
          <w:rFonts w:asciiTheme="minorHAnsi" w:hAnsiTheme="minorHAnsi" w:cstheme="minorHAnsi"/>
          <w:sz w:val="22"/>
          <w:szCs w:val="22"/>
        </w:rPr>
        <w:t xml:space="preserve">V případě prodlení poskytovatele s odstraněním vad, na něž se vztahuje odpovědnost za vady, a hrozí-li nebezpečí újmy velkého rozsahu (havárie), </w:t>
      </w:r>
      <w:r>
        <w:rPr>
          <w:rFonts w:ascii="Calibri" w:hAnsi="Calibri"/>
          <w:sz w:val="22"/>
          <w:szCs w:val="22"/>
        </w:rPr>
        <w:t xml:space="preserve">může po něm objednatel uplatňovat </w:t>
      </w:r>
      <w:r>
        <w:rPr>
          <w:rFonts w:asciiTheme="minorHAnsi" w:hAnsiTheme="minorHAnsi" w:cstheme="minorHAnsi"/>
          <w:sz w:val="22"/>
          <w:szCs w:val="22"/>
        </w:rPr>
        <w:t>smluvní pokutu ve výši 10.000,- Kč denně za každou takovou vadu, u níž je poskytovatel v prodlení.</w:t>
      </w:r>
    </w:p>
    <w:p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5" w:name="_Hlk62800601"/>
      <w:bookmarkEnd w:id="4"/>
      <w:r>
        <w:rPr>
          <w:rFonts w:asciiTheme="minorHAnsi" w:hAnsiTheme="minorHAnsi" w:cstheme="minorHAnsi"/>
          <w:sz w:val="22"/>
          <w:szCs w:val="22"/>
        </w:rPr>
        <w:t xml:space="preserve">V případě provádění služby poddodavatelem, pro kterého objednatel neudělil souhlas, je-li souhlas v této </w:t>
      </w:r>
      <w:r>
        <w:rPr>
          <w:rFonts w:asciiTheme="minorHAnsi" w:hAnsiTheme="minorHAnsi"/>
          <w:sz w:val="22"/>
        </w:rPr>
        <w:t xml:space="preserve">dohodě </w:t>
      </w:r>
      <w:r>
        <w:rPr>
          <w:rFonts w:asciiTheme="minorHAnsi" w:hAnsiTheme="minorHAnsi" w:cstheme="minorHAnsi"/>
          <w:sz w:val="22"/>
          <w:szCs w:val="22"/>
        </w:rPr>
        <w:t xml:space="preserve">vyžadován, nebo poddodavatelem, který nebyl objednateli oznámen, je-li oznámení v této </w:t>
      </w:r>
      <w:r>
        <w:rPr>
          <w:rFonts w:asciiTheme="minorHAnsi" w:hAnsiTheme="minorHAnsi"/>
          <w:sz w:val="22"/>
        </w:rPr>
        <w:t xml:space="preserve">dohodě </w:t>
      </w:r>
      <w:r>
        <w:rPr>
          <w:rFonts w:asciiTheme="minorHAnsi" w:hAnsiTheme="minorHAnsi" w:cstheme="minorHAnsi"/>
          <w:sz w:val="22"/>
          <w:szCs w:val="22"/>
        </w:rPr>
        <w:t xml:space="preserve">vyžadováno, </w:t>
      </w:r>
      <w:r>
        <w:rPr>
          <w:rFonts w:ascii="Calibri" w:hAnsi="Calibri"/>
          <w:sz w:val="22"/>
          <w:szCs w:val="22"/>
        </w:rPr>
        <w:t xml:space="preserve">může po poskytovateli objednatel uplatňovat </w:t>
      </w:r>
      <w:r>
        <w:rPr>
          <w:rFonts w:asciiTheme="minorHAnsi" w:hAnsiTheme="minorHAnsi" w:cstheme="minorHAnsi"/>
          <w:sz w:val="22"/>
          <w:szCs w:val="22"/>
        </w:rPr>
        <w:t>smluvní pokutu ve výši 40.000,- za poddodavatele.</w:t>
      </w:r>
    </w:p>
    <w:bookmarkEnd w:id="5"/>
    <w:p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pokuty jsou započitatelné vůči peněžitým závazkům souvisejících s touto </w:t>
      </w:r>
      <w:r>
        <w:rPr>
          <w:rFonts w:asciiTheme="minorHAnsi" w:hAnsiTheme="minorHAnsi"/>
          <w:sz w:val="22"/>
        </w:rPr>
        <w:t>dohodou</w:t>
      </w:r>
      <w:r>
        <w:rPr>
          <w:rFonts w:asciiTheme="minorHAnsi" w:hAnsiTheme="minorHAnsi" w:cstheme="minorHAnsi"/>
          <w:sz w:val="22"/>
          <w:szCs w:val="22"/>
        </w:rPr>
        <w:t>.</w:t>
      </w:r>
    </w:p>
    <w:p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Nároky na náhradu újmy nejsou dotčeny ani kompenzovány zaplacením sankcí dle této </w:t>
      </w:r>
      <w:r>
        <w:rPr>
          <w:rFonts w:asciiTheme="minorHAnsi" w:hAnsiTheme="minorHAnsi"/>
          <w:sz w:val="22"/>
        </w:rPr>
        <w:t>dohody</w:t>
      </w:r>
      <w:r>
        <w:rPr>
          <w:rFonts w:ascii="Calibri" w:hAnsi="Calibri"/>
          <w:sz w:val="22"/>
          <w:szCs w:val="22"/>
        </w:rPr>
        <w:t>.</w:t>
      </w:r>
    </w:p>
    <w:p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Je-li vůči smluvní straně uplatněna smluvní pokuta či úrok z prodlení podle tohoto článku, je taková smluvní strana povinna je uhradit. </w:t>
      </w:r>
    </w:p>
    <w:p>
      <w:pPr>
        <w:pStyle w:val="nadpisvesmlouvch"/>
        <w:numPr>
          <w:ilvl w:val="0"/>
          <w:numId w:val="5"/>
        </w:numPr>
        <w:spacing w:before="240"/>
        <w:ind w:left="714" w:hanging="357"/>
      </w:pPr>
    </w:p>
    <w:p>
      <w:pPr>
        <w:pStyle w:val="nadpisvesmlouvch"/>
        <w:spacing w:after="120"/>
      </w:pPr>
      <w:r>
        <w:t>Odstoupení od dohody</w:t>
      </w:r>
    </w:p>
    <w:p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 účely odstoupení od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  <w:szCs w:val="22"/>
        </w:rPr>
        <w:t xml:space="preserve">se za podstatné porušení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  <w:szCs w:val="22"/>
        </w:rPr>
        <w:t>považuje zejména:</w:t>
      </w:r>
    </w:p>
    <w:p>
      <w:pPr>
        <w:pStyle w:val="Seznam0"/>
        <w:numPr>
          <w:ilvl w:val="0"/>
          <w:numId w:val="2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vadnost poskytovaných služeb již v průběhu jejich provádění, pokud poskytovatel na písemnou výzvu objednatele vady neodstraní ve lhůtě výzvou stanovené,</w:t>
      </w:r>
    </w:p>
    <w:p>
      <w:pPr>
        <w:numPr>
          <w:ilvl w:val="0"/>
          <w:numId w:val="2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prodlení poskytovatele se zahájením nebo dokončením poskytování služeb </w:t>
      </w:r>
      <w:r>
        <w:rPr>
          <w:rFonts w:asciiTheme="minorHAnsi" w:hAnsiTheme="minorHAnsi"/>
          <w:bCs/>
          <w:sz w:val="22"/>
        </w:rPr>
        <w:t>o více než 2 pracovní dny,</w:t>
      </w:r>
    </w:p>
    <w:p>
      <w:pPr>
        <w:numPr>
          <w:ilvl w:val="0"/>
          <w:numId w:val="21"/>
        </w:numPr>
        <w:rPr>
          <w:rFonts w:ascii="Calibri" w:hAnsi="Calibr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úpadek objednatele </w:t>
      </w:r>
      <w:r>
        <w:rPr>
          <w:rFonts w:ascii="Calibri" w:hAnsi="Calibri"/>
          <w:sz w:val="22"/>
        </w:rPr>
        <w:t xml:space="preserve">ve smyslu § 3 zák. č. 182/2006 Sb., insolvenční zákon, ve znění pozdějších předpisů, </w:t>
      </w:r>
    </w:p>
    <w:p>
      <w:pPr>
        <w:numPr>
          <w:ilvl w:val="0"/>
          <w:numId w:val="2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</w:rPr>
        <w:t>zahájení insolvenčního řízení, ve kterém je poskytovatel v postavení dlužníka.</w:t>
      </w:r>
    </w:p>
    <w:p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Dojde-li k výše uvedenému porušení </w:t>
      </w:r>
      <w:r>
        <w:rPr>
          <w:rFonts w:asciiTheme="minorHAnsi" w:hAnsiTheme="minorHAnsi"/>
          <w:sz w:val="22"/>
        </w:rPr>
        <w:t>dohody</w:t>
      </w:r>
      <w:r>
        <w:rPr>
          <w:rFonts w:ascii="Calibri" w:hAnsi="Calibri"/>
          <w:sz w:val="22"/>
          <w:szCs w:val="22"/>
        </w:rPr>
        <w:t xml:space="preserve">, je příslušná smluvní strana oprávněna od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  <w:szCs w:val="22"/>
        </w:rPr>
        <w:t xml:space="preserve">odstoupit. Odstoupení od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  <w:szCs w:val="22"/>
        </w:rPr>
        <w:t xml:space="preserve">musí být učiněno písemnou formou. V takovém případě nastávají účinky odstoupení od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  <w:szCs w:val="22"/>
        </w:rPr>
        <w:t xml:space="preserve">dnem, ve kterém smluvní straně dojde oznámení o odstoupení ve smyslu § 570 zák. č. 89/2012 Sb., občanský zákoník, ve znění pozdějších předpisů. Od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  <w:szCs w:val="22"/>
        </w:rPr>
        <w:t>je možné odstoupit jak bez zbytečného odkladu, tak i v případě, pokud důvod, pro který je odstupováno, stále přetrvává.</w:t>
      </w:r>
    </w:p>
    <w:p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Odstoupením od této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  <w:szCs w:val="22"/>
        </w:rPr>
        <w:t>nezaniká vzájemná sankční odpovědnost stran ani povinnost k náhradě způsobené újmy.</w:t>
      </w:r>
    </w:p>
    <w:p>
      <w:pPr>
        <w:pStyle w:val="nadpisvesmlouvch"/>
        <w:numPr>
          <w:ilvl w:val="0"/>
          <w:numId w:val="5"/>
        </w:numPr>
        <w:spacing w:before="240"/>
        <w:ind w:left="714" w:hanging="357"/>
      </w:pPr>
    </w:p>
    <w:p>
      <w:pPr>
        <w:pStyle w:val="nadpisvesmlouvch"/>
        <w:spacing w:after="120"/>
      </w:pPr>
      <w:r>
        <w:t>Důvěrnost informací</w:t>
      </w:r>
    </w:p>
    <w:p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jsou si vědomy toho, že v rámci plnění </w:t>
      </w:r>
      <w:r>
        <w:rPr>
          <w:rFonts w:asciiTheme="minorHAnsi" w:hAnsiTheme="minorHAnsi"/>
          <w:sz w:val="22"/>
        </w:rPr>
        <w:t>dohody</w:t>
      </w:r>
      <w:r>
        <w:rPr>
          <w:rFonts w:ascii="Calibri" w:hAnsi="Calibri"/>
          <w:sz w:val="22"/>
          <w:szCs w:val="22"/>
        </w:rPr>
        <w:t>:</w:t>
      </w:r>
    </w:p>
    <w:p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 vzájemně poskytnout informace, které budou považovány za důvěrné (dále důvěrné informace),</w:t>
      </w:r>
    </w:p>
    <w:p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</w:t>
      </w:r>
      <w:r>
        <w:rPr>
          <w:rFonts w:asciiTheme="minorHAnsi" w:hAnsiTheme="minorHAnsi"/>
          <w:sz w:val="22"/>
        </w:rPr>
        <w:t>dohody</w:t>
      </w:r>
      <w:r>
        <w:rPr>
          <w:rFonts w:ascii="Calibri" w:hAnsi="Calibri"/>
          <w:sz w:val="22"/>
          <w:szCs w:val="22"/>
        </w:rPr>
        <w:t xml:space="preserve">, se obě strany zavazují nepublikovat žádným způsobem důvěrné informace druhé strany, nepředat je třetí straně ani svým vlastním zaměstnancům a zástupcům s výjimkou těch, kteří s nimi potřebují být seznámeni, aby mohli splnit </w:t>
      </w:r>
      <w:r>
        <w:rPr>
          <w:rFonts w:asciiTheme="minorHAnsi" w:hAnsiTheme="minorHAnsi"/>
          <w:sz w:val="22"/>
        </w:rPr>
        <w:t>dohodu</w:t>
      </w:r>
      <w:r>
        <w:rPr>
          <w:rFonts w:ascii="Calibri" w:hAnsi="Calibri"/>
          <w:sz w:val="22"/>
          <w:szCs w:val="22"/>
        </w:rPr>
        <w:t xml:space="preserve">. Obě strany se zároveň zavazují nepoužít důvěrné informace druhé strany jinak než za účelem plnění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  <w:szCs w:val="22"/>
        </w:rPr>
        <w:t xml:space="preserve">nebo uplatnění svých práv z této </w:t>
      </w:r>
      <w:r>
        <w:rPr>
          <w:rFonts w:asciiTheme="minorHAnsi" w:hAnsiTheme="minorHAnsi"/>
          <w:sz w:val="22"/>
        </w:rPr>
        <w:t>dohody</w:t>
      </w:r>
      <w:r>
        <w:rPr>
          <w:rFonts w:ascii="Calibri" w:hAnsi="Calibri"/>
          <w:sz w:val="22"/>
          <w:szCs w:val="22"/>
        </w:rPr>
        <w:t xml:space="preserve">. </w:t>
      </w:r>
    </w:p>
    <w:p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újmu.</w:t>
      </w:r>
    </w:p>
    <w:p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Ustanovení tohoto článku není dotčeno ukončením účinnosti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  <w:szCs w:val="22"/>
        </w:rPr>
        <w:t xml:space="preserve">z jakéhokoliv důvodu a jeho účinnost skončí nejdříve pět (5) let po ukončení účinnosti této </w:t>
      </w:r>
      <w:r>
        <w:rPr>
          <w:rFonts w:asciiTheme="minorHAnsi" w:hAnsiTheme="minorHAnsi"/>
          <w:sz w:val="22"/>
        </w:rPr>
        <w:t>dohody</w:t>
      </w:r>
      <w:r>
        <w:rPr>
          <w:rFonts w:ascii="Calibri" w:hAnsi="Calibri"/>
          <w:sz w:val="22"/>
          <w:szCs w:val="22"/>
        </w:rPr>
        <w:t>.</w:t>
      </w:r>
    </w:p>
    <w:p>
      <w:pPr>
        <w:pStyle w:val="nadpisvesmlouvch"/>
        <w:numPr>
          <w:ilvl w:val="0"/>
          <w:numId w:val="5"/>
        </w:numPr>
        <w:spacing w:before="240"/>
        <w:ind w:left="714" w:hanging="357"/>
        <w:rPr>
          <w:rFonts w:ascii="Calibri" w:hAnsi="Calibri"/>
          <w:b w:val="0"/>
        </w:rPr>
      </w:pPr>
    </w:p>
    <w:p>
      <w:pPr>
        <w:pStyle w:val="Nadpis3"/>
        <w:spacing w:after="1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Závěrečná ustanovení</w:t>
      </w:r>
    </w:p>
    <w:p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Vztahy plynoucí z této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</w:rPr>
        <w:t>a vztahy neupravené se řídí příslušnými ustanoveními zákona č. 89/2012 Sb., občanský zákoník, ve znění pozdějších předpisů</w:t>
      </w:r>
    </w:p>
    <w:p>
      <w:pPr>
        <w:pStyle w:val="Zkladntext3"/>
        <w:numPr>
          <w:ilvl w:val="0"/>
          <w:numId w:val="33"/>
        </w:numPr>
        <w:tabs>
          <w:tab w:val="left" w:pos="709"/>
        </w:tabs>
        <w:spacing w:after="0" w:line="2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Tato smlouva nabývá platnosti dnem jejího podpisu oběma smluvními stranami a účinnosti dnem jejího uveřejnění prostřednictvím registru smluv </w:t>
      </w:r>
      <w:r>
        <w:rPr>
          <w:rFonts w:ascii="Calibri" w:hAnsi="Calibri" w:cs="Calibri"/>
          <w:sz w:val="22"/>
          <w:szCs w:val="22"/>
        </w:rPr>
        <w:t>postupem dle zákona č. 340/2015 Sb., o registru smluv, ve znění pozdějších předpisů. Smluvní strany se dohodly, že tuto smlouvu zašle k uveřejnění v registru smluv objednatel.</w:t>
      </w:r>
    </w:p>
    <w:p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Žádná ze smluvních stran není oprávněna postoupit práva či pohledávky nebo převést závazky z této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</w:rPr>
        <w:t xml:space="preserve">vyplývající na třetí osobu bez předchozího písemného souhlasu druhé smluvní strany. Práva i povinnosti ze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</w:rPr>
        <w:t>přecházejí na právní nástupce obou stran. Obě strany jsou povinny informovat se navzájem o takových změnách.</w:t>
      </w:r>
    </w:p>
    <w:p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Tuto </w:t>
      </w:r>
      <w:r>
        <w:rPr>
          <w:rFonts w:asciiTheme="minorHAnsi" w:hAnsiTheme="minorHAnsi"/>
          <w:sz w:val="22"/>
        </w:rPr>
        <w:t xml:space="preserve">dohodu </w:t>
      </w:r>
      <w:r>
        <w:rPr>
          <w:rFonts w:ascii="Calibri" w:hAnsi="Calibri"/>
          <w:sz w:val="22"/>
        </w:rPr>
        <w:t>lze měnit pouze písemnou formou číslovanými dodatky podepsanými oběma smluvními stranami.</w:t>
      </w:r>
    </w:p>
    <w:p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Není-li tato dohoda vyhotovena v elektronické podobě s příslušnými elektronickými podpisy smluvních stran dle zákona č. 297/2016 Sb., o službách vytvářejících důvěru pro elektronické transakce, ve znění pozdějších předpisů, je vyhotovena ve dvou stejnopisech, z nichž po jednom obdrží každá ze smluvních stran.</w:t>
      </w:r>
    </w:p>
    <w:p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Smluvní strany prohlašují, že si tuto </w:t>
      </w:r>
      <w:r>
        <w:rPr>
          <w:rFonts w:asciiTheme="minorHAnsi" w:hAnsiTheme="minorHAnsi"/>
          <w:sz w:val="22"/>
        </w:rPr>
        <w:t xml:space="preserve">dohodu </w:t>
      </w:r>
      <w:r>
        <w:rPr>
          <w:rFonts w:ascii="Calibri" w:hAnsi="Calibri"/>
          <w:noProof/>
          <w:sz w:val="22"/>
        </w:rPr>
        <w:t>přečetly</w:t>
      </w:r>
      <w:r>
        <w:rPr>
          <w:rFonts w:ascii="Calibri" w:hAnsi="Calibri"/>
          <w:sz w:val="22"/>
        </w:rPr>
        <w:t xml:space="preserve">, bezvýhradně souhlasí s jejím obsahem a že ji uzavírají ze své vážné a svobodné vůle, prosté omylu. Na důkaz toho připojují podpisy svých oprávněných zástupců.   </w:t>
      </w:r>
    </w:p>
    <w:p>
      <w:pPr>
        <w:tabs>
          <w:tab w:val="left" w:pos="4962"/>
        </w:tabs>
        <w:rPr>
          <w:rFonts w:asciiTheme="minorHAnsi" w:hAnsiTheme="minorHAnsi"/>
          <w:sz w:val="22"/>
        </w:rPr>
      </w:pPr>
    </w:p>
    <w:p>
      <w:pPr>
        <w:tabs>
          <w:tab w:val="left" w:pos="4962"/>
        </w:tabs>
        <w:rPr>
          <w:rFonts w:asciiTheme="minorHAnsi" w:hAnsiTheme="minorHAnsi"/>
          <w:sz w:val="22"/>
        </w:rPr>
      </w:pPr>
    </w:p>
    <w:p>
      <w:pPr>
        <w:tabs>
          <w:tab w:val="left" w:pos="4962"/>
        </w:tabs>
        <w:rPr>
          <w:rFonts w:asciiTheme="minorHAnsi" w:hAnsiTheme="minorHAnsi"/>
          <w:sz w:val="22"/>
        </w:rPr>
      </w:pPr>
    </w:p>
    <w:p>
      <w:pPr>
        <w:tabs>
          <w:tab w:val="left" w:pos="4962"/>
        </w:tabs>
        <w:rPr>
          <w:rFonts w:asciiTheme="minorHAnsi" w:hAnsiTheme="minorHAnsi"/>
          <w:sz w:val="22"/>
        </w:rPr>
      </w:pPr>
    </w:p>
    <w:p>
      <w:pPr>
        <w:tabs>
          <w:tab w:val="left" w:pos="4962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Za objednatele:</w:t>
      </w:r>
      <w:r>
        <w:rPr>
          <w:rFonts w:asciiTheme="minorHAnsi" w:hAnsiTheme="minorHAnsi"/>
          <w:sz w:val="22"/>
        </w:rPr>
        <w:tab/>
        <w:t>Za poskytovatele:</w:t>
      </w:r>
    </w:p>
    <w:p>
      <w:pPr>
        <w:tabs>
          <w:tab w:val="left" w:pos="4962"/>
        </w:tabs>
        <w:rPr>
          <w:rFonts w:asciiTheme="minorHAnsi" w:hAnsiTheme="minorHAnsi"/>
          <w:sz w:val="22"/>
        </w:rPr>
      </w:pPr>
    </w:p>
    <w:p>
      <w:pPr>
        <w:tabs>
          <w:tab w:val="left" w:pos="4962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Ve Žďáru nad Sázavou dne 11.12.2023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V Praze dne 11.12.2023</w:t>
      </w:r>
    </w:p>
    <w:p>
      <w:pPr>
        <w:tabs>
          <w:tab w:val="left" w:pos="4962"/>
        </w:tabs>
        <w:rPr>
          <w:rFonts w:asciiTheme="minorHAnsi" w:hAnsiTheme="minorHAnsi"/>
          <w:sz w:val="22"/>
        </w:rPr>
      </w:pPr>
    </w:p>
    <w:p>
      <w:pPr>
        <w:tabs>
          <w:tab w:val="left" w:pos="4962"/>
        </w:tabs>
        <w:rPr>
          <w:rFonts w:asciiTheme="minorHAnsi" w:hAnsiTheme="minorHAnsi"/>
          <w:sz w:val="22"/>
        </w:rPr>
      </w:pPr>
    </w:p>
    <w:p>
      <w:pPr>
        <w:tabs>
          <w:tab w:val="left" w:pos="4962"/>
        </w:tabs>
        <w:rPr>
          <w:rFonts w:asciiTheme="minorHAnsi" w:hAnsiTheme="minorHAnsi"/>
          <w:sz w:val="22"/>
        </w:rPr>
      </w:pPr>
    </w:p>
    <w:p>
      <w:pPr>
        <w:tabs>
          <w:tab w:val="left" w:pos="4962"/>
        </w:tabs>
        <w:rPr>
          <w:rFonts w:asciiTheme="minorHAnsi" w:hAnsiTheme="minorHAnsi"/>
          <w:sz w:val="22"/>
        </w:rPr>
      </w:pPr>
    </w:p>
    <w:p>
      <w:pPr>
        <w:tabs>
          <w:tab w:val="left" w:pos="4962"/>
        </w:tabs>
        <w:rPr>
          <w:rFonts w:asciiTheme="minorHAnsi" w:hAnsiTheme="minorHAnsi"/>
          <w:sz w:val="22"/>
        </w:rPr>
      </w:pPr>
    </w:p>
    <w:p>
      <w:pPr>
        <w:tabs>
          <w:tab w:val="left" w:pos="4962"/>
        </w:tabs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>
        <w:tc>
          <w:tcPr>
            <w:tcW w:w="4644" w:type="dxa"/>
          </w:tcPr>
          <w:p>
            <w:pPr>
              <w:tabs>
                <w:tab w:val="left" w:pos="4962"/>
              </w:tabs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…………………………………………………</w:t>
            </w:r>
          </w:p>
        </w:tc>
        <w:tc>
          <w:tcPr>
            <w:tcW w:w="4644" w:type="dxa"/>
          </w:tcPr>
          <w:p>
            <w:pPr>
              <w:tabs>
                <w:tab w:val="left" w:pos="4962"/>
              </w:tabs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…………………………………………………</w:t>
            </w:r>
          </w:p>
        </w:tc>
      </w:tr>
    </w:tbl>
    <w:p>
      <w:pPr>
        <w:tabs>
          <w:tab w:val="left" w:pos="4962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 z. PhDr. Mgr. Jaromír Pospíchal</w:t>
      </w:r>
      <w:r>
        <w:rPr>
          <w:rFonts w:asciiTheme="minorHAnsi" w:hAnsiTheme="minorHAnsi"/>
          <w:sz w:val="22"/>
        </w:rPr>
        <w:tab/>
        <w:t>Ing. Igor Prosecký</w:t>
      </w:r>
    </w:p>
    <w:sectPr>
      <w:footerReference w:type="default" r:id="rId8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jc w:val="center"/>
      <w:rPr>
        <w:sz w:val="20"/>
        <w:szCs w:val="16"/>
      </w:rPr>
    </w:pPr>
  </w:p>
  <w:p>
    <w:pPr>
      <w:pStyle w:val="Zpat"/>
      <w:jc w:val="center"/>
      <w:rPr>
        <w:sz w:val="20"/>
        <w:szCs w:val="16"/>
      </w:rPr>
    </w:pP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1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/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7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AD3"/>
    <w:multiLevelType w:val="hybridMultilevel"/>
    <w:tmpl w:val="FF88873C"/>
    <w:lvl w:ilvl="0" w:tplc="34A29D7A">
      <w:start w:val="1"/>
      <w:numFmt w:val="bullet"/>
      <w:lvlText w:val="-"/>
      <w:lvlJc w:val="left"/>
      <w:pPr>
        <w:ind w:left="108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75D23"/>
    <w:multiLevelType w:val="hybridMultilevel"/>
    <w:tmpl w:val="6B229840"/>
    <w:lvl w:ilvl="0" w:tplc="04050013">
      <w:start w:val="1"/>
      <w:numFmt w:val="upperRoman"/>
      <w:lvlText w:val="%1."/>
      <w:lvlJc w:val="right"/>
      <w:pPr>
        <w:ind w:left="734" w:hanging="360"/>
      </w:pPr>
    </w:lvl>
    <w:lvl w:ilvl="1" w:tplc="04050019" w:tentative="1">
      <w:start w:val="1"/>
      <w:numFmt w:val="lowerLetter"/>
      <w:lvlText w:val="%2."/>
      <w:lvlJc w:val="left"/>
      <w:pPr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08B8243C"/>
    <w:multiLevelType w:val="singleLevel"/>
    <w:tmpl w:val="D2EEA9EA"/>
    <w:lvl w:ilvl="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09BB081D"/>
    <w:multiLevelType w:val="hybridMultilevel"/>
    <w:tmpl w:val="A3A6A3B0"/>
    <w:lvl w:ilvl="0" w:tplc="72D838A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361B5"/>
    <w:multiLevelType w:val="hybridMultilevel"/>
    <w:tmpl w:val="99CCCAB6"/>
    <w:lvl w:ilvl="0" w:tplc="2F3200C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B6CA5"/>
    <w:multiLevelType w:val="hybridMultilevel"/>
    <w:tmpl w:val="7F625D3C"/>
    <w:lvl w:ilvl="0" w:tplc="0B7CD9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70AFD"/>
    <w:multiLevelType w:val="hybridMultilevel"/>
    <w:tmpl w:val="6E424168"/>
    <w:lvl w:ilvl="0" w:tplc="672A4BE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31E53"/>
    <w:multiLevelType w:val="hybridMultilevel"/>
    <w:tmpl w:val="1C2419EE"/>
    <w:lvl w:ilvl="0" w:tplc="0405001B">
      <w:start w:val="1"/>
      <w:numFmt w:val="lowerRoman"/>
      <w:lvlText w:val="%1."/>
      <w:lvlJc w:val="right"/>
      <w:pPr>
        <w:ind w:left="108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0" w15:restartNumberingAfterBreak="0">
    <w:nsid w:val="12BC5AE8"/>
    <w:multiLevelType w:val="hybridMultilevel"/>
    <w:tmpl w:val="81C854C8"/>
    <w:lvl w:ilvl="0" w:tplc="9E3C0BE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E412096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46E0473"/>
    <w:multiLevelType w:val="hybridMultilevel"/>
    <w:tmpl w:val="7188E42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DF357B"/>
    <w:multiLevelType w:val="hybridMultilevel"/>
    <w:tmpl w:val="C332E8AC"/>
    <w:lvl w:ilvl="0" w:tplc="CDCCA7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A742A"/>
    <w:multiLevelType w:val="hybridMultilevel"/>
    <w:tmpl w:val="56CC2832"/>
    <w:lvl w:ilvl="0" w:tplc="A666464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81F44"/>
    <w:multiLevelType w:val="hybridMultilevel"/>
    <w:tmpl w:val="6AB4FCC0"/>
    <w:lvl w:ilvl="0" w:tplc="B678BA7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C736E5"/>
    <w:multiLevelType w:val="hybridMultilevel"/>
    <w:tmpl w:val="6632F7F4"/>
    <w:lvl w:ilvl="0" w:tplc="EB4EA15C">
      <w:start w:val="1"/>
      <w:numFmt w:val="lowerLetter"/>
      <w:lvlText w:val="%1)"/>
      <w:lvlJc w:val="left"/>
      <w:pPr>
        <w:ind w:left="729" w:hanging="360"/>
      </w:pPr>
      <w:rPr>
        <w:rFonts w:cs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0" w15:restartNumberingAfterBreak="0">
    <w:nsid w:val="29A427B7"/>
    <w:multiLevelType w:val="hybridMultilevel"/>
    <w:tmpl w:val="AB8CC65A"/>
    <w:lvl w:ilvl="0" w:tplc="685AA85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701E5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9152A"/>
    <w:multiLevelType w:val="hybridMultilevel"/>
    <w:tmpl w:val="32262306"/>
    <w:lvl w:ilvl="0" w:tplc="75FA80D2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7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D0B64E7"/>
    <w:multiLevelType w:val="multilevel"/>
    <w:tmpl w:val="C4A2194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BCD1DAD"/>
    <w:multiLevelType w:val="hybridMultilevel"/>
    <w:tmpl w:val="B5A620D6"/>
    <w:lvl w:ilvl="0" w:tplc="91D88E5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C4CEA"/>
    <w:multiLevelType w:val="hybridMultilevel"/>
    <w:tmpl w:val="D87803DC"/>
    <w:lvl w:ilvl="0" w:tplc="9E9A0A92"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5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F7EEF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9" w15:restartNumberingAfterBreak="0">
    <w:nsid w:val="751578C5"/>
    <w:multiLevelType w:val="hybridMultilevel"/>
    <w:tmpl w:val="D2F6D0E0"/>
    <w:lvl w:ilvl="0" w:tplc="9FD4EFC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649DC"/>
    <w:multiLevelType w:val="hybridMultilevel"/>
    <w:tmpl w:val="2130778C"/>
    <w:lvl w:ilvl="0" w:tplc="D7BCD4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7"/>
  </w:num>
  <w:num w:numId="3">
    <w:abstractNumId w:val="32"/>
  </w:num>
  <w:num w:numId="4">
    <w:abstractNumId w:val="23"/>
  </w:num>
  <w:num w:numId="5">
    <w:abstractNumId w:val="11"/>
  </w:num>
  <w:num w:numId="6">
    <w:abstractNumId w:val="10"/>
  </w:num>
  <w:num w:numId="7">
    <w:abstractNumId w:val="5"/>
  </w:num>
  <w:num w:numId="8">
    <w:abstractNumId w:val="40"/>
  </w:num>
  <w:num w:numId="9">
    <w:abstractNumId w:val="4"/>
  </w:num>
  <w:num w:numId="10">
    <w:abstractNumId w:val="20"/>
  </w:num>
  <w:num w:numId="11">
    <w:abstractNumId w:val="25"/>
  </w:num>
  <w:num w:numId="12">
    <w:abstractNumId w:val="22"/>
  </w:num>
  <w:num w:numId="13">
    <w:abstractNumId w:val="17"/>
  </w:num>
  <w:num w:numId="14">
    <w:abstractNumId w:val="21"/>
  </w:num>
  <w:num w:numId="15">
    <w:abstractNumId w:val="14"/>
  </w:num>
  <w:num w:numId="16">
    <w:abstractNumId w:val="8"/>
  </w:num>
  <w:num w:numId="17">
    <w:abstractNumId w:val="3"/>
  </w:num>
  <w:num w:numId="18">
    <w:abstractNumId w:val="3"/>
    <w:lvlOverride w:ilvl="0">
      <w:startOverride w:val="1"/>
    </w:lvlOverride>
  </w:num>
  <w:num w:numId="19">
    <w:abstractNumId w:val="18"/>
  </w:num>
  <w:num w:numId="20">
    <w:abstractNumId w:val="41"/>
  </w:num>
  <w:num w:numId="21">
    <w:abstractNumId w:val="12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6"/>
  </w:num>
  <w:num w:numId="25">
    <w:abstractNumId w:val="13"/>
  </w:num>
  <w:num w:numId="26">
    <w:abstractNumId w:val="31"/>
  </w:num>
  <w:num w:numId="27">
    <w:abstractNumId w:val="15"/>
  </w:num>
  <w:num w:numId="28">
    <w:abstractNumId w:val="33"/>
  </w:num>
  <w:num w:numId="29">
    <w:abstractNumId w:val="36"/>
  </w:num>
  <w:num w:numId="30">
    <w:abstractNumId w:val="16"/>
  </w:num>
  <w:num w:numId="31">
    <w:abstractNumId w:val="1"/>
  </w:num>
  <w:num w:numId="32">
    <w:abstractNumId w:val="29"/>
  </w:num>
  <w:num w:numId="33">
    <w:abstractNumId w:val="30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34"/>
  </w:num>
  <w:num w:numId="38">
    <w:abstractNumId w:val="26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9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39"/>
  </w:num>
  <w:num w:numId="45">
    <w:abstractNumId w:val="19"/>
  </w:num>
  <w:num w:numId="46">
    <w:abstractNumId w:val="0"/>
  </w:num>
  <w:num w:numId="47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Zkladntext3">
    <w:name w:val="Body Text 3"/>
    <w:basedOn w:val="Normln"/>
    <w:link w:val="Zkladntext3Char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Pr>
      <w:snapToGrid w:val="0"/>
      <w:color w:val="000000"/>
      <w:sz w:val="24"/>
    </w:rPr>
  </w:style>
  <w:style w:type="character" w:customStyle="1" w:styleId="Nadpis1Char">
    <w:name w:val="Nadpis 1 Char"/>
    <w:link w:val="Nadpis1"/>
    <w:rPr>
      <w:b/>
      <w:sz w:val="40"/>
    </w:rPr>
  </w:style>
  <w:style w:type="paragraph" w:customStyle="1" w:styleId="nadpisvesmlouvch">
    <w:name w:val="nadpis ve smlouvách"/>
    <w:basedOn w:val="Normln"/>
    <w:qFormat/>
    <w:pPr>
      <w:jc w:val="center"/>
    </w:pPr>
    <w:rPr>
      <w:rFonts w:asciiTheme="minorHAnsi" w:hAnsiTheme="minorHAnsi"/>
      <w:b/>
      <w:sz w:val="22"/>
    </w:rPr>
  </w:style>
  <w:style w:type="character" w:customStyle="1" w:styleId="Zkladntext3Char">
    <w:name w:val="Základní text 3 Char"/>
    <w:link w:val="Zkladntext3"/>
    <w:rPr>
      <w:sz w:val="16"/>
      <w:szCs w:val="16"/>
    </w:rPr>
  </w:style>
  <w:style w:type="paragraph" w:styleId="Zkladntext2">
    <w:name w:val="Body Text 2"/>
    <w:basedOn w:val="Normln"/>
    <w:link w:val="Zkladntext2Char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Pr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Pr>
      <w:b/>
      <w:bCs/>
    </w:rPr>
  </w:style>
  <w:style w:type="character" w:styleId="Hypertextovodkaz">
    <w:name w:val="Hyperlink"/>
    <w:basedOn w:val="Standardnpsmoodstavce"/>
    <w:unhideWhenUsed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y@zdar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2475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2023-11-07T12:27:00Z</dcterms:created>
  <dcterms:modified xsi:type="dcterms:W3CDTF">2023-12-13T14:41:00Z</dcterms:modified>
</cp:coreProperties>
</file>