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22"/>
          <w:b/>
          <w:bCs/>
        </w:rPr>
        <w:t>KUPNÍ SMLOUVA</w:t>
      </w:r>
      <w:bookmarkEnd w:id="0"/>
    </w:p>
    <w:p>
      <w:pPr>
        <w:pStyle w:val="Style2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27"/>
        </w:rPr>
        <w:t>uzavřená v souladu s ustanovením § 2079 a násl. zákona č. 89/2012 Sb., občanský zákoník,</w:t>
        <w:br/>
        <w:t>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741"/>
        <w:gridCol w:w="6374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Kamenice 798/1d,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spacing w:val="9"/>
                <w:shd w:val="clear" w:color="auto" w:fill="000000"/>
              </w:rPr>
              <w:t>......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5"/>
                <w:shd w:val="clear" w:color="auto" w:fill="000000"/>
              </w:rPr>
              <w:t>........</w:t>
            </w:r>
            <w:r>
              <w:rPr>
                <w:rStyle w:val="CharStyle32"/>
                <w:spacing w:val="6"/>
                <w:shd w:val="clear" w:color="auto" w:fill="000000"/>
              </w:rPr>
              <w:t>..</w:t>
            </w:r>
            <w:r>
              <w:rPr>
                <w:rStyle w:val="CharStyle32"/>
                <w:shd w:val="clear" w:color="auto" w:fill="000000"/>
              </w:rPr>
              <w:t>​....</w:t>
            </w:r>
            <w:r>
              <w:rPr>
                <w:rStyle w:val="CharStyle32"/>
                <w:spacing w:val="1"/>
                <w:shd w:val="clear" w:color="auto" w:fill="000000"/>
              </w:rPr>
              <w:t>.......</w:t>
            </w:r>
            <w:r>
              <w:rPr>
                <w:rStyle w:val="CharStyle32"/>
                <w:u w:val="single"/>
                <w:shd w:val="clear" w:color="auto" w:fill="000000"/>
                <w:lang w:val="en-US" w:eastAsia="en-US" w:bidi="en-US"/>
              </w:rPr>
              <w:t>​......</w:t>
            </w:r>
            <w:r>
              <w:rPr>
                <w:rStyle w:val="CharStyle32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</w:t>
            </w:r>
            <w:r>
              <w:rPr>
                <w:rStyle w:val="CharStyle3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7"/>
                <w:shd w:val="clear" w:color="auto" w:fill="000000"/>
              </w:rPr>
              <w:t>.....</w:t>
            </w:r>
            <w:r>
              <w:rPr>
                <w:rStyle w:val="CharStyle32"/>
                <w:spacing w:val="8"/>
                <w:shd w:val="clear" w:color="auto" w:fill="000000"/>
              </w:rPr>
              <w:t>.</w:t>
            </w:r>
            <w:r>
              <w:rPr>
                <w:rStyle w:val="CharStyle32"/>
                <w:shd w:val="clear" w:color="auto" w:fill="000000"/>
              </w:rPr>
              <w:t>​.......</w:t>
            </w:r>
            <w:r>
              <w:rPr>
                <w:rStyle w:val="CharStyle32"/>
                <w:spacing w:val="1"/>
                <w:shd w:val="clear" w:color="auto" w:fill="000000"/>
              </w:rPr>
              <w:t>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8"/>
                <w:shd w:val="clear" w:color="auto" w:fill="000000"/>
              </w:rPr>
              <w:t>.</w:t>
            </w:r>
            <w:r>
              <w:rPr>
                <w:rStyle w:val="CharStyle32"/>
                <w:spacing w:val="9"/>
                <w:shd w:val="clear" w:color="auto" w:fill="000000"/>
              </w:rPr>
              <w:t>.....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6"/>
                <w:shd w:val="clear" w:color="auto" w:fill="000000"/>
              </w:rPr>
              <w:t>....</w:t>
            </w:r>
            <w:r>
              <w:rPr>
                <w:rStyle w:val="CharStyle32"/>
                <w:spacing w:val="7"/>
                <w:shd w:val="clear" w:color="auto" w:fill="000000"/>
              </w:rPr>
              <w:t>..</w:t>
            </w:r>
            <w:r>
              <w:rPr>
                <w:rStyle w:val="CharStyle32"/>
                <w:shd w:val="clear" w:color="auto" w:fill="000000"/>
              </w:rPr>
              <w:t>​</w:t>
            </w:r>
            <w:r>
              <w:rPr>
                <w:rStyle w:val="CharStyle32"/>
                <w:spacing w:val="10"/>
                <w:shd w:val="clear" w:color="auto" w:fill="000000"/>
              </w:rPr>
              <w:t>..</w:t>
            </w:r>
            <w:r>
              <w:rPr>
                <w:rStyle w:val="CharStyle32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Krajský soud v Brně sp. zn. Pr 1245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MONETA Money Bank, a.s., č. ú. 117203514/0600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9"/>
        </w:rPr>
        <w:t>(dále jen „</w:t>
      </w:r>
      <w:r>
        <w:rPr>
          <w:rStyle w:val="CharStyle29"/>
          <w:b/>
          <w:bCs/>
          <w:i/>
          <w:iCs/>
        </w:rPr>
        <w:t>kupující</w:t>
      </w:r>
      <w:r>
        <w:rPr>
          <w:rStyle w:val="CharStyle29"/>
        </w:rPr>
        <w:t>“</w:t>
      </w: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1"/>
        <w:gridCol w:w="6370"/>
      </w:tblGrid>
      <w:tr>
        <w:trPr>
          <w:trHeight w:val="65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a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b/>
                <w:bCs/>
              </w:rPr>
              <w:t>ELVAC a.s.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Hasičská 930/53, Hrabůvka, 700 30 Ostrava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Ing. Jaroslav Chýlek, MBA, ředitel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  <w:spacing w:val="2"/>
                <w:shd w:val="clear" w:color="auto" w:fill="000000"/>
              </w:rPr>
              <w:t>.........</w:t>
            </w:r>
            <w:r>
              <w:rPr>
                <w:rStyle w:val="CharStyle32"/>
                <w:shd w:val="clear" w:color="auto" w:fill="000000"/>
              </w:rPr>
              <w:t>​.............</w:t>
            </w:r>
            <w:r>
              <w:rPr>
                <w:rStyle w:val="CharStyle32"/>
                <w:spacing w:val="1"/>
                <w:shd w:val="clear" w:color="auto" w:fill="000000"/>
              </w:rPr>
              <w:t>....</w:t>
            </w:r>
            <w:r>
              <w:rPr>
                <w:rStyle w:val="CharStyle32"/>
                <w:shd w:val="clear" w:color="auto" w:fill="000000"/>
              </w:rPr>
              <w:t>​.................................</w:t>
            </w:r>
            <w:r>
              <w:rPr>
                <w:rStyle w:val="CharStyle32"/>
                <w:spacing w:val="1"/>
                <w:shd w:val="clear" w:color="auto" w:fill="000000"/>
              </w:rPr>
              <w:t>.......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25833812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CZ25833812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Krajský soud v Ostravě sp. zn.: B 2179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2"/>
              </w:rPr>
              <w:t>Česká spořitelna a.s., číslo účtu: 4041192/0800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9"/>
        </w:rPr>
        <w:t>(dále jen „</w:t>
      </w:r>
      <w:r>
        <w:rPr>
          <w:rStyle w:val="CharStyle29"/>
          <w:b/>
          <w:bCs/>
          <w:i/>
          <w:iCs/>
        </w:rPr>
        <w:t>prodávající</w:t>
      </w:r>
      <w:r>
        <w:rPr>
          <w:rStyle w:val="CharStyle29"/>
        </w:rPr>
        <w:t>“)</w:t>
      </w:r>
    </w:p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40"/>
        <w:ind w:left="0" w:right="0" w:firstLine="0"/>
        <w:jc w:val="both"/>
      </w:pPr>
      <w:r>
        <w:rPr>
          <w:rStyle w:val="CharStyle3"/>
        </w:rPr>
        <w:t>Prodávající je oprávněn na základě svého vlastnického práva nakládat se zbožím v podobě: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8" w:val="left"/>
        </w:tabs>
        <w:bidi w:val="0"/>
        <w:spacing w:before="0" w:after="0"/>
        <w:ind w:left="0" w:right="0" w:firstLine="440"/>
        <w:jc w:val="both"/>
      </w:pPr>
      <w:r>
        <w:rPr>
          <w:rStyle w:val="CharStyle3"/>
        </w:rPr>
        <w:t xml:space="preserve">1 ks </w:t>
      </w:r>
      <w:r>
        <w:rPr>
          <w:rStyle w:val="CharStyle3"/>
          <w:b/>
          <w:bCs/>
        </w:rPr>
        <w:t>NAS server + 8 ks HDD + mount pack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8" w:val="left"/>
        </w:tabs>
        <w:bidi w:val="0"/>
        <w:spacing w:before="0" w:after="240"/>
        <w:ind w:left="0" w:right="0" w:firstLine="440"/>
        <w:jc w:val="both"/>
      </w:pPr>
      <w:r>
        <w:rPr>
          <w:rStyle w:val="CharStyle3"/>
        </w:rPr>
        <w:t xml:space="preserve">4 ks </w:t>
      </w:r>
      <w:r>
        <w:rPr>
          <w:rStyle w:val="CharStyle3"/>
          <w:b/>
          <w:bCs/>
        </w:rPr>
        <w:t>NAS - off-line zálohy + 2 HDD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380" w:right="0" w:firstLine="40"/>
        <w:jc w:val="both"/>
      </w:pP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240"/>
        <w:ind w:left="440" w:right="0" w:hanging="44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after="240"/>
        <w:ind w:left="440" w:right="0" w:hanging="44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27. 12. 2023 </w:t>
      </w:r>
      <w:r>
        <w:rPr>
          <w:rStyle w:val="CharStyle3"/>
        </w:rPr>
        <w:t>a to v místě splnění tohoto závazku, kterým je sídlo kupujícího v Brně, Kamenice 798/1d, 625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 xml:space="preserve">Závazek prodávajícího ke splnění jeho závazku k dodání zboží podle čl. 1 této smlouvy se pak považuje za splněný po faktickém předání a převzetí zboží prostého všech vad, po jeho instalaci </w:t>
      </w:r>
      <w:r>
        <w:rPr>
          <w:rStyle w:val="CharStyle3"/>
        </w:rPr>
        <w:t>a konfiguraci v místě plnění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>Nebezpečí škody na převáděném zboží a vlastnické právo k tomuto zboží přechází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440" w:right="0" w:firstLine="0"/>
        <w:jc w:val="both"/>
      </w:pPr>
      <w:r>
        <w:rPr>
          <w:rStyle w:val="CharStyle3"/>
        </w:rPr>
        <w:t>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0"/>
        <w:ind w:left="440" w:right="0" w:hanging="44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3"/>
          <w:b/>
          <w:bCs/>
        </w:rPr>
        <w:t xml:space="preserve">297 201,00,-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359 613,21,-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44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7"/>
          <w:shd w:val="clear" w:color="auto" w:fill="000000"/>
        </w:rPr>
        <w:t>.</w:t>
      </w:r>
      <w:r>
        <w:rPr>
          <w:rStyle w:val="CharStyle3"/>
          <w:spacing w:val="28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rFonts w:ascii="Tahoma" w:eastAsia="Tahoma" w:hAnsi="Tahoma" w:cs="Tahoma"/>
          <w:b/>
          <w:bCs/>
          <w:sz w:val="19"/>
          <w:szCs w:val="19"/>
        </w:rPr>
        <w:t xml:space="preserve">P23V00003858. </w:t>
      </w:r>
      <w:r>
        <w:rPr>
          <w:rStyle w:val="CharStyle3"/>
          <w:rFonts w:ascii="Tahoma" w:eastAsia="Tahoma" w:hAnsi="Tahoma" w:cs="Tahoma"/>
          <w:sz w:val="19"/>
          <w:szCs w:val="19"/>
        </w:rPr>
        <w:t xml:space="preserve">Přílohou faktury bude kopie písemného předávacího protokolu podepsaného oběma stranami.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 xml:space="preserve">V případě dodání zboží podle čl. 1 písm. a) této smlouvy je pak s převodem tohoto zboží spojena záruka za jakost v trvání </w:t>
      </w:r>
      <w:r>
        <w:rPr>
          <w:rStyle w:val="CharStyle3"/>
          <w:b/>
          <w:bCs/>
        </w:rPr>
        <w:t xml:space="preserve">36 měsíců </w:t>
      </w:r>
      <w:r>
        <w:rPr>
          <w:rStyle w:val="CharStyle3"/>
        </w:rPr>
        <w:t xml:space="preserve">ode dne splnění závazku prodávajícího k dodání tohoto zboží. V případě dodání zboží podle čl. 1 písm. b) této smlouvy je pak s převodem tohoto zboží spojena záruka za jakost v trvání </w:t>
      </w:r>
      <w:r>
        <w:rPr>
          <w:rStyle w:val="CharStyle3"/>
          <w:b/>
          <w:bCs/>
        </w:rPr>
        <w:t xml:space="preserve">24 měsíců </w:t>
      </w:r>
      <w:r>
        <w:rPr>
          <w:rStyle w:val="CharStyle3"/>
        </w:rPr>
        <w:t xml:space="preserve">ode dne splnění závazku prodávajícího k dodání tohoto zboží. Na samotné HDD je s převodem tohoto zboží spojena záruka za jakost v trvání </w:t>
      </w:r>
      <w:r>
        <w:rPr>
          <w:rStyle w:val="CharStyle3"/>
          <w:b/>
          <w:bCs/>
        </w:rPr>
        <w:t xml:space="preserve">60 měsíců. </w:t>
      </w:r>
      <w:r>
        <w:rPr>
          <w:rStyle w:val="CharStyle3"/>
        </w:rPr>
        <w:t>V rámci těchto záruk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460"/>
        <w:ind w:left="440" w:right="0" w:hanging="44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/>
        <w:ind w:left="440" w:right="0" w:hanging="44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280" w:line="264" w:lineRule="exact"/>
        <w:ind w:left="440" w:right="0" w:hanging="44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320" w:line="264" w:lineRule="exact"/>
        <w:ind w:left="440" w:right="0" w:hanging="44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280" w:line="264" w:lineRule="exact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280" w:line="264" w:lineRule="exact"/>
        <w:ind w:left="440" w:right="0" w:hanging="44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280" w:line="264" w:lineRule="exact"/>
        <w:ind w:left="0" w:right="0" w:firstLine="0"/>
        <w:jc w:val="both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280" w:line="269" w:lineRule="exact"/>
        <w:ind w:left="440" w:right="0" w:hanging="44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820" w:line="264" w:lineRule="exact"/>
        <w:ind w:left="440" w:right="0" w:hanging="44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152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12700</wp:posOffset>
                </wp:positionV>
                <wp:extent cx="667385" cy="1587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450000000000003pt;margin-top:1.pt;width:52.55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263650" simplePos="0" relativeHeight="125829380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723900</wp:posOffset>
                </wp:positionV>
                <wp:extent cx="831850" cy="2590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pacing w:val="1"/>
                                <w:sz w:val="15"/>
                                <w:szCs w:val="15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z w:val="15"/>
                                <w:szCs w:val="15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75pt;margin-top:57.pt;width:65.5pt;height:20.400000000000002pt;z-index:-125829373;mso-wrap-distance-left:9.pt;mso-wrap-distance-right:99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spacing w:val="1"/>
                          <w:sz w:val="15"/>
                          <w:szCs w:val="15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z w:val="15"/>
                          <w:szCs w:val="15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" distL="1281430" distR="114300" simplePos="0" relativeHeight="12582938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723900</wp:posOffset>
                </wp:positionV>
                <wp:extent cx="814070" cy="2527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z w:val="15"/>
                                <w:szCs w:val="15"/>
                              </w:rPr>
                              <w:t>Datum: 2023.12.13 11:25:29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6.65000000000001pt;margin-top:57.pt;width:64.099999999999994pt;height:19.900000000000002pt;z-index:-125829371;mso-wrap-distance-left:100.90000000000001pt;mso-wrap-distance-right:9.pt;mso-wrap-distance-bottom:0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z w:val="15"/>
                          <w:szCs w:val="15"/>
                        </w:rPr>
                        <w:t>Datum: 2023.12.13 11:25:29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76910" distL="160020" distR="114300" simplePos="0" relativeHeight="125829384" behindDoc="0" locked="0" layoutInCell="1" allowOverlap="1">
                <wp:simplePos x="0" y="0"/>
                <wp:positionH relativeFrom="page">
                  <wp:posOffset>4241165</wp:posOffset>
                </wp:positionH>
                <wp:positionV relativeFrom="paragraph">
                  <wp:posOffset>330200</wp:posOffset>
                </wp:positionV>
                <wp:extent cx="1737360" cy="6489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648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30" w:lineRule="exact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73" w:val="left"/>
                              </w:tabs>
                              <w:bidi w:val="0"/>
                              <w:spacing w:before="0" w:after="0" w:line="130" w:lineRule="exact"/>
                              <w:ind w:left="0" w:right="460" w:firstLine="0"/>
                              <w:jc w:val="right"/>
                            </w:pPr>
                            <w:r>
                              <w:rPr>
                                <w:rStyle w:val="CharStyle5"/>
                                <w:spacing w:val="5"/>
                                <w:sz w:val="24"/>
                                <w:szCs w:val="2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6"/>
                                <w:sz w:val="24"/>
                                <w:szCs w:val="2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z w:val="24"/>
                                <w:szCs w:val="24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24"/>
                                <w:szCs w:val="24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  <w:vertAlign w:val="superscript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  <w:vertAlign w:val="superscript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  <w:vertAlign w:val="superscript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  <w:vertAlign w:val="superscript"/>
                              </w:rPr>
                              <w:t>..............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..............................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30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2"/>
                                <w:sz w:val="24"/>
                                <w:szCs w:val="2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3"/>
                                <w:sz w:val="24"/>
                                <w:szCs w:val="24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"/>
                                <w:sz w:val="24"/>
                                <w:szCs w:val="24"/>
                                <w:shd w:val="clear" w:color="auto" w:fill="000000"/>
                              </w:rPr>
                              <w:t>​........</w:t>
                            </w:r>
                            <w:r>
                              <w:rPr>
                                <w:rStyle w:val="CharStyle5"/>
                                <w:spacing w:val="1"/>
                                <w:sz w:val="24"/>
                                <w:szCs w:val="2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.....................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30" w:lineRule="exact"/>
                              <w:ind w:left="140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3.94999999999999pt;margin-top:26.pt;width:136.80000000000001pt;height:51.100000000000001pt;z-index:-125829369;mso-wrap-distance-left:12.6pt;mso-wrap-distance-right:9.pt;mso-wrap-distance-bottom:53.3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30" w:lineRule="exact"/>
                        <w:ind w:left="0" w:right="0" w:firstLine="0"/>
                        <w:jc w:val="right"/>
                      </w:pPr>
                      <w:r>
                        <w:rPr>
                          <w:rStyle w:val="CharStyle5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73" w:val="left"/>
                        </w:tabs>
                        <w:bidi w:val="0"/>
                        <w:spacing w:before="0" w:after="0" w:line="130" w:lineRule="exact"/>
                        <w:ind w:left="0" w:right="460" w:firstLine="0"/>
                        <w:jc w:val="right"/>
                      </w:pPr>
                      <w:r>
                        <w:rPr>
                          <w:rStyle w:val="CharStyle5"/>
                          <w:spacing w:val="5"/>
                          <w:sz w:val="24"/>
                          <w:szCs w:val="2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6"/>
                          <w:sz w:val="24"/>
                          <w:szCs w:val="2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z w:val="24"/>
                          <w:szCs w:val="24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5"/>
                          <w:spacing w:val="1"/>
                          <w:sz w:val="24"/>
                          <w:szCs w:val="24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hd w:val="clear" w:color="auto" w:fill="000000"/>
                          <w:vertAlign w:val="superscript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  <w:vertAlign w:val="superscript"/>
                        </w:rPr>
                        <w:t>.....</w:t>
                      </w: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hd w:val="clear" w:color="auto" w:fill="000000"/>
                          <w:vertAlign w:val="superscript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  <w:vertAlign w:val="superscript"/>
                        </w:rPr>
                        <w:t>..............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5"/>
                          <w:vertAlign w:val="superscript"/>
                        </w:rPr>
                        <w:t xml:space="preserve"> 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..............................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30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2"/>
                          <w:sz w:val="24"/>
                          <w:szCs w:val="2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3"/>
                          <w:sz w:val="24"/>
                          <w:szCs w:val="24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"/>
                          <w:sz w:val="24"/>
                          <w:szCs w:val="24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5"/>
                          <w:spacing w:val="1"/>
                          <w:sz w:val="24"/>
                          <w:szCs w:val="2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.....................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30" w:lineRule="exact"/>
                        <w:ind w:left="1400" w:right="0" w:firstLine="0"/>
                        <w:jc w:val="left"/>
                      </w:pP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​...............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26135" distB="0" distL="114300" distR="723900" simplePos="0" relativeHeight="125829386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1156335</wp:posOffset>
                </wp:positionV>
                <wp:extent cx="1173480" cy="49974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64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Jaroslav Chýlek ředitel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0.35000000000002pt;margin-top:91.049999999999997pt;width:92.400000000000006pt;height:39.350000000000001pt;z-index:-125829367;mso-wrap-distance-left:9.pt;mso-wrap-distance-top:65.049999999999997pt;mso-wrap-distance-right:5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64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Jaroslav Chýlek 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V Ostravě dne 8.12.2023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158" w:lineRule="exact"/>
        <w:ind w:left="0" w:right="0" w:firstLine="0"/>
        <w:jc w:val="both"/>
      </w:pPr>
      <w:r>
        <w:rPr>
          <w:rStyle w:val="CharStyle5"/>
          <w:b/>
          <w:bCs/>
          <w:spacing w:val="4"/>
          <w:sz w:val="15"/>
          <w:szCs w:val="15"/>
          <w:shd w:val="clear" w:color="auto" w:fill="000000"/>
        </w:rPr>
        <w:t>.....</w:t>
      </w:r>
      <w:r>
        <w:rPr>
          <w:rStyle w:val="CharStyle5"/>
          <w:b/>
          <w:bCs/>
          <w:spacing w:val="5"/>
          <w:sz w:val="15"/>
          <w:szCs w:val="15"/>
          <w:shd w:val="clear" w:color="auto" w:fill="000000"/>
        </w:rPr>
        <w:t>.</w:t>
      </w:r>
      <w:r>
        <w:rPr>
          <w:rStyle w:val="CharStyle5"/>
          <w:b/>
          <w:bCs/>
          <w:sz w:val="15"/>
          <w:szCs w:val="15"/>
          <w:shd w:val="clear" w:color="auto" w:fill="000000"/>
        </w:rPr>
        <w:t>​</w:t>
      </w:r>
      <w:r>
        <w:rPr>
          <w:rStyle w:val="CharStyle5"/>
          <w:b/>
          <w:bCs/>
          <w:spacing w:val="1"/>
          <w:sz w:val="15"/>
          <w:szCs w:val="15"/>
          <w:shd w:val="clear" w:color="auto" w:fill="000000"/>
        </w:rPr>
        <w:t>......</w:t>
      </w:r>
      <w:r>
        <w:rPr>
          <w:rStyle w:val="CharStyle5"/>
          <w:b/>
          <w:bCs/>
          <w:spacing w:val="2"/>
          <w:sz w:val="15"/>
          <w:szCs w:val="15"/>
          <w:shd w:val="clear" w:color="auto" w:fill="000000"/>
        </w:rPr>
        <w:t>..........</w:t>
      </w:r>
      <w:r>
        <w:rPr>
          <w:rStyle w:val="CharStyle5"/>
          <w:b/>
          <w:bCs/>
          <w:sz w:val="15"/>
          <w:szCs w:val="15"/>
          <w:shd w:val="clear" w:color="auto" w:fill="000000"/>
        </w:rPr>
        <w:t>.</w:t>
      </w:r>
      <w:r>
        <w:rPr>
          <w:rStyle w:val="CharStyle5"/>
          <w:sz w:val="15"/>
          <w:szCs w:val="15"/>
          <w:shd w:val="clear" w:color="auto" w:fill="000000"/>
        </w:rPr>
        <w:t>​..............</w:t>
      </w:r>
      <w:r>
        <w:rPr>
          <w:rStyle w:val="CharStyle5"/>
          <w:spacing w:val="1"/>
          <w:sz w:val="15"/>
          <w:szCs w:val="15"/>
          <w:shd w:val="clear" w:color="auto" w:fill="000000"/>
        </w:rPr>
        <w:t>.....</w:t>
      </w:r>
      <w:r>
        <w:rPr>
          <w:rStyle w:val="CharStyle5"/>
          <w:sz w:val="15"/>
          <w:szCs w:val="15"/>
          <w:shd w:val="clear" w:color="auto" w:fill="000000"/>
        </w:rPr>
        <w:t>​</w:t>
      </w:r>
      <w:r>
        <w:rPr>
          <w:rStyle w:val="CharStyle5"/>
          <w:spacing w:val="1"/>
          <w:sz w:val="15"/>
          <w:szCs w:val="15"/>
          <w:shd w:val="clear" w:color="auto" w:fill="000000"/>
        </w:rPr>
        <w:t>..................</w:t>
      </w:r>
      <w:r>
        <w:rPr>
          <w:rStyle w:val="CharStyle5"/>
          <w:spacing w:val="2"/>
          <w:sz w:val="15"/>
          <w:szCs w:val="15"/>
          <w:shd w:val="clear" w:color="auto" w:fill="000000"/>
        </w:rPr>
        <w:t>.</w:t>
      </w:r>
      <w:r>
        <w:rPr>
          <w:rStyle w:val="CharStyle5"/>
          <w:sz w:val="15"/>
          <w:szCs w:val="15"/>
          <w:shd w:val="clear" w:color="auto" w:fill="000000"/>
        </w:rPr>
        <w:t>​</w:t>
      </w:r>
      <w:r>
        <w:rPr>
          <w:rStyle w:val="CharStyle5"/>
          <w:spacing w:val="2"/>
          <w:sz w:val="15"/>
          <w:szCs w:val="15"/>
          <w:shd w:val="clear" w:color="auto" w:fill="000000"/>
        </w:rPr>
        <w:t>......</w:t>
      </w:r>
      <w:r>
        <w:rPr>
          <w:rStyle w:val="CharStyle5"/>
          <w:spacing w:val="3"/>
          <w:sz w:val="15"/>
          <w:szCs w:val="15"/>
          <w:shd w:val="clear" w:color="auto" w:fill="000000"/>
        </w:rPr>
        <w:t>.</w:t>
      </w:r>
      <w:r>
        <w:rPr>
          <w:rStyle w:val="CharStyle5"/>
          <w:sz w:val="15"/>
          <w:szCs w:val="15"/>
        </w:rPr>
        <w:t xml:space="preserve"> </w:t>
      </w:r>
      <w:r>
        <w:rPr>
          <w:rStyle w:val="CharStyle5"/>
          <w:sz w:val="15"/>
          <w:szCs w:val="15"/>
          <w:shd w:val="clear" w:color="auto" w:fill="000000"/>
          <w:vertAlign w:val="superscript"/>
        </w:rPr>
        <w:t>​</w:t>
      </w:r>
      <w:r>
        <w:rPr>
          <w:rStyle w:val="CharStyle5"/>
          <w:spacing w:val="1"/>
          <w:sz w:val="15"/>
          <w:szCs w:val="15"/>
          <w:shd w:val="clear" w:color="auto" w:fill="000000"/>
          <w:vertAlign w:val="superscript"/>
        </w:rPr>
        <w:t>.</w:t>
      </w:r>
      <w:r>
        <w:rPr>
          <w:rStyle w:val="CharStyle5"/>
          <w:spacing w:val="2"/>
          <w:sz w:val="15"/>
          <w:szCs w:val="15"/>
          <w:shd w:val="clear" w:color="auto" w:fill="000000"/>
          <w:vertAlign w:val="superscript"/>
        </w:rPr>
        <w:t>.....</w:t>
      </w:r>
      <w:r>
        <w:rPr>
          <w:rStyle w:val="CharStyle5"/>
          <w:b/>
          <w:bCs/>
          <w:sz w:val="15"/>
          <w:szCs w:val="15"/>
          <w:shd w:val="clear" w:color="auto" w:fill="000000"/>
        </w:rPr>
        <w:t>..​...........</w:t>
      </w:r>
      <w:r>
        <w:rPr>
          <w:rStyle w:val="CharStyle5"/>
          <w:b/>
          <w:bCs/>
          <w:spacing w:val="1"/>
          <w:sz w:val="15"/>
          <w:szCs w:val="15"/>
          <w:shd w:val="clear" w:color="auto" w:fill="000000"/>
        </w:rPr>
        <w:t>.....</w:t>
      </w:r>
      <w:r>
        <w:rPr>
          <w:rStyle w:val="CharStyle5"/>
          <w:sz w:val="15"/>
          <w:szCs w:val="15"/>
          <w:shd w:val="clear" w:color="auto" w:fill="000000"/>
        </w:rPr>
        <w:t>​...................​.................</w:t>
      </w:r>
      <w:r>
        <w:rPr>
          <w:rStyle w:val="CharStyle5"/>
          <w:spacing w:val="1"/>
          <w:sz w:val="15"/>
          <w:szCs w:val="15"/>
          <w:shd w:val="clear" w:color="auto" w:fill="000000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80" w:after="80" w:line="264" w:lineRule="exact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exact"/>
        <w:ind w:left="0" w:right="0" w:firstLine="0"/>
        <w:jc w:val="left"/>
      </w:pPr>
      <w:r>
        <w:rPr>
          <w:rStyle w:val="CharStyle3"/>
          <w:b/>
          <w:bCs/>
          <w:i/>
          <w:i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Technická specifikace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x NAS server + 8 ks HDD + mount pack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QNAP TS-h3087XU-RP-E2378-64G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>SEAGATE HDD IRONWOLF PRO (NAS) 3,5“ - 18TB, SATA III (ST18000NE000)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4 x NAS server s 2 ks HDD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QNAP TS-431KX-2G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SEAGATE HDD IRONWOLF PRO (NAS) 3,5“ - 16TB, SATA III (ST16000NT001)</w:t>
      </w:r>
    </w:p>
    <w:sectPr>
      <w:footerReference w:type="default" r:id="rId5"/>
      <w:footerReference w:type="even" r:id="rId6"/>
      <w:footerReference w:type="first" r:id="rId7"/>
      <w:footnotePr>
        <w:pos w:val="pageBottom"/>
        <w:numFmt w:val="decimal"/>
        <w:numRestart w:val="continuous"/>
      </w:footnotePr>
      <w:pgSz w:w="11900" w:h="16840"/>
      <w:pgMar w:top="1393" w:right="1384" w:bottom="1639" w:left="1392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10043795</wp:posOffset>
              </wp:positionV>
              <wp:extent cx="57785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7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5.80000000000001pt;margin-top:790.85000000000002pt;width:4.5499999999999998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7"/>
                        <w:b/>
                        <w:bCs/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10321290</wp:posOffset>
              </wp:positionV>
              <wp:extent cx="158496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7"/>
                            </w:rPr>
                            <w:t>11_2023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100000000000009pt;margin-top:812.70000000000005pt;width:124.8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7"/>
                      </w:rPr>
                      <w:t>11_2023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10043795</wp:posOffset>
              </wp:positionV>
              <wp:extent cx="64135" cy="793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4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5.19999999999999pt;margin-top:790.85000000000002pt;width:5.0499999999999998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4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10318115</wp:posOffset>
              </wp:positionV>
              <wp:extent cx="157861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86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24"/>
                              <w:rFonts w:ascii="Arial" w:eastAsia="Arial" w:hAnsi="Arial" w:cs="Arial"/>
                            </w:rPr>
                            <w:t>11_2023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2.pt;margin-top:812.45000000000005pt;width:124.3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4"/>
                        <w:rFonts w:ascii="Arial" w:eastAsia="Arial" w:hAnsi="Arial" w:cs="Arial"/>
                      </w:rPr>
                      <w:t>11_2023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10321290</wp:posOffset>
              </wp:positionV>
              <wp:extent cx="1584960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49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24"/>
                              <w:rFonts w:ascii="Arial" w:eastAsia="Arial" w:hAnsi="Arial" w:cs="Arial"/>
                            </w:rPr>
                            <w:t>11_2023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2.pt;margin-top:812.70000000000005pt;width:124.8pt;height:9.3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4"/>
                        <w:rFonts w:ascii="Arial" w:eastAsia="Arial" w:hAnsi="Arial" w:cs="Arial"/>
                      </w:rPr>
                      <w:t>11_2023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Nadpis #1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4">
    <w:name w:val="Záhlaví nebo zápatí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dpis #2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Titulek tabulky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Jiné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7">
    <w:name w:val="Záhlaví nebo zápatí_"/>
    <w:basedOn w:val="DefaultParagraphFont"/>
    <w:link w:val="Style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line="144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auto"/>
      <w:spacing w:after="2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3">
    <w:name w:val="Záhlaví nebo zápatí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dpis #2"/>
    <w:basedOn w:val="Normal"/>
    <w:link w:val="CharStyle27"/>
    <w:pPr>
      <w:widowControl w:val="0"/>
      <w:shd w:val="clear" w:color="auto" w:fill="auto"/>
      <w:spacing w:after="480" w:line="27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Titulek tabulky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Jiné"/>
    <w:basedOn w:val="Normal"/>
    <w:link w:val="CharStyle32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6">
    <w:name w:val="Záhlaví nebo zápatí"/>
    <w:basedOn w:val="Normal"/>
    <w:link w:val="CharStyle5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P1_Návrh kupní smlouvy_V</dc:title>
  <dc:subject/>
  <dc:creator>chylek</dc:creator>
  <cp:keywords/>
</cp:coreProperties>
</file>