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13"/>
          <w:b/>
          <w:bCs/>
        </w:rPr>
        <w:t>KUPNÍ SMLOUVA</w:t>
      </w:r>
      <w:bookmarkEnd w:id="6"/>
    </w:p>
    <w:p>
      <w:pPr>
        <w:pStyle w:val="Style1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" w:name="bookmark8"/>
      <w:r>
        <w:rPr>
          <w:rStyle w:val="CharStyle18"/>
        </w:rPr>
        <w:t>uzavřená v souladu s ustanovením § 2079 a násl. zákona č. 89/2012 Sb., občanský zákoník,</w:t>
        <w:br/>
        <w:t>mezi níže uvedenými smluvními stranami</w:t>
      </w:r>
      <w:bookmarkEnd w:id="8"/>
    </w:p>
    <w:tbl>
      <w:tblPr>
        <w:tblOverlap w:val="never"/>
        <w:jc w:val="center"/>
        <w:tblLayout w:type="fixed"/>
      </w:tblPr>
      <w:tblGrid>
        <w:gridCol w:w="2717"/>
        <w:gridCol w:w="5702"/>
        <w:gridCol w:w="691"/>
      </w:tblGrid>
      <w:tr>
        <w:trPr>
          <w:trHeight w:val="24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55" w:val="left"/>
                <w:tab w:pos="2861" w:val="left"/>
                <w:tab w:pos="3797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Zdravotnická</w:t>
              <w:tab/>
              <w:t>záchranná</w:t>
              <w:tab/>
              <w:t>služba</w:t>
              <w:tab/>
              <w:t>Jihomoravského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příspěvková organizace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Kamenice 798/1d, 625 00 Brno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MUDr. Hana Albrechtová, ředitelka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  <w:spacing w:val="9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5"/>
                <w:shd w:val="clear" w:color="auto" w:fill="000000"/>
              </w:rPr>
              <w:t>........</w:t>
            </w:r>
            <w:r>
              <w:rPr>
                <w:rStyle w:val="CharStyle20"/>
                <w:spacing w:val="6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</w:t>
            </w:r>
            <w:r>
              <w:rPr>
                <w:rStyle w:val="CharStyle20"/>
                <w:spacing w:val="1"/>
                <w:shd w:val="clear" w:color="auto" w:fill="000000"/>
              </w:rPr>
              <w:t>.......</w:t>
            </w:r>
            <w:r>
              <w:rPr>
                <w:rStyle w:val="CharStyle20"/>
                <w:shd w:val="clear" w:color="auto" w:fill="000000"/>
              </w:rPr>
              <w:t>.</w:t>
            </w: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​......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7"/>
                <w:shd w:val="clear" w:color="auto" w:fill="000000"/>
              </w:rPr>
              <w:t>.....</w:t>
            </w:r>
            <w:r>
              <w:rPr>
                <w:rStyle w:val="CharStyle20"/>
                <w:spacing w:val="8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​.......</w:t>
            </w:r>
            <w:r>
              <w:rPr>
                <w:rStyle w:val="CharStyle20"/>
                <w:spacing w:val="1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</w:t>
            </w:r>
            <w:r>
              <w:rPr>
                <w:rStyle w:val="CharStyle20"/>
                <w:spacing w:val="9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6"/>
                <w:shd w:val="clear" w:color="auto" w:fill="000000"/>
              </w:rPr>
              <w:t>....</w:t>
            </w:r>
            <w:r>
              <w:rPr>
                <w:rStyle w:val="CharStyle20"/>
                <w:spacing w:val="7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10"/>
                <w:shd w:val="clear" w:color="auto" w:fill="000000"/>
              </w:rPr>
              <w:t>..</w:t>
            </w:r>
            <w:r>
              <w:rPr>
                <w:rStyle w:val="CharStyle20"/>
                <w:spacing w:val="11"/>
                <w:shd w:val="clear" w:color="auto" w:fill="000000"/>
              </w:rPr>
              <w:t>...</w:t>
            </w:r>
            <w:r>
              <w:rPr>
                <w:rStyle w:val="CharStyle20"/>
              </w:rPr>
              <w:t xml:space="preserve"> 00346292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CZ00346292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Krajský soud v Brně sp. zn. Pr 1245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0"/>
              </w:rPr>
              <w:t>MONETA Money Bank, a.s., č. ú. 117203514/0600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kraje,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(dále jen „</w:t>
            </w:r>
            <w:r>
              <w:rPr>
                <w:rStyle w:val="CharStyle20"/>
                <w:b/>
                <w:bCs/>
                <w:i/>
                <w:iCs/>
              </w:rPr>
              <w:t>kupující</w:t>
            </w:r>
            <w:r>
              <w:rPr>
                <w:rStyle w:val="CharStyle20"/>
              </w:rPr>
              <w:t>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7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PER4MANCE s.r.o.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Fišova 399/3, 602 00 Brno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Ing. Petr Maleňák, jednatel společnosti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spacing w:val="9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</w:t>
            </w:r>
            <w:r>
              <w:rPr>
                <w:rStyle w:val="CharStyle20"/>
                <w:spacing w:val="9"/>
                <w:shd w:val="clear" w:color="auto" w:fill="000000"/>
              </w:rPr>
              <w:t>...</w:t>
            </w:r>
            <w:r>
              <w:rPr>
                <w:rStyle w:val="CharStyle20"/>
                <w:shd w:val="clear" w:color="auto" w:fill="000000"/>
              </w:rPr>
              <w:t>​.....</w:t>
            </w:r>
            <w:r>
              <w:rPr>
                <w:rStyle w:val="CharStyle20"/>
                <w:spacing w:val="1"/>
                <w:shd w:val="clear" w:color="auto" w:fill="000000"/>
              </w:rPr>
              <w:t>......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60749024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CZ60749024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Krajský soud v Brně spis.zn C19044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KB a.s., č.ú. 7217750277/0100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(dále jen „</w:t>
            </w:r>
            <w:r>
              <w:rPr>
                <w:rStyle w:val="CharStyle20"/>
                <w:b/>
                <w:bCs/>
                <w:i/>
                <w:iCs/>
              </w:rPr>
              <w:t>prodávající</w:t>
            </w:r>
            <w:r>
              <w:rPr>
                <w:rStyle w:val="CharStyle20"/>
              </w:rPr>
              <w:t>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19" w:line="1" w:lineRule="exact"/>
      </w:pP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Style w:val="CharStyle3"/>
        </w:rPr>
        <w:t xml:space="preserve">Prodávající je oprávněn na základě svého vlastnického práva nakládat se zbožím v podobě </w:t>
      </w:r>
      <w:r>
        <w:rPr>
          <w:rStyle w:val="CharStyle3"/>
          <w:b/>
          <w:bCs/>
        </w:rPr>
        <w:t>40 kusů access pointů</w:t>
      </w:r>
      <w:r>
        <w:rPr>
          <w:rStyle w:val="CharStyle3"/>
        </w:rPr>
        <w:t>. Podrobná specifikace tohoto zboží je uvedena v příloze č. 1, která je nedílnou součástí této kupní smlouvy.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Style w:val="CharStyle3"/>
        </w:rPr>
        <w:t>Prodávající prodává zboží podle čl. 1 této smlouvy se všemi jeho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 jeho obsluze, a dokladů prokazujících shodu, to vše v českém jazyce, a v tištěné i elektronické podobě.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Style w:val="CharStyle3"/>
        </w:rPr>
        <w:t xml:space="preserve">Prodávající se zavazuje splnit svůj závazek k dodání zboží podle čl. 1 této smlouvy nejpozději </w:t>
      </w:r>
      <w:r>
        <w:rPr>
          <w:rStyle w:val="CharStyle3"/>
          <w:b/>
          <w:bCs/>
        </w:rPr>
        <w:t>do 27. 12. 2023</w:t>
      </w:r>
      <w:r>
        <w:rPr>
          <w:rStyle w:val="CharStyle3"/>
        </w:rPr>
        <w:t>, a to v místě splnění tohoto závazku, kterým je sídlo kupujícího Kamenice 798/1d, 625 00 Brno.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6" w:name="bookmark16"/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8" w:name="bookmark18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0" w:name="bookmark20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 xml:space="preserve">664 400,-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803 924,-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 Změna výše ceny bude možná pouze na základě změny sazby DPH vyhlášené příslušným zákonem.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55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rFonts w:ascii="Tahoma" w:eastAsia="Tahoma" w:hAnsi="Tahoma" w:cs="Tahoma"/>
          <w:b/>
          <w:bCs/>
          <w:sz w:val="19"/>
          <w:szCs w:val="19"/>
        </w:rPr>
        <w:t xml:space="preserve">P23V00003863. </w:t>
      </w:r>
      <w:r>
        <w:rPr>
          <w:rStyle w:val="CharStyle3"/>
        </w:rPr>
        <w:t>Přílohou faktury bude kopie předávacího protokolu.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4" w:name="bookmark24"/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Není-li dále ujednáno jinak, je s převodem zboží podle čl. 1 této smlouvy spojena záruka za jeho jakost v trvání 60 měsíců ode dne splnění závazku prodávajícího k dodání tohoto zboží. V rámci této záruky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6" w:name="bookmark26"/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8" w:name="bookmark28"/>
      <w:bookmarkEnd w:id="28"/>
    </w:p>
    <w:p>
      <w:pPr>
        <w:pStyle w:val="Style2"/>
        <w:keepNext w:val="0"/>
        <w:keepLines w:val="0"/>
        <w:widowControl w:val="0"/>
        <w:shd w:val="clear" w:color="auto" w:fill="auto"/>
        <w:tabs>
          <w:tab w:pos="4291" w:val="left"/>
        </w:tabs>
        <w:bidi w:val="0"/>
        <w:spacing w:before="0" w:after="0"/>
        <w:ind w:left="0" w:right="0" w:firstLine="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</w:t>
        <w:tab/>
        <w:t>% z kupní ceny podle čl. 6 této smlouvy za každý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započatý den tohoto prodlení.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0" w:name="bookmark30"/>
      <w:bookmarkEnd w:id="3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/>
        <w:ind w:left="0" w:right="0" w:firstLine="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12.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3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34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2" w:name="bookmark32"/>
      <w:bookmarkEnd w:id="3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34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4" w:name="bookmark34"/>
      <w:bookmarkEnd w:id="3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34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6" w:name="bookmark36"/>
      <w:bookmarkEnd w:id="3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34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8" w:name="bookmark38"/>
      <w:bookmarkEnd w:id="3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34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40" w:name="bookmark40"/>
      <w:bookmarkEnd w:id="4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34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42" w:name="bookmark42"/>
      <w:bookmarkEnd w:id="4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4" w:name="bookmark44"/>
      <w:r>
        <w:rPr>
          <w:rStyle w:val="CharStyle35"/>
          <w:b/>
          <w:bCs/>
        </w:rPr>
        <w:t>19.</w:t>
      </w:r>
      <w:bookmarkEnd w:id="4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419100</wp:posOffset>
                </wp:positionV>
                <wp:extent cx="1654810" cy="1587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48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54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5pt;margin-top:33.pt;width:130.30000000000001pt;height:12.5pt;z-index:-125829375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5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9100" distB="0" distL="0" distR="0" simplePos="0" relativeHeight="125829380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419100</wp:posOffset>
                </wp:positionV>
                <wp:extent cx="1334770" cy="1587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07/12/2023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0.15000000000003pt;margin-top:33.pt;width:105.10000000000001pt;height:12.5pt;z-index:-125829373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07/12/2023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98" w:right="1380" w:bottom="1174" w:left="1380" w:header="97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32105" distB="287020" distL="0" distR="0" simplePos="0" relativeHeight="125829382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332105</wp:posOffset>
                </wp:positionV>
                <wp:extent cx="1057910" cy="2406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791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</w:rPr>
                              <w:t>Ing. Naděžda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pt;margin-top:26.150000000000002pt;width:83.299999999999997pt;height:18.949999999999999pt;z-index:-125829371;mso-wrap-distance-left:0;mso-wrap-distance-top:26.150000000000002pt;mso-wrap-distance-right:0;mso-wrap-distance-bottom:22.6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Ing. Naděžda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4800" distB="271780" distL="0" distR="0" simplePos="0" relativeHeight="125829384" behindDoc="0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304800</wp:posOffset>
                </wp:positionV>
                <wp:extent cx="1057910" cy="2832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791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Digitálně podepsal Ing.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Naděžda Knězková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0.25pt;margin-top:24.pt;width:83.299999999999997pt;height:22.300000000000001pt;z-index:-125829369;mso-wrap-distance-left:0;mso-wrap-distance-top:24.pt;mso-wrap-distance-right:0;mso-wrap-distance-bottom:21.40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Digitálně podepsal Ing.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Naděžda Knězková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1185" distB="27940" distL="0" distR="0" simplePos="0" relativeHeight="125829386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591185</wp:posOffset>
                </wp:positionV>
                <wp:extent cx="777240" cy="24066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Knězková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6.25pt;margin-top:46.550000000000004pt;width:61.200000000000003pt;height:18.949999999999999pt;z-index:-125829367;mso-wrap-distance-left:0;mso-wrap-distance-top:46.550000000000004pt;mso-wrap-distance-right:0;mso-wrap-distance-bottom:2.20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Knězková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1185" distB="635" distL="0" distR="0" simplePos="0" relativeHeight="125829388" behindDoc="0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591185</wp:posOffset>
                </wp:positionV>
                <wp:extent cx="859790" cy="26797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Datum: 2023.12.13 11:26:35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0.25pt;margin-top:46.550000000000004pt;width:67.700000000000003pt;height:21.100000000000001pt;z-index:-125829365;mso-wrap-distance-left:0;mso-wrap-distance-top:46.550000000000004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Datum: 2023.12.13 11:26:35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24765" distL="0" distR="0" simplePos="0" relativeHeight="125829390" behindDoc="0" locked="0" layoutInCell="1" allowOverlap="1">
                <wp:simplePos x="0" y="0"/>
                <wp:positionH relativeFrom="page">
                  <wp:posOffset>4217670</wp:posOffset>
                </wp:positionH>
                <wp:positionV relativeFrom="paragraph">
                  <wp:posOffset>152400</wp:posOffset>
                </wp:positionV>
                <wp:extent cx="987425" cy="68262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425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rStyle w:val="CharStyle9"/>
                              </w:rPr>
                              <w:t>Ing. Petr</w:t>
                            </w:r>
                            <w:bookmarkEnd w:id="3"/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Maleňák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2.10000000000002pt;margin-top:12.pt;width:77.75pt;height:53.75pt;z-index:-125829363;mso-wrap-distance-left:0;mso-wrap-distance-top:12.pt;mso-wrap-distance-right:0;mso-wrap-distance-bottom:1.9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rStyle w:val="CharStyle9"/>
                        </w:rPr>
                        <w:t>Ing. Petr</w:t>
                      </w:r>
                      <w:bookmarkEnd w:id="3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Maleňák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4470" distB="39370" distL="0" distR="0" simplePos="0" relativeHeight="125829392" behindDoc="0" locked="0" layoutInCell="1" allowOverlap="1">
                <wp:simplePos x="0" y="0"/>
                <wp:positionH relativeFrom="page">
                  <wp:posOffset>5238750</wp:posOffset>
                </wp:positionH>
                <wp:positionV relativeFrom="paragraph">
                  <wp:posOffset>204470</wp:posOffset>
                </wp:positionV>
                <wp:extent cx="987425" cy="6159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425" cy="615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Digitálně podepsal Ing. Petr Maleňák Datum: 2023.12.07 11:50:28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2.5pt;margin-top:16.100000000000001pt;width:77.75pt;height:48.5pt;z-index:-125829361;mso-wrap-distance-left:0;mso-wrap-distance-top:16.100000000000001pt;mso-wrap-distance-right:0;mso-wrap-distance-bottom:3.10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Digitálně podepsal Ing. Petr Maleňák Datum: 2023.12.07 11:50:28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17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7" w:right="0" w:bottom="250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12700</wp:posOffset>
                </wp:positionV>
                <wp:extent cx="1173480" cy="51498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3480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Petr Maleňák Jednatel společnosti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0.40000000000003pt;margin-top:1.pt;width:92.400000000000006pt;height:40.550000000000004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Petr Maleňák Jednatel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b/>
          <w:bCs/>
          <w:i/>
          <w:iCs/>
        </w:rPr>
        <w:t>Kupující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Technická 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3"/>
          <w:b/>
          <w:bCs/>
        </w:rPr>
        <w:t>Zadavatel disponuje síťovým konrolerem Cisco 9800-L-C-K9 (P/N C9800-L-C-K9) a 20 ks Cisco 9115. S tímto řešením musí být poptávané access pointy kompatibilní.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rStyle w:val="CharStyle3"/>
          <w:b/>
          <w:bCs/>
        </w:rPr>
        <w:t>Specifikace access point pro zajištění kompatibility - Cisco Catalyst 9115AX Series vč. licence (Wireless Cisco DNA On-Prem Essential, 5Y Term Lic) na 5 let.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17" w:right="1393" w:bottom="2508" w:left="1383" w:header="98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10177780</wp:posOffset>
              </wp:positionV>
              <wp:extent cx="157861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786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i/>
                              <w:iCs/>
                            </w:rPr>
                            <w:t>12_2023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2.pt;margin-top:801.39999999999998pt;width:124.3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</w:rPr>
                      <w:t>12_2023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3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Nadpis #1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Nadpis #3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dpis #4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Nadpis #5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233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line="235" w:lineRule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auto"/>
      <w:spacing w:after="24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dpis #4"/>
    <w:basedOn w:val="Normal"/>
    <w:link w:val="CharStyle18"/>
    <w:pPr>
      <w:widowControl w:val="0"/>
      <w:shd w:val="clear" w:color="auto" w:fill="auto"/>
      <w:spacing w:after="480" w:line="276" w:lineRule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after="2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Nadpis #5"/>
    <w:basedOn w:val="Normal"/>
    <w:link w:val="CharStyle35"/>
    <w:pPr>
      <w:widowControl w:val="0"/>
      <w:shd w:val="clear" w:color="auto" w:fill="auto"/>
      <w:spacing w:line="276" w:lineRule="auto"/>
      <w:jc w:val="center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Kupní smlouva</dc:title>
  <dc:subject/>
  <dc:creator>Smejkalp</dc:creator>
  <cp:keywords/>
</cp:coreProperties>
</file>