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5220300207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Nemocnice</w:t>
      </w:r>
      <w:r>
        <w:rPr>
          <w:spacing w:val="-11"/>
        </w:rPr>
        <w:t> </w:t>
      </w:r>
      <w:r>
        <w:rPr/>
        <w:t>Pardubického</w:t>
      </w:r>
      <w:r>
        <w:rPr>
          <w:spacing w:val="-8"/>
        </w:rPr>
        <w:t> </w:t>
      </w:r>
      <w:r>
        <w:rPr/>
        <w:t>kraje,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spacing w:line="237" w:lineRule="auto" w:before="2"/>
        <w:ind w:left="382"/>
      </w:pPr>
      <w:r>
        <w:rPr/>
        <w:t>obchodní společnost zapsaná v</w:t>
      </w:r>
      <w:r>
        <w:rPr>
          <w:spacing w:val="-1"/>
        </w:rPr>
        <w:t> </w:t>
      </w:r>
      <w:r>
        <w:rPr/>
        <w:t>obchodním rejstříku vedeném Krajským soudem v Hradci Králové oddíl B vložka 2629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Kyjevská</w:t>
      </w:r>
      <w:r>
        <w:rPr>
          <w:spacing w:val="-7"/>
        </w:rPr>
        <w:t> </w:t>
      </w:r>
      <w:r>
        <w:rPr/>
        <w:t>44,</w:t>
      </w:r>
      <w:r>
        <w:rPr>
          <w:spacing w:val="-7"/>
        </w:rPr>
        <w:t> </w:t>
      </w:r>
      <w:r>
        <w:rPr/>
        <w:t>Pardubičky,</w:t>
      </w:r>
      <w:r>
        <w:rPr>
          <w:spacing w:val="-7"/>
        </w:rPr>
        <w:t> </w:t>
      </w:r>
      <w:r>
        <w:rPr/>
        <w:t>530</w:t>
      </w:r>
      <w:r>
        <w:rPr>
          <w:spacing w:val="-4"/>
        </w:rPr>
        <w:t> </w:t>
      </w:r>
      <w:r>
        <w:rPr/>
        <w:t>03</w:t>
      </w:r>
      <w:r>
        <w:rPr>
          <w:spacing w:val="-6"/>
        </w:rPr>
        <w:t> </w:t>
      </w:r>
      <w:r>
        <w:rPr>
          <w:spacing w:val="-2"/>
        </w:rPr>
        <w:t>Pardubice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27520536</w:t>
      </w:r>
    </w:p>
    <w:p>
      <w:pPr>
        <w:pStyle w:val="BodyText"/>
        <w:tabs>
          <w:tab w:pos="3262" w:val="left" w:leader="none"/>
        </w:tabs>
        <w:spacing w:before="1"/>
        <w:ind w:left="3262" w:right="403" w:hanging="2881"/>
      </w:pPr>
      <w:r>
        <w:rPr>
          <w:spacing w:val="-2"/>
        </w:rPr>
        <w:t>zastoupená:</w:t>
      </w:r>
      <w:r>
        <w:rPr/>
        <w:tab/>
        <w:t>MUDr.</w:t>
      </w:r>
      <w:r>
        <w:rPr>
          <w:spacing w:val="-4"/>
        </w:rPr>
        <w:t> </w:t>
      </w:r>
      <w:r>
        <w:rPr/>
        <w:t>Tomášem</w:t>
      </w:r>
      <w:r>
        <w:rPr>
          <w:spacing w:val="-2"/>
        </w:rPr>
        <w:t> </w:t>
      </w:r>
      <w:r>
        <w:rPr/>
        <w:t>G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</w:t>
      </w:r>
      <w:r>
        <w:rPr>
          <w:spacing w:val="-4"/>
        </w:rPr>
        <w:t> </w:t>
      </w:r>
      <w:r>
        <w:rPr/>
        <w:t>t</w:t>
      </w:r>
      <w:r>
        <w:rPr>
          <w:spacing w:val="-4"/>
        </w:rPr>
        <w:t> </w:t>
      </w:r>
      <w:r>
        <w:rPr/>
        <w:t>v 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MHA,</w:t>
      </w:r>
      <w:r>
        <w:rPr>
          <w:spacing w:val="-2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představenstva</w:t>
      </w:r>
      <w:r>
        <w:rPr>
          <w:spacing w:val="37"/>
        </w:rPr>
        <w:t> </w:t>
      </w:r>
      <w:r>
        <w:rPr/>
        <w:t>a Ing. Hynkem R a i s e m, MHA, místopředsedou představenstva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43-</w:t>
      </w:r>
      <w:r>
        <w:rPr>
          <w:spacing w:val="-2"/>
        </w:rPr>
        <w:t>6084130247/0100</w:t>
      </w:r>
    </w:p>
    <w:p>
      <w:pPr>
        <w:pStyle w:val="BodyText"/>
        <w:spacing w:line="265" w:lineRule="exac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5220300207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869"/>
        <w:jc w:val="left"/>
      </w:pPr>
      <w:r>
        <w:rPr/>
        <w:t>„NPK,</w:t>
      </w:r>
      <w:r>
        <w:rPr>
          <w:spacing w:val="-7"/>
        </w:rPr>
        <w:t> </w:t>
      </w:r>
      <w:r>
        <w:rPr/>
        <w:t>a.s.,</w:t>
      </w:r>
      <w:r>
        <w:rPr>
          <w:spacing w:val="-8"/>
        </w:rPr>
        <w:t> </w:t>
      </w:r>
      <w:r>
        <w:rPr/>
        <w:t>ekomobilita</w:t>
      </w:r>
      <w:r>
        <w:rPr>
          <w:spacing w:val="-7"/>
        </w:rPr>
        <w:t> </w:t>
      </w:r>
      <w:r>
        <w:rPr>
          <w:spacing w:val="-5"/>
        </w:rPr>
        <w:t>1“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 Smlouvy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4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Rozhodnutím</w:t>
      </w:r>
      <w:r>
        <w:rPr>
          <w:spacing w:val="-2"/>
          <w:sz w:val="20"/>
        </w:rPr>
        <w:t> </w:t>
      </w:r>
      <w:r>
        <w:rPr>
          <w:sz w:val="20"/>
        </w:rPr>
        <w:t>komise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4"/>
          <w:sz w:val="20"/>
        </w:rPr>
        <w:t> </w:t>
      </w:r>
      <w:r>
        <w:rPr>
          <w:sz w:val="20"/>
        </w:rPr>
        <w:t>20.</w:t>
      </w:r>
      <w:r>
        <w:rPr>
          <w:spacing w:val="-4"/>
          <w:sz w:val="20"/>
        </w:rPr>
        <w:t> </w:t>
      </w:r>
      <w:r>
        <w:rPr>
          <w:sz w:val="20"/>
        </w:rPr>
        <w:t>prosince</w:t>
      </w:r>
      <w:r>
        <w:rPr>
          <w:spacing w:val="-4"/>
          <w:sz w:val="20"/>
        </w:rPr>
        <w:t> </w:t>
      </w:r>
      <w:r>
        <w:rPr>
          <w:sz w:val="20"/>
        </w:rPr>
        <w:t>2011 o použití čl. 106 odst. 2 Smlouvy o fungování Evropské unie na státní podporu ve formě vyrovnávací platby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služby</w:t>
      </w:r>
      <w:r>
        <w:rPr>
          <w:spacing w:val="-7"/>
          <w:sz w:val="20"/>
        </w:rPr>
        <w:t> </w:t>
      </w:r>
      <w:r>
        <w:rPr>
          <w:sz w:val="20"/>
        </w:rPr>
        <w:t>udělené</w:t>
      </w:r>
      <w:r>
        <w:rPr>
          <w:spacing w:val="-8"/>
          <w:sz w:val="20"/>
        </w:rPr>
        <w:t> </w:t>
      </w:r>
      <w:r>
        <w:rPr>
          <w:sz w:val="20"/>
        </w:rPr>
        <w:t>určitým</w:t>
      </w:r>
      <w:r>
        <w:rPr>
          <w:spacing w:val="-7"/>
          <w:sz w:val="20"/>
        </w:rPr>
        <w:t> </w:t>
      </w:r>
      <w:r>
        <w:rPr>
          <w:sz w:val="20"/>
        </w:rPr>
        <w:t>podnikům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poskytováním</w:t>
      </w:r>
      <w:r>
        <w:rPr>
          <w:spacing w:val="-6"/>
          <w:sz w:val="20"/>
        </w:rPr>
        <w:t> </w:t>
      </w:r>
      <w:r>
        <w:rPr>
          <w:sz w:val="20"/>
        </w:rPr>
        <w:t>služeb</w:t>
      </w:r>
      <w:r>
        <w:rPr>
          <w:spacing w:val="-7"/>
          <w:sz w:val="20"/>
        </w:rPr>
        <w:t> </w:t>
      </w:r>
      <w:r>
        <w:rPr>
          <w:sz w:val="20"/>
        </w:rPr>
        <w:t>obecného hospodářského zájmu.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4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865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574,33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osm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šedesát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sedmdesát</w:t>
      </w:r>
      <w:r>
        <w:rPr>
          <w:spacing w:val="-5"/>
        </w:rPr>
        <w:t> </w:t>
      </w:r>
      <w:r>
        <w:rPr/>
        <w:t>čtyři</w:t>
      </w:r>
      <w:r>
        <w:rPr>
          <w:spacing w:val="-4"/>
        </w:rPr>
        <w:t> </w:t>
      </w:r>
      <w:r>
        <w:rPr/>
        <w:t>koruny</w:t>
      </w:r>
      <w:r>
        <w:rPr>
          <w:spacing w:val="-5"/>
        </w:rPr>
        <w:t> </w:t>
      </w:r>
      <w:r>
        <w:rPr/>
        <w:t>české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třicet</w:t>
      </w:r>
      <w:r>
        <w:rPr>
          <w:spacing w:val="-5"/>
        </w:rPr>
        <w:t> </w:t>
      </w:r>
      <w:r>
        <w:rPr/>
        <w:t>tři</w:t>
      </w:r>
      <w:r>
        <w:rPr>
          <w:spacing w:val="-5"/>
        </w:rPr>
        <w:t> </w:t>
      </w:r>
      <w:r>
        <w:rPr>
          <w:spacing w:val="-2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865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574,33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prostředky</w:t>
      </w:r>
      <w:r>
        <w:rPr>
          <w:spacing w:val="9"/>
          <w:sz w:val="20"/>
        </w:rPr>
        <w:t> </w:t>
      </w:r>
      <w:r>
        <w:rPr>
          <w:sz w:val="20"/>
        </w:rPr>
        <w:t>nevyčerpané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daném</w:t>
      </w:r>
      <w:r>
        <w:rPr>
          <w:spacing w:val="10"/>
          <w:sz w:val="20"/>
        </w:rPr>
        <w:t> </w:t>
      </w:r>
      <w:r>
        <w:rPr>
          <w:sz w:val="20"/>
        </w:rPr>
        <w:t>roce</w:t>
      </w:r>
      <w:r>
        <w:rPr>
          <w:spacing w:val="9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9"/>
          <w:sz w:val="20"/>
        </w:rPr>
        <w:t> </w:t>
      </w:r>
      <w:r>
        <w:rPr>
          <w:sz w:val="20"/>
        </w:rPr>
        <w:t>objem</w:t>
      </w:r>
      <w:r>
        <w:rPr>
          <w:spacing w:val="11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pokud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NPK,</w:t>
      </w:r>
      <w:r>
        <w:rPr>
          <w:spacing w:val="-4"/>
          <w:sz w:val="20"/>
        </w:rPr>
        <w:t> </w:t>
      </w:r>
      <w:r>
        <w:rPr>
          <w:sz w:val="20"/>
        </w:rPr>
        <w:t>a.s.,</w:t>
      </w:r>
      <w:r>
        <w:rPr>
          <w:spacing w:val="-3"/>
          <w:sz w:val="20"/>
        </w:rPr>
        <w:t> </w:t>
      </w:r>
      <w:r>
        <w:rPr>
          <w:sz w:val="20"/>
        </w:rPr>
        <w:t>ekomobilita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jejími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přílohami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z w:val="20"/>
        </w:rPr>
        <w:t>vozidel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pořídí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neveřejných</w:t>
      </w:r>
      <w:r>
        <w:rPr>
          <w:spacing w:val="-2"/>
          <w:sz w:val="20"/>
        </w:rPr>
        <w:t> </w:t>
      </w:r>
      <w:r>
        <w:rPr>
          <w:sz w:val="20"/>
        </w:rPr>
        <w:t>dobíjecích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10/2024 a o dodržení tohoto termínu Fond bez zbytečného odkladu informovat (za termín ukončení projektu se považuje datum předání/převzetí posledního vozidla dle příslušné kupní smlouvy). Přitom se konstatuje, že akce byla zahájena v 01/2023.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snazší</w:t>
      </w:r>
      <w:r>
        <w:rPr>
          <w:spacing w:val="4"/>
          <w:sz w:val="20"/>
        </w:rPr>
        <w:t> </w:t>
      </w:r>
      <w:r>
        <w:rPr>
          <w:sz w:val="20"/>
        </w:rPr>
        <w:t>identifikaci</w:t>
      </w:r>
      <w:r>
        <w:rPr>
          <w:spacing w:val="3"/>
          <w:sz w:val="20"/>
        </w:rPr>
        <w:t> </w:t>
      </w:r>
      <w:r>
        <w:rPr>
          <w:sz w:val="20"/>
        </w:rPr>
        <w:t>budou</w:t>
      </w:r>
      <w:r>
        <w:rPr>
          <w:spacing w:val="4"/>
          <w:sz w:val="20"/>
        </w:rPr>
        <w:t> </w:t>
      </w:r>
      <w:r>
        <w:rPr>
          <w:sz w:val="20"/>
        </w:rPr>
        <w:t>smluvní</w:t>
      </w:r>
      <w:r>
        <w:rPr>
          <w:spacing w:val="4"/>
          <w:sz w:val="20"/>
        </w:rPr>
        <w:t> </w:t>
      </w:r>
      <w:r>
        <w:rPr>
          <w:sz w:val="20"/>
        </w:rPr>
        <w:t>strany</w:t>
      </w:r>
      <w:r>
        <w:rPr>
          <w:spacing w:val="3"/>
          <w:sz w:val="20"/>
        </w:rPr>
        <w:t> </w:t>
      </w:r>
      <w:r>
        <w:rPr>
          <w:sz w:val="20"/>
        </w:rPr>
        <w:t>při</w:t>
      </w:r>
      <w:r>
        <w:rPr>
          <w:spacing w:val="3"/>
          <w:sz w:val="20"/>
        </w:rPr>
        <w:t> </w:t>
      </w:r>
      <w:r>
        <w:rPr>
          <w:sz w:val="20"/>
        </w:rPr>
        <w:t>veškeré</w:t>
      </w:r>
      <w:r>
        <w:rPr>
          <w:spacing w:val="4"/>
          <w:sz w:val="20"/>
        </w:rPr>
        <w:t> </w:t>
      </w:r>
      <w:r>
        <w:rPr>
          <w:sz w:val="20"/>
        </w:rPr>
        <w:t>korespondenci</w:t>
      </w:r>
      <w:r>
        <w:rPr>
          <w:spacing w:val="3"/>
          <w:sz w:val="20"/>
        </w:rPr>
        <w:t> </w:t>
      </w:r>
      <w:r>
        <w:rPr>
          <w:sz w:val="20"/>
        </w:rPr>
        <w:t>(včetně</w:t>
      </w:r>
      <w:r>
        <w:rPr>
          <w:spacing w:val="3"/>
          <w:sz w:val="20"/>
        </w:rPr>
        <w:t> </w:t>
      </w:r>
      <w:r>
        <w:rPr>
          <w:sz w:val="20"/>
        </w:rPr>
        <w:t>elektronické)</w:t>
      </w:r>
      <w:r>
        <w:rPr>
          <w:spacing w:val="4"/>
          <w:sz w:val="20"/>
        </w:rPr>
        <w:t> </w:t>
      </w:r>
      <w:r>
        <w:rPr>
          <w:sz w:val="20"/>
        </w:rPr>
        <w:t>týkající</w:t>
      </w:r>
      <w:r>
        <w:rPr>
          <w:spacing w:val="3"/>
          <w:sz w:val="20"/>
        </w:rPr>
        <w:t> </w:t>
      </w:r>
      <w:r>
        <w:rPr>
          <w:spacing w:val="-5"/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jc w:val="both"/>
      </w:pPr>
      <w:r>
        <w:rPr/>
        <w:t>akce,</w:t>
      </w:r>
      <w:r>
        <w:rPr>
          <w:spacing w:val="-6"/>
        </w:rPr>
        <w:t> </w:t>
      </w: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 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-6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8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before="1"/>
        <w:ind w:left="38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2"/>
        <w:ind w:left="0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820" w:bottom="1620" w:left="1320" w:right="1020"/>
        </w:sectPr>
      </w:pPr>
    </w:p>
    <w:p>
      <w:pPr>
        <w:pStyle w:val="BodyText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384" w:top="182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70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2023-12-13T06:19:09Z</dcterms:created>
  <dcterms:modified xsi:type="dcterms:W3CDTF">2023-12-13T06:19:09Z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2023-12-13T00:00:00Z</vt:filetime>
  </property>
</Properties>
</file>