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6C3B2325"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14:paraId="33C03994"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14:paraId="706DB569"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14:paraId="3BD56465" w14:textId="79182479" w:rsidR="00B1452C" w:rsidRPr="00B9537A" w:rsidRDefault="0082023E">
      <w:pPr>
        <w:pBdr>
          <w:top w:val="nil"/>
          <w:left w:val="nil"/>
          <w:bottom w:val="nil"/>
          <w:right w:val="nil"/>
          <w:between w:val="nil"/>
        </w:pBdr>
        <w:rPr>
          <w:rFonts w:ascii="Calibri" w:eastAsia="Calibri" w:hAnsi="Calibri" w:cs="Calibri"/>
          <w:color w:val="000000"/>
          <w:sz w:val="22"/>
          <w:szCs w:val="22"/>
        </w:rPr>
      </w:pPr>
      <w:r w:rsidRPr="00B9537A">
        <w:rPr>
          <w:rFonts w:ascii="Calibri" w:eastAsia="Calibri" w:hAnsi="Calibri" w:cs="Calibri"/>
          <w:color w:val="000000"/>
          <w:sz w:val="22"/>
          <w:szCs w:val="22"/>
        </w:rPr>
        <w:t xml:space="preserve">zastoupen: </w:t>
      </w:r>
      <w:r w:rsidR="00B9537A" w:rsidRPr="00B9537A">
        <w:rPr>
          <w:rFonts w:ascii="Calibri" w:eastAsia="Calibri" w:hAnsi="Calibri" w:cs="Calibri"/>
          <w:color w:val="000000"/>
          <w:sz w:val="22"/>
          <w:szCs w:val="22"/>
        </w:rPr>
        <w:t>Bc</w:t>
      </w:r>
      <w:r w:rsidRPr="00B9537A">
        <w:rPr>
          <w:rFonts w:ascii="Calibri" w:eastAsia="Calibri" w:hAnsi="Calibri" w:cs="Calibri"/>
          <w:color w:val="000000"/>
          <w:sz w:val="22"/>
          <w:szCs w:val="22"/>
        </w:rPr>
        <w:t xml:space="preserve">. </w:t>
      </w:r>
      <w:r w:rsidR="00B9537A" w:rsidRPr="00B9537A">
        <w:rPr>
          <w:rFonts w:ascii="Calibri" w:eastAsia="Calibri" w:hAnsi="Calibri" w:cs="Calibri"/>
          <w:color w:val="000000"/>
          <w:sz w:val="22"/>
          <w:szCs w:val="22"/>
        </w:rPr>
        <w:t>Liborem</w:t>
      </w:r>
      <w:r w:rsidRPr="00B9537A">
        <w:rPr>
          <w:rFonts w:ascii="Calibri" w:eastAsia="Calibri" w:hAnsi="Calibri" w:cs="Calibri"/>
          <w:color w:val="000000"/>
          <w:sz w:val="22"/>
          <w:szCs w:val="22"/>
        </w:rPr>
        <w:t xml:space="preserve"> </w:t>
      </w:r>
      <w:r w:rsidR="00B9537A" w:rsidRPr="00B9537A">
        <w:rPr>
          <w:rFonts w:ascii="Calibri" w:eastAsia="Calibri" w:hAnsi="Calibri" w:cs="Calibri"/>
          <w:color w:val="000000"/>
          <w:sz w:val="22"/>
          <w:szCs w:val="22"/>
        </w:rPr>
        <w:t>Knížkem</w:t>
      </w:r>
      <w:r w:rsidRPr="00B9537A">
        <w:rPr>
          <w:rFonts w:ascii="Calibri" w:eastAsia="Calibri" w:hAnsi="Calibri" w:cs="Calibri"/>
          <w:color w:val="000000"/>
          <w:sz w:val="22"/>
          <w:szCs w:val="22"/>
        </w:rPr>
        <w:t xml:space="preserve">, vedoucím správy </w:t>
      </w:r>
      <w:r w:rsidR="00B9537A" w:rsidRPr="00B9537A">
        <w:rPr>
          <w:rFonts w:ascii="Calibri" w:eastAsia="Calibri" w:hAnsi="Calibri" w:cs="Calibri"/>
          <w:color w:val="000000"/>
          <w:sz w:val="22"/>
          <w:szCs w:val="22"/>
        </w:rPr>
        <w:t>zámku</w:t>
      </w:r>
      <w:r w:rsidRPr="00B9537A">
        <w:rPr>
          <w:rFonts w:ascii="Calibri" w:eastAsia="Calibri" w:hAnsi="Calibri" w:cs="Calibri"/>
          <w:color w:val="000000"/>
          <w:sz w:val="22"/>
          <w:szCs w:val="22"/>
        </w:rPr>
        <w:t xml:space="preserve"> H</w:t>
      </w:r>
      <w:r w:rsidR="00B9537A" w:rsidRPr="00B9537A">
        <w:rPr>
          <w:rFonts w:ascii="Calibri" w:eastAsia="Calibri" w:hAnsi="Calibri" w:cs="Calibri"/>
          <w:color w:val="000000"/>
          <w:sz w:val="22"/>
          <w:szCs w:val="22"/>
        </w:rPr>
        <w:t>ořovice</w:t>
      </w:r>
      <w:r w:rsidRPr="00B9537A">
        <w:rPr>
          <w:rFonts w:ascii="Calibri" w:eastAsia="Calibri" w:hAnsi="Calibri" w:cs="Calibri"/>
          <w:color w:val="000000"/>
          <w:sz w:val="22"/>
          <w:szCs w:val="22"/>
        </w:rPr>
        <w:t>,</w:t>
      </w:r>
    </w:p>
    <w:p w14:paraId="04795C39" w14:textId="2EBBA9CE" w:rsidR="00B1452C" w:rsidRDefault="0082023E">
      <w:pPr>
        <w:pBdr>
          <w:top w:val="nil"/>
          <w:left w:val="nil"/>
          <w:bottom w:val="nil"/>
          <w:right w:val="nil"/>
          <w:between w:val="nil"/>
        </w:pBdr>
        <w:rPr>
          <w:rFonts w:ascii="Calibri" w:eastAsia="Calibri" w:hAnsi="Calibri" w:cs="Calibri"/>
          <w:color w:val="000000"/>
          <w:sz w:val="22"/>
          <w:szCs w:val="22"/>
          <w:highlight w:val="lightGray"/>
        </w:rPr>
      </w:pPr>
      <w:r w:rsidRPr="00B9537A">
        <w:rPr>
          <w:rFonts w:ascii="Calibri" w:eastAsia="Calibri" w:hAnsi="Calibri" w:cs="Calibri"/>
          <w:color w:val="000000"/>
          <w:sz w:val="22"/>
          <w:szCs w:val="22"/>
        </w:rPr>
        <w:t xml:space="preserve">bankovní spojení: </w:t>
      </w:r>
      <w:r w:rsidR="00B66290">
        <w:rPr>
          <w:rFonts w:ascii="Calibri" w:eastAsia="Calibri" w:hAnsi="Calibri" w:cs="Calibri"/>
          <w:color w:val="000000"/>
          <w:sz w:val="22"/>
          <w:szCs w:val="22"/>
        </w:rPr>
        <w:t>XXXX</w:t>
      </w:r>
    </w:p>
    <w:p w14:paraId="3ED3AEE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59E9B699"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i/>
          <w:color w:val="000000"/>
          <w:sz w:val="22"/>
          <w:szCs w:val="22"/>
        </w:rPr>
        <w:t>Doručovací adresa:</w:t>
      </w:r>
    </w:p>
    <w:p w14:paraId="7158529C" w14:textId="77777777" w:rsidR="00EA00B3" w:rsidRPr="00EA00B3" w:rsidRDefault="00EA00B3" w:rsidP="00EA00B3">
      <w:pPr>
        <w:pBdr>
          <w:top w:val="nil"/>
          <w:left w:val="nil"/>
          <w:bottom w:val="nil"/>
          <w:right w:val="nil"/>
          <w:between w:val="nil"/>
        </w:pBdr>
        <w:rPr>
          <w:rFonts w:ascii="Calibri" w:eastAsia="Calibri" w:hAnsi="Calibri" w:cs="Calibri"/>
          <w:color w:val="000000"/>
          <w:sz w:val="22"/>
          <w:szCs w:val="22"/>
        </w:rPr>
      </w:pPr>
      <w:r w:rsidRPr="00EA00B3">
        <w:rPr>
          <w:rFonts w:ascii="Calibri" w:eastAsia="Calibri" w:hAnsi="Calibri" w:cs="Calibri"/>
          <w:color w:val="000000"/>
          <w:sz w:val="22"/>
          <w:szCs w:val="22"/>
        </w:rPr>
        <w:t>Národní památkový ústav, správa zámku Hořovice</w:t>
      </w:r>
    </w:p>
    <w:p w14:paraId="64661871" w14:textId="77777777" w:rsidR="00EA00B3" w:rsidRPr="00EA00B3" w:rsidRDefault="00EA00B3" w:rsidP="00EA00B3">
      <w:pPr>
        <w:pBdr>
          <w:top w:val="nil"/>
          <w:left w:val="nil"/>
          <w:bottom w:val="nil"/>
          <w:right w:val="nil"/>
          <w:between w:val="nil"/>
        </w:pBdr>
        <w:rPr>
          <w:rFonts w:ascii="Calibri" w:eastAsia="Calibri" w:hAnsi="Calibri" w:cs="Calibri"/>
          <w:color w:val="000000"/>
          <w:sz w:val="22"/>
          <w:szCs w:val="22"/>
        </w:rPr>
      </w:pPr>
      <w:r w:rsidRPr="00EA00B3">
        <w:rPr>
          <w:rFonts w:ascii="Calibri" w:eastAsia="Calibri" w:hAnsi="Calibri" w:cs="Calibri"/>
          <w:color w:val="000000"/>
          <w:sz w:val="22"/>
          <w:szCs w:val="22"/>
        </w:rPr>
        <w:t>adresa: Vrbnovská 22/2, 268 01 Hořovice,</w:t>
      </w:r>
    </w:p>
    <w:p w14:paraId="7B902863" w14:textId="7901A9BF" w:rsidR="00B1452C" w:rsidRDefault="00EA00B3" w:rsidP="00EA00B3">
      <w:pPr>
        <w:pBdr>
          <w:top w:val="nil"/>
          <w:left w:val="nil"/>
          <w:bottom w:val="nil"/>
          <w:right w:val="nil"/>
          <w:between w:val="nil"/>
        </w:pBdr>
        <w:rPr>
          <w:rFonts w:ascii="Calibri" w:eastAsia="Calibri" w:hAnsi="Calibri" w:cs="Calibri"/>
          <w:color w:val="000000"/>
          <w:sz w:val="22"/>
          <w:szCs w:val="22"/>
          <w:highlight w:val="lightGray"/>
        </w:rPr>
      </w:pPr>
      <w:r w:rsidRPr="00EA00B3">
        <w:rPr>
          <w:rFonts w:ascii="Calibri" w:eastAsia="Calibri" w:hAnsi="Calibri" w:cs="Calibri"/>
          <w:color w:val="000000"/>
          <w:sz w:val="22"/>
          <w:szCs w:val="22"/>
        </w:rPr>
        <w:t xml:space="preserve">tel.: </w:t>
      </w:r>
      <w:r w:rsidR="00B66290">
        <w:rPr>
          <w:rFonts w:ascii="Calibri" w:eastAsia="Calibri" w:hAnsi="Calibri" w:cs="Calibri"/>
          <w:color w:val="000000"/>
          <w:sz w:val="22"/>
          <w:szCs w:val="22"/>
        </w:rPr>
        <w:t>XXXX</w:t>
      </w:r>
    </w:p>
    <w:p w14:paraId="646A5D7E"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pronajímatel</w:t>
      </w:r>
      <w:r>
        <w:rPr>
          <w:rFonts w:ascii="Calibri" w:eastAsia="Calibri" w:hAnsi="Calibri" w:cs="Calibri"/>
          <w:color w:val="000000"/>
          <w:sz w:val="22"/>
          <w:szCs w:val="22"/>
        </w:rPr>
        <w:t>“)</w:t>
      </w:r>
    </w:p>
    <w:p w14:paraId="5F918A9B"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6D7F425C"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4621AC65"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14DF8AF7" w14:textId="66DCE7C9" w:rsidR="00B1452C" w:rsidRPr="00EA00B3" w:rsidRDefault="00EA00B3">
      <w:pPr>
        <w:pBdr>
          <w:top w:val="nil"/>
          <w:left w:val="nil"/>
          <w:bottom w:val="nil"/>
          <w:right w:val="nil"/>
          <w:between w:val="nil"/>
        </w:pBdr>
        <w:rPr>
          <w:rFonts w:ascii="Calibri" w:eastAsia="Calibri" w:hAnsi="Calibri" w:cs="Calibri"/>
          <w:b/>
          <w:color w:val="000000"/>
          <w:sz w:val="22"/>
          <w:szCs w:val="22"/>
          <w:highlight w:val="lightGray"/>
        </w:rPr>
      </w:pPr>
      <w:r w:rsidRPr="00EA00B3">
        <w:rPr>
          <w:rFonts w:ascii="Calibri" w:eastAsia="Calibri" w:hAnsi="Calibri" w:cs="Calibri"/>
          <w:b/>
          <w:color w:val="000000"/>
          <w:sz w:val="22"/>
          <w:szCs w:val="22"/>
        </w:rPr>
        <w:t>BONTAX s.r.o.</w:t>
      </w:r>
    </w:p>
    <w:p w14:paraId="5EE2EB43" w14:textId="7DA620A0" w:rsidR="00B1452C" w:rsidRDefault="00EA00B3">
      <w:pPr>
        <w:pBdr>
          <w:top w:val="nil"/>
          <w:left w:val="nil"/>
          <w:bottom w:val="nil"/>
          <w:right w:val="nil"/>
          <w:between w:val="nil"/>
        </w:pBdr>
        <w:rPr>
          <w:rFonts w:ascii="Calibri" w:eastAsia="Calibri" w:hAnsi="Calibri" w:cs="Calibri"/>
          <w:color w:val="000000"/>
          <w:sz w:val="22"/>
          <w:szCs w:val="22"/>
        </w:rPr>
      </w:pPr>
      <w:r w:rsidRPr="00EA00B3">
        <w:rPr>
          <w:rFonts w:ascii="Calibri" w:eastAsia="Calibri" w:hAnsi="Calibri" w:cs="Calibri"/>
          <w:color w:val="000000"/>
          <w:sz w:val="22"/>
          <w:szCs w:val="22"/>
        </w:rPr>
        <w:t>zapsaný v obchodní rejstříku vedeném u Městského soudu v Praze, C 50200</w:t>
      </w:r>
    </w:p>
    <w:p w14:paraId="6AA91D71" w14:textId="48B4565B" w:rsidR="00B41581" w:rsidRDefault="00B41581" w:rsidP="00B4158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IČO: </w:t>
      </w:r>
      <w:r w:rsidR="00EA00B3" w:rsidRPr="00EA00B3">
        <w:rPr>
          <w:rFonts w:ascii="Calibri" w:eastAsia="Calibri" w:hAnsi="Calibri" w:cs="Calibri"/>
          <w:color w:val="000000"/>
          <w:sz w:val="22"/>
          <w:szCs w:val="22"/>
        </w:rPr>
        <w:t>25107321, DIČ: CZ25107321,</w:t>
      </w:r>
    </w:p>
    <w:p w14:paraId="6011DD7C" w14:textId="77777777" w:rsidR="00EA00B3"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 sídlem: </w:t>
      </w:r>
      <w:r w:rsidR="00EA00B3" w:rsidRPr="00EA00B3">
        <w:rPr>
          <w:rFonts w:ascii="Calibri" w:eastAsia="Calibri" w:hAnsi="Calibri" w:cs="Calibri"/>
          <w:color w:val="000000"/>
          <w:sz w:val="22"/>
          <w:szCs w:val="22"/>
        </w:rPr>
        <w:t>Příčná 303, 267 42 Broumy,</w:t>
      </w:r>
    </w:p>
    <w:p w14:paraId="07D36281" w14:textId="729DDC26"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zastoupen: </w:t>
      </w:r>
      <w:r w:rsidR="00EA00B3" w:rsidRPr="00EA00B3">
        <w:rPr>
          <w:rFonts w:ascii="Calibri" w:eastAsia="Calibri" w:hAnsi="Calibri" w:cs="Calibri"/>
          <w:color w:val="000000"/>
          <w:sz w:val="22"/>
          <w:szCs w:val="22"/>
        </w:rPr>
        <w:t>Liborem Balašem, jednatelem</w:t>
      </w:r>
      <w:r w:rsidR="00EA00B3">
        <w:rPr>
          <w:rFonts w:ascii="Calibri" w:eastAsia="Calibri" w:hAnsi="Calibri" w:cs="Calibri"/>
          <w:color w:val="000000"/>
          <w:sz w:val="22"/>
          <w:szCs w:val="22"/>
        </w:rPr>
        <w:t>,</w:t>
      </w:r>
    </w:p>
    <w:p w14:paraId="5376B5E5"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nájemce</w:t>
      </w:r>
      <w:r>
        <w:rPr>
          <w:rFonts w:ascii="Calibri" w:eastAsia="Calibri" w:hAnsi="Calibri" w:cs="Calibri"/>
          <w:color w:val="000000"/>
          <w:sz w:val="22"/>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Úvodní ustanovení</w:t>
      </w:r>
    </w:p>
    <w:p w14:paraId="5DAA7B0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highlight w:val="darkGray"/>
        </w:rPr>
      </w:pPr>
      <w:bookmarkStart w:id="1" w:name="30j0zll" w:colFirst="0" w:colLast="0"/>
      <w:bookmarkEnd w:id="1"/>
      <w:r>
        <w:rPr>
          <w:rFonts w:ascii="Calibri" w:eastAsia="Calibri" w:hAnsi="Calibri" w:cs="Calibri"/>
          <w:color w:val="000000"/>
          <w:sz w:val="22"/>
          <w:szCs w:val="22"/>
        </w:rPr>
        <w:t>Pronajímatel je příslušný hospodařit s nemovitostí ve vlastnictví státu:</w:t>
      </w:r>
    </w:p>
    <w:p w14:paraId="703FA49F" w14:textId="2013F880" w:rsidR="00B1452C" w:rsidRDefault="00F469E7">
      <w:pPr>
        <w:pBdr>
          <w:top w:val="nil"/>
          <w:left w:val="nil"/>
          <w:bottom w:val="nil"/>
          <w:right w:val="nil"/>
          <w:between w:val="nil"/>
        </w:pBdr>
        <w:spacing w:after="60"/>
        <w:ind w:left="425" w:hanging="425"/>
        <w:jc w:val="both"/>
        <w:rPr>
          <w:rFonts w:ascii="Calibri" w:eastAsia="Calibri" w:hAnsi="Calibri" w:cs="Calibri"/>
          <w:color w:val="000000"/>
          <w:sz w:val="22"/>
          <w:szCs w:val="22"/>
          <w:highlight w:val="darkGray"/>
        </w:rPr>
      </w:pPr>
      <w:r w:rsidRPr="00F469E7">
        <w:rPr>
          <w:rFonts w:ascii="Calibri" w:eastAsia="Calibri" w:hAnsi="Calibri" w:cs="Calibri"/>
          <w:color w:val="000000"/>
          <w:sz w:val="22"/>
          <w:szCs w:val="22"/>
        </w:rPr>
        <w:t xml:space="preserve">zámek Hořovice, Vrbnovská 22/2, Hořovice, katastrální území Velká Víska </w:t>
      </w:r>
      <w:r w:rsidR="0082023E">
        <w:rPr>
          <w:rFonts w:ascii="Calibri" w:eastAsia="Calibri" w:hAnsi="Calibri" w:cs="Calibri"/>
          <w:color w:val="000000"/>
          <w:sz w:val="22"/>
          <w:szCs w:val="22"/>
        </w:rPr>
        <w:t>(dále jen „předmět nájmu“).</w:t>
      </w:r>
    </w:p>
    <w:p w14:paraId="549B4E1D" w14:textId="37F6A023"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konstatuje, že pronájmem předmětu nájmu bude dosaženo účelnějšího</w:t>
      </w:r>
      <w:r w:rsidR="00B50A7C">
        <w:rPr>
          <w:rFonts w:ascii="Calibri" w:eastAsia="Calibri" w:hAnsi="Calibri" w:cs="Calibri"/>
          <w:color w:val="000000"/>
          <w:sz w:val="22"/>
          <w:szCs w:val="22"/>
        </w:rPr>
        <w:t>,</w:t>
      </w:r>
      <w:r>
        <w:rPr>
          <w:rFonts w:ascii="Calibri" w:eastAsia="Calibri" w:hAnsi="Calibri" w:cs="Calibri"/>
          <w:color w:val="000000"/>
          <w:sz w:val="22"/>
          <w:szCs w:val="22"/>
        </w:rPr>
        <w:t xml:space="preserve"> nebo hospodárnějšího využití věci při zachování hlavního účelu, ke kterému pronajímateli slouží.</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Default="0082023E" w:rsidP="00B50A7C">
      <w:pPr>
        <w:numPr>
          <w:ilvl w:val="0"/>
          <w:numId w:val="10"/>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34AFB6A9" w14:textId="602C3EBB" w:rsidR="00B50A7C" w:rsidRPr="00B50A7C" w:rsidRDefault="00B50A7C" w:rsidP="00B50A7C">
      <w:pPr>
        <w:pStyle w:val="Odstavecseseznamem"/>
        <w:numPr>
          <w:ilvl w:val="0"/>
          <w:numId w:val="10"/>
        </w:numPr>
        <w:pBdr>
          <w:top w:val="nil"/>
          <w:left w:val="nil"/>
          <w:bottom w:val="nil"/>
          <w:right w:val="nil"/>
          <w:between w:val="nil"/>
        </w:pBdr>
        <w:jc w:val="both"/>
        <w:rPr>
          <w:rFonts w:ascii="Calibri" w:eastAsia="Calibri" w:hAnsi="Calibri" w:cs="Calibri"/>
          <w:color w:val="000000"/>
          <w:sz w:val="22"/>
          <w:szCs w:val="22"/>
        </w:rPr>
      </w:pPr>
      <w:bookmarkStart w:id="2" w:name="1fob9te" w:colFirst="0" w:colLast="0"/>
      <w:bookmarkEnd w:id="2"/>
      <w:r w:rsidRPr="00B50A7C">
        <w:rPr>
          <w:rFonts w:ascii="Calibri" w:eastAsia="Calibri" w:hAnsi="Calibri" w:cs="Calibri"/>
          <w:color w:val="000000"/>
          <w:sz w:val="22"/>
          <w:szCs w:val="22"/>
        </w:rPr>
        <w:t xml:space="preserve">Předmětem nájmu jsou dvě místnosti o celkové podlahové ploše </w:t>
      </w:r>
      <w:r w:rsidRPr="00EF7F15">
        <w:rPr>
          <w:rFonts w:ascii="Calibri" w:eastAsia="Calibri" w:hAnsi="Calibri" w:cs="Calibri"/>
          <w:b/>
          <w:color w:val="000000"/>
          <w:sz w:val="22"/>
          <w:szCs w:val="22"/>
        </w:rPr>
        <w:t>45,6 m2</w:t>
      </w:r>
      <w:r w:rsidRPr="00B50A7C">
        <w:rPr>
          <w:rFonts w:ascii="Calibri" w:eastAsia="Calibri" w:hAnsi="Calibri" w:cs="Calibri"/>
          <w:color w:val="000000"/>
          <w:sz w:val="22"/>
          <w:szCs w:val="22"/>
        </w:rPr>
        <w:t xml:space="preserve"> nacházející se v přízemí západního křídla hlavní zámecké budovy s právem používání bočního vchodu jako přístupu do budovy.</w:t>
      </w:r>
    </w:p>
    <w:p w14:paraId="18514361" w14:textId="27A3C090" w:rsidR="00B1452C" w:rsidRPr="00B50A7C" w:rsidRDefault="00B1452C" w:rsidP="00B50A7C">
      <w:pPr>
        <w:pBdr>
          <w:top w:val="nil"/>
          <w:left w:val="nil"/>
          <w:bottom w:val="nil"/>
          <w:right w:val="nil"/>
          <w:between w:val="nil"/>
        </w:pBdr>
        <w:ind w:left="720"/>
        <w:jc w:val="both"/>
        <w:rPr>
          <w:rFonts w:ascii="Calibri" w:eastAsia="Calibri" w:hAnsi="Calibri" w:cs="Calibri"/>
          <w:color w:val="000000"/>
          <w:sz w:val="22"/>
          <w:szCs w:val="22"/>
        </w:rPr>
      </w:pPr>
    </w:p>
    <w:p w14:paraId="0092A241" w14:textId="77777777" w:rsidR="00B1452C" w:rsidRDefault="00B1452C">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Účel nájmu</w:t>
      </w:r>
    </w:p>
    <w:p w14:paraId="59DDE159" w14:textId="66E12C4D"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Předmět nájmu bude užíván výlučně za účelem provozování podnikatelské činnosti spočívající v</w:t>
      </w:r>
      <w:r w:rsidR="00B50A7C" w:rsidRPr="00B50A7C">
        <w:rPr>
          <w:rFonts w:ascii="Calibri" w:eastAsia="Calibri" w:hAnsi="Calibri" w:cs="Calibri"/>
          <w:color w:val="000000"/>
          <w:sz w:val="22"/>
          <w:szCs w:val="22"/>
        </w:rPr>
        <w:t xml:space="preserve"> provozu </w:t>
      </w:r>
      <w:r w:rsidR="00B50A7C" w:rsidRPr="00EF7F15">
        <w:rPr>
          <w:rFonts w:ascii="Calibri" w:eastAsia="Calibri" w:hAnsi="Calibri" w:cs="Calibri"/>
          <w:b/>
          <w:color w:val="000000"/>
          <w:sz w:val="22"/>
          <w:szCs w:val="22"/>
        </w:rPr>
        <w:t>kanceláře účetních poradců</w:t>
      </w:r>
      <w:r w:rsidRPr="00EF7F15">
        <w:rPr>
          <w:rFonts w:ascii="Calibri" w:eastAsia="Calibri" w:hAnsi="Calibri" w:cs="Calibri"/>
          <w:i/>
          <w:color w:val="000000"/>
          <w:sz w:val="22"/>
          <w:szCs w:val="22"/>
        </w:rPr>
        <w:t>.</w:t>
      </w:r>
      <w:r>
        <w:rPr>
          <w:rFonts w:ascii="Calibri" w:eastAsia="Calibri" w:hAnsi="Calibri" w:cs="Calibri"/>
          <w:i/>
          <w:color w:val="000000"/>
          <w:sz w:val="22"/>
          <w:szCs w:val="22"/>
        </w:rPr>
        <w:t xml:space="preserve"> </w:t>
      </w:r>
    </w:p>
    <w:p w14:paraId="301AE904"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highlight w:val="lightGray"/>
        </w:rPr>
      </w:pPr>
      <w:r>
        <w:rPr>
          <w:rFonts w:ascii="Calibri" w:eastAsia="Calibri" w:hAnsi="Calibri" w:cs="Calibri"/>
          <w:color w:val="000000"/>
          <w:sz w:val="22"/>
          <w:szCs w:val="22"/>
        </w:rPr>
        <w:t xml:space="preserve">Za porušení povinnosti uvedené v odst. 1 tohoto článku, je nájemce povinen zaplatit smluvní pokutu </w:t>
      </w:r>
      <w:r w:rsidRPr="00B50A7C">
        <w:rPr>
          <w:rFonts w:ascii="Calibri" w:eastAsia="Calibri" w:hAnsi="Calibri" w:cs="Calibri"/>
          <w:color w:val="000000"/>
          <w:sz w:val="22"/>
          <w:szCs w:val="22"/>
        </w:rPr>
        <w:t xml:space="preserve">ve výši </w:t>
      </w:r>
      <w:r w:rsidRPr="00EF7F15">
        <w:rPr>
          <w:rFonts w:ascii="Calibri" w:eastAsia="Calibri" w:hAnsi="Calibri" w:cs="Calibri"/>
          <w:color w:val="000000"/>
          <w:sz w:val="22"/>
          <w:szCs w:val="22"/>
        </w:rPr>
        <w:t>10 000 Kč</w:t>
      </w:r>
      <w:r>
        <w:rPr>
          <w:rFonts w:ascii="Calibri" w:eastAsia="Calibri" w:hAnsi="Calibri" w:cs="Calibri"/>
          <w:color w:val="000000"/>
          <w:sz w:val="22"/>
          <w:szCs w:val="22"/>
        </w:rPr>
        <w:t xml:space="preserve"> za každý takovýto případ.</w:t>
      </w:r>
    </w:p>
    <w:p w14:paraId="1369F9C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01B764DC" w14:textId="77777777" w:rsidR="00B1452C" w:rsidRDefault="0082023E" w:rsidP="00EF7F15">
      <w:pPr>
        <w:widowControl w:val="0"/>
        <w:pBdr>
          <w:top w:val="nil"/>
          <w:left w:val="nil"/>
          <w:bottom w:val="nil"/>
          <w:right w:val="nil"/>
          <w:between w:val="nil"/>
        </w:pBdr>
        <w:spacing w:after="60"/>
        <w:ind w:firstLine="425"/>
        <w:rPr>
          <w:rFonts w:ascii="Calibri" w:eastAsia="Calibri" w:hAnsi="Calibri" w:cs="Calibri"/>
          <w:color w:val="000000"/>
          <w:sz w:val="22"/>
          <w:szCs w:val="22"/>
        </w:rPr>
      </w:pPr>
      <w:r w:rsidRPr="009E2BF4">
        <w:rPr>
          <w:rFonts w:ascii="Calibri" w:eastAsia="Calibri" w:hAnsi="Calibri" w:cs="Calibri"/>
          <w:color w:val="000000"/>
          <w:sz w:val="22"/>
          <w:szCs w:val="22"/>
        </w:rPr>
        <w:t>Nájemné za jeden kalendářní měsíc</w:t>
      </w:r>
      <w:r>
        <w:rPr>
          <w:rFonts w:ascii="Calibri" w:eastAsia="Calibri" w:hAnsi="Calibri" w:cs="Calibri"/>
          <w:color w:val="000000"/>
          <w:sz w:val="22"/>
          <w:szCs w:val="22"/>
        </w:rPr>
        <w:t xml:space="preserve"> nájmu činí</w:t>
      </w:r>
    </w:p>
    <w:p w14:paraId="59886FA0" w14:textId="73C26FF4" w:rsidR="004150FE" w:rsidRPr="009E2BF4" w:rsidRDefault="009E2BF4" w:rsidP="00EF7F15">
      <w:pPr>
        <w:widowControl w:val="0"/>
        <w:pBdr>
          <w:top w:val="nil"/>
          <w:left w:val="nil"/>
          <w:bottom w:val="nil"/>
          <w:right w:val="nil"/>
          <w:between w:val="nil"/>
        </w:pBdr>
        <w:spacing w:after="60"/>
        <w:ind w:firstLine="425"/>
        <w:rPr>
          <w:rFonts w:ascii="Calibri" w:eastAsia="Calibri" w:hAnsi="Calibri" w:cs="Calibri"/>
          <w:b/>
          <w:color w:val="000000"/>
          <w:sz w:val="22"/>
          <w:szCs w:val="22"/>
        </w:rPr>
      </w:pPr>
      <w:r w:rsidRPr="009E2BF4">
        <w:rPr>
          <w:rFonts w:ascii="Calibri" w:eastAsia="Calibri" w:hAnsi="Calibri" w:cs="Calibri"/>
          <w:b/>
          <w:color w:val="000000"/>
          <w:sz w:val="22"/>
          <w:szCs w:val="22"/>
        </w:rPr>
        <w:t>celkem 5 563</w:t>
      </w:r>
      <w:r w:rsidR="0082023E" w:rsidRPr="009E2BF4">
        <w:rPr>
          <w:rFonts w:ascii="Calibri" w:eastAsia="Calibri" w:hAnsi="Calibri" w:cs="Calibri"/>
          <w:b/>
          <w:color w:val="000000"/>
          <w:sz w:val="22"/>
          <w:szCs w:val="22"/>
        </w:rPr>
        <w:t xml:space="preserve">,-Kč </w:t>
      </w:r>
      <w:r w:rsidRPr="009E2BF4">
        <w:rPr>
          <w:rFonts w:ascii="Calibri" w:eastAsia="Calibri" w:hAnsi="Calibri" w:cs="Calibri"/>
          <w:b/>
          <w:color w:val="000000"/>
          <w:sz w:val="22"/>
          <w:szCs w:val="22"/>
        </w:rPr>
        <w:t>(</w:t>
      </w:r>
      <w:r w:rsidR="0082023E" w:rsidRPr="009E2BF4">
        <w:rPr>
          <w:rFonts w:ascii="Calibri" w:eastAsia="Calibri" w:hAnsi="Calibri" w:cs="Calibri"/>
          <w:b/>
          <w:color w:val="000000"/>
          <w:sz w:val="22"/>
          <w:szCs w:val="22"/>
        </w:rPr>
        <w:t>osvobozen</w:t>
      </w:r>
      <w:r w:rsidRPr="009E2BF4">
        <w:rPr>
          <w:rFonts w:ascii="Calibri" w:eastAsia="Calibri" w:hAnsi="Calibri" w:cs="Calibri"/>
          <w:b/>
          <w:color w:val="000000"/>
          <w:sz w:val="22"/>
          <w:szCs w:val="22"/>
        </w:rPr>
        <w:t>o od DPH</w:t>
      </w:r>
      <w:r w:rsidR="0082023E" w:rsidRPr="009E2BF4">
        <w:rPr>
          <w:rFonts w:ascii="Calibri" w:eastAsia="Calibri" w:hAnsi="Calibri" w:cs="Calibri"/>
          <w:b/>
          <w:color w:val="000000"/>
          <w:sz w:val="22"/>
          <w:szCs w:val="22"/>
        </w:rPr>
        <w:t>),</w:t>
      </w:r>
      <w:r w:rsidRPr="009E2BF4">
        <w:rPr>
          <w:rFonts w:ascii="Calibri" w:eastAsia="Calibri" w:hAnsi="Calibri" w:cs="Calibri"/>
          <w:b/>
          <w:color w:val="000000"/>
          <w:sz w:val="22"/>
          <w:szCs w:val="22"/>
        </w:rPr>
        <w:t xml:space="preserve"> slovy: pět tisíc pět set šedesát tři korun českých</w:t>
      </w:r>
    </w:p>
    <w:p w14:paraId="2D627212" w14:textId="239E9665" w:rsidR="00B1452C" w:rsidRPr="00EF7F15" w:rsidRDefault="0082023E" w:rsidP="00EF7F15">
      <w:pPr>
        <w:widowControl w:val="0"/>
        <w:pBdr>
          <w:top w:val="nil"/>
          <w:left w:val="nil"/>
          <w:bottom w:val="nil"/>
          <w:right w:val="nil"/>
          <w:between w:val="nil"/>
        </w:pBdr>
        <w:spacing w:after="60"/>
        <w:ind w:left="425"/>
        <w:jc w:val="both"/>
        <w:rPr>
          <w:rFonts w:ascii="Calibri" w:eastAsia="Calibri" w:hAnsi="Calibri" w:cs="Calibri"/>
          <w:color w:val="000000"/>
          <w:sz w:val="22"/>
          <w:szCs w:val="22"/>
        </w:rPr>
      </w:pPr>
      <w:r w:rsidRPr="00EF7F15">
        <w:rPr>
          <w:rFonts w:ascii="Calibri" w:eastAsia="Calibri" w:hAnsi="Calibri" w:cs="Calibri"/>
          <w:color w:val="000000"/>
          <w:sz w:val="22"/>
          <w:szCs w:val="22"/>
        </w:rPr>
        <w:t xml:space="preserve">Celková výše platby uvedená v předchozím odstavci za jeden kalendářní měsíc činí </w:t>
      </w:r>
      <w:r w:rsidR="009E2BF4" w:rsidRPr="00EF7F15">
        <w:rPr>
          <w:rFonts w:ascii="Calibri" w:eastAsia="Calibri" w:hAnsi="Calibri" w:cs="Calibri"/>
          <w:b/>
          <w:color w:val="000000"/>
          <w:sz w:val="22"/>
          <w:szCs w:val="22"/>
        </w:rPr>
        <w:t>5 563</w:t>
      </w:r>
      <w:r w:rsidRPr="00EF7F15">
        <w:rPr>
          <w:rFonts w:ascii="Calibri" w:eastAsia="Calibri" w:hAnsi="Calibri" w:cs="Calibri"/>
          <w:b/>
          <w:color w:val="000000"/>
          <w:sz w:val="22"/>
          <w:szCs w:val="22"/>
        </w:rPr>
        <w:t xml:space="preserve"> Kč</w:t>
      </w:r>
      <w:r w:rsidRPr="00EF7F15">
        <w:rPr>
          <w:rFonts w:ascii="Calibri" w:eastAsia="Calibri" w:hAnsi="Calibri" w:cs="Calibri"/>
          <w:color w:val="000000"/>
          <w:sz w:val="22"/>
          <w:szCs w:val="22"/>
        </w:rPr>
        <w:t>. Nájem nemovité věci trvající nepřetržitě více než 48 hodin je plnění osvobozené od DPH podle § 56a zákona č. 235/2004 Sb., o dani z přidané hodnoty, ve znění pozdějších předpisů, to neplatí pro pronájem prostor a míst k parkování vozidel.</w:t>
      </w:r>
    </w:p>
    <w:p w14:paraId="34BED76F" w14:textId="24E79071" w:rsidR="00B1452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highlight w:val="lightGray"/>
        </w:rPr>
      </w:pPr>
      <w:r w:rsidRPr="009E2BF4">
        <w:rPr>
          <w:rFonts w:ascii="Calibri" w:eastAsia="Calibri" w:hAnsi="Calibri" w:cs="Calibri"/>
          <w:color w:val="000000"/>
          <w:sz w:val="22"/>
          <w:szCs w:val="22"/>
        </w:rPr>
        <w:t xml:space="preserve">Nájemné je splatné na základě daňového dokladu-faktury vystavené pronajímatelem vždy k prvnímu dni příslušného měsíce se splatností 21 dnů ode dne vystavení. </w:t>
      </w:r>
      <w:r>
        <w:rPr>
          <w:rFonts w:ascii="Calibri" w:eastAsia="Calibri" w:hAnsi="Calibri" w:cs="Calibri"/>
          <w:color w:val="000000"/>
          <w:sz w:val="22"/>
          <w:szCs w:val="22"/>
        </w:rPr>
        <w:t>Faktura může být vyhotovena v elektronické podobě a zaslána elektronicky.</w:t>
      </w:r>
    </w:p>
    <w:p w14:paraId="185B8E53" w14:textId="480E2ADA" w:rsidR="00B1452C"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highlight w:val="lightGray"/>
        </w:rPr>
      </w:pPr>
      <w:r w:rsidRPr="009E2BF4">
        <w:rPr>
          <w:rFonts w:ascii="Calibri" w:eastAsia="Calibri" w:hAnsi="Calibri" w:cs="Calibri"/>
          <w:color w:val="000000"/>
          <w:sz w:val="22"/>
          <w:szCs w:val="22"/>
        </w:rPr>
        <w:t xml:space="preserve">Pronajímatel je dle svého uvážení a aktuální situace na trhu oprávněn </w:t>
      </w:r>
      <w:r w:rsidR="004150FE" w:rsidRPr="009E2BF4">
        <w:rPr>
          <w:rFonts w:ascii="Calibri" w:eastAsia="Calibri" w:hAnsi="Calibri" w:cs="Calibri"/>
          <w:color w:val="000000"/>
          <w:sz w:val="22"/>
          <w:szCs w:val="22"/>
        </w:rPr>
        <w:t>n</w:t>
      </w:r>
      <w:r w:rsidRPr="009E2BF4">
        <w:rPr>
          <w:rFonts w:ascii="Calibri" w:eastAsia="Calibri" w:hAnsi="Calibri" w:cs="Calibri"/>
          <w:color w:val="000000"/>
          <w:sz w:val="22"/>
          <w:szCs w:val="22"/>
        </w:rPr>
        <w:t>ájemné počínaje rokem ……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do 31. března příslušného roku. Nepřesáhne-li na základě této inflační doložky roční zvýšení nájemného částku 200,- Kč, zvýšení nájemného se neuplatní. Nezaplacené nájemné z důvodu zvýšení nájemného za příslušné měsíce je splatné spolu s nejbližším nájemným následujícím po doručení písemného oznámení pronajímatele v každém takovém roce. V případě záporné inflace se výše nájemné pro daný rok neupravuje. Výsledná výše nájemného se vždy zaokrouhlí na desetikoruny směrem nahoru</w:t>
      </w:r>
      <w:r w:rsidRPr="009E2BF4">
        <w:rPr>
          <w:rFonts w:ascii="Calibri" w:eastAsia="Calibri" w:hAnsi="Calibri" w:cs="Calibri"/>
          <w:i/>
          <w:color w:val="000000"/>
          <w:sz w:val="22"/>
          <w:szCs w:val="22"/>
        </w:rPr>
        <w:t>.</w:t>
      </w:r>
      <w:r>
        <w:rPr>
          <w:rFonts w:ascii="Calibri" w:eastAsia="Calibri" w:hAnsi="Calibri" w:cs="Calibri"/>
          <w:color w:val="000000"/>
          <w:sz w:val="22"/>
          <w:szCs w:val="22"/>
        </w:rPr>
        <w:t xml:space="preserve"> Zvýšení nájemného pronajímatel nájemci oznámí bez nutnosti uzavírat dodatek k této smlouvě, strany spolu mohou uzavřít dodatek s deklaratorními účinky.</w:t>
      </w:r>
    </w:p>
    <w:p w14:paraId="0B6FC732" w14:textId="18880C30"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9E2BF4">
        <w:rPr>
          <w:rFonts w:ascii="Calibri" w:eastAsia="Calibri" w:hAnsi="Calibri" w:cs="Calibri"/>
          <w:color w:val="000000"/>
          <w:sz w:val="22"/>
          <w:szCs w:val="22"/>
        </w:rPr>
        <w:t>0,25</w:t>
      </w:r>
      <w:r w:rsidRPr="009E2BF4">
        <w:rPr>
          <w:rFonts w:ascii="Calibri" w:eastAsia="Calibri" w:hAnsi="Calibri" w:cs="Calibri"/>
          <w:color w:val="000000"/>
          <w:sz w:val="22"/>
          <w:szCs w:val="22"/>
        </w:rPr>
        <w:t xml:space="preserve"> % z dlužné částky včetně DPH</w:t>
      </w:r>
      <w:r>
        <w:rPr>
          <w:rFonts w:ascii="Calibri" w:eastAsia="Calibri" w:hAnsi="Calibri" w:cs="Calibri"/>
          <w:color w:val="000000"/>
          <w:sz w:val="22"/>
          <w:szCs w:val="22"/>
        </w:rPr>
        <w:t xml:space="preserve"> za každý započatý den prodlení.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61D9A411"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75780733" w14:textId="54825416" w:rsidR="009E2BF4" w:rsidRDefault="009E2BF4">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teplo</w:t>
      </w:r>
    </w:p>
    <w:p w14:paraId="6FF859B1" w14:textId="25A26C4E" w:rsidR="00B1452C" w:rsidRDefault="0082023E" w:rsidP="009E2BF4">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2595D41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3" w:name="3znysh7" w:colFirst="0" w:colLast="0"/>
      <w:bookmarkEnd w:id="3"/>
      <w:r>
        <w:rPr>
          <w:rFonts w:ascii="Calibri" w:eastAsia="Calibri" w:hAnsi="Calibri" w:cs="Calibri"/>
          <w:color w:val="000000"/>
          <w:sz w:val="22"/>
          <w:szCs w:val="22"/>
        </w:rPr>
        <w:t>Způsob vyúčtování těchto služeb:</w:t>
      </w:r>
    </w:p>
    <w:p w14:paraId="7FF62256" w14:textId="3EDE30CC"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el. energie </w:t>
      </w:r>
      <w:r w:rsidR="009E2BF4">
        <w:rPr>
          <w:rFonts w:ascii="Calibri" w:eastAsia="Calibri" w:hAnsi="Calibri" w:cs="Calibri"/>
          <w:color w:val="000000"/>
          <w:sz w:val="22"/>
          <w:szCs w:val="22"/>
        </w:rPr>
        <w:t>–</w:t>
      </w:r>
      <w:r>
        <w:rPr>
          <w:rFonts w:ascii="Calibri" w:eastAsia="Calibri" w:hAnsi="Calibri" w:cs="Calibri"/>
          <w:color w:val="000000"/>
          <w:sz w:val="22"/>
          <w:szCs w:val="22"/>
        </w:rPr>
        <w:t xml:space="preserve"> paušál</w:t>
      </w:r>
    </w:p>
    <w:p w14:paraId="3A5D2D36" w14:textId="60A5A9A1" w:rsidR="009E2BF4" w:rsidRDefault="009E2BF4">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teplo - paušál</w:t>
      </w:r>
      <w:proofErr w:type="gramEnd"/>
    </w:p>
    <w:p w14:paraId="56674932" w14:textId="584E85C3" w:rsidR="00B1452C" w:rsidRDefault="0082023E" w:rsidP="009E2BF4">
      <w:pPr>
        <w:pBdr>
          <w:top w:val="nil"/>
          <w:left w:val="nil"/>
          <w:bottom w:val="nil"/>
          <w:right w:val="nil"/>
          <w:between w:val="nil"/>
        </w:pBdr>
        <w:ind w:firstLine="708"/>
        <w:rPr>
          <w:rFonts w:ascii="Calibri" w:eastAsia="Calibri" w:hAnsi="Calibri" w:cs="Calibri"/>
          <w:color w:val="000000"/>
          <w:sz w:val="22"/>
          <w:szCs w:val="22"/>
        </w:rPr>
      </w:pPr>
      <w:proofErr w:type="gramStart"/>
      <w:r>
        <w:rPr>
          <w:rFonts w:ascii="Calibri" w:eastAsia="Calibri" w:hAnsi="Calibri" w:cs="Calibri"/>
          <w:color w:val="000000"/>
          <w:sz w:val="22"/>
          <w:szCs w:val="22"/>
        </w:rPr>
        <w:t>voda - paušál</w:t>
      </w:r>
      <w:proofErr w:type="gramEnd"/>
    </w:p>
    <w:p w14:paraId="536FE03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4" w:name="2et92p0" w:colFirst="0" w:colLast="0"/>
      <w:bookmarkEnd w:id="4"/>
      <w:r>
        <w:rPr>
          <w:rFonts w:ascii="Calibri" w:eastAsia="Calibri" w:hAnsi="Calibri" w:cs="Calibri"/>
          <w:color w:val="000000"/>
          <w:sz w:val="22"/>
          <w:szCs w:val="22"/>
        </w:rPr>
        <w:t xml:space="preserve">Cena služeb: </w:t>
      </w:r>
    </w:p>
    <w:p w14:paraId="4E022742" w14:textId="77777777" w:rsidR="009E2BF4" w:rsidRPr="009E2BF4" w:rsidRDefault="009E2BF4" w:rsidP="009E2BF4">
      <w:pPr>
        <w:pBdr>
          <w:top w:val="nil"/>
          <w:left w:val="nil"/>
          <w:bottom w:val="nil"/>
          <w:right w:val="nil"/>
          <w:between w:val="nil"/>
        </w:pBdr>
        <w:ind w:firstLine="708"/>
        <w:rPr>
          <w:rFonts w:ascii="Calibri" w:eastAsia="Calibri" w:hAnsi="Calibri" w:cs="Calibri"/>
          <w:color w:val="000000"/>
          <w:sz w:val="22"/>
          <w:szCs w:val="22"/>
        </w:rPr>
      </w:pPr>
      <w:r w:rsidRPr="009E2BF4">
        <w:rPr>
          <w:rFonts w:ascii="Calibri" w:eastAsia="Calibri" w:hAnsi="Calibri" w:cs="Calibri"/>
          <w:color w:val="000000"/>
          <w:sz w:val="22"/>
          <w:szCs w:val="22"/>
        </w:rPr>
        <w:t xml:space="preserve">el. energie – paušál 397 Kč bez DPH + </w:t>
      </w:r>
      <w:proofErr w:type="gramStart"/>
      <w:r w:rsidRPr="009E2BF4">
        <w:rPr>
          <w:rFonts w:ascii="Calibri" w:eastAsia="Calibri" w:hAnsi="Calibri" w:cs="Calibri"/>
          <w:color w:val="000000"/>
          <w:sz w:val="22"/>
          <w:szCs w:val="22"/>
        </w:rPr>
        <w:t>21%</w:t>
      </w:r>
      <w:proofErr w:type="gramEnd"/>
      <w:r w:rsidRPr="009E2BF4">
        <w:rPr>
          <w:rFonts w:ascii="Calibri" w:eastAsia="Calibri" w:hAnsi="Calibri" w:cs="Calibri"/>
          <w:color w:val="000000"/>
          <w:sz w:val="22"/>
          <w:szCs w:val="22"/>
        </w:rPr>
        <w:t xml:space="preserve"> DPH 83,40 Kč, </w:t>
      </w:r>
      <w:r w:rsidRPr="009E2BF4">
        <w:rPr>
          <w:rFonts w:ascii="Calibri" w:eastAsia="Calibri" w:hAnsi="Calibri" w:cs="Calibri"/>
          <w:b/>
          <w:color w:val="000000"/>
          <w:sz w:val="22"/>
          <w:szCs w:val="22"/>
        </w:rPr>
        <w:t>481 Kč s DPH</w:t>
      </w:r>
    </w:p>
    <w:p w14:paraId="43A8E704" w14:textId="77777777" w:rsidR="009E2BF4" w:rsidRPr="009E2BF4" w:rsidRDefault="009E2BF4" w:rsidP="009E2BF4">
      <w:pPr>
        <w:pBdr>
          <w:top w:val="nil"/>
          <w:left w:val="nil"/>
          <w:bottom w:val="nil"/>
          <w:right w:val="nil"/>
          <w:between w:val="nil"/>
        </w:pBdr>
        <w:ind w:firstLine="708"/>
        <w:rPr>
          <w:rFonts w:ascii="Calibri" w:eastAsia="Calibri" w:hAnsi="Calibri" w:cs="Calibri"/>
          <w:color w:val="000000"/>
          <w:sz w:val="22"/>
          <w:szCs w:val="22"/>
        </w:rPr>
      </w:pPr>
      <w:r w:rsidRPr="009E2BF4">
        <w:rPr>
          <w:rFonts w:ascii="Calibri" w:eastAsia="Calibri" w:hAnsi="Calibri" w:cs="Calibri"/>
          <w:color w:val="000000"/>
          <w:sz w:val="22"/>
          <w:szCs w:val="22"/>
        </w:rPr>
        <w:t xml:space="preserve">teplo – paušál 1 810 Kč bez DPH + </w:t>
      </w:r>
      <w:proofErr w:type="gramStart"/>
      <w:r w:rsidRPr="009E2BF4">
        <w:rPr>
          <w:rFonts w:ascii="Calibri" w:eastAsia="Calibri" w:hAnsi="Calibri" w:cs="Calibri"/>
          <w:color w:val="000000"/>
          <w:sz w:val="22"/>
          <w:szCs w:val="22"/>
        </w:rPr>
        <w:t>10%</w:t>
      </w:r>
      <w:proofErr w:type="gramEnd"/>
      <w:r w:rsidRPr="009E2BF4">
        <w:rPr>
          <w:rFonts w:ascii="Calibri" w:eastAsia="Calibri" w:hAnsi="Calibri" w:cs="Calibri"/>
          <w:color w:val="000000"/>
          <w:sz w:val="22"/>
          <w:szCs w:val="22"/>
        </w:rPr>
        <w:t xml:space="preserve"> DPH 181 Kč, </w:t>
      </w:r>
      <w:r w:rsidRPr="009E2BF4">
        <w:rPr>
          <w:rFonts w:ascii="Calibri" w:eastAsia="Calibri" w:hAnsi="Calibri" w:cs="Calibri"/>
          <w:b/>
          <w:color w:val="000000"/>
          <w:sz w:val="22"/>
          <w:szCs w:val="22"/>
        </w:rPr>
        <w:t>1 991 Kč s DPH</w:t>
      </w:r>
    </w:p>
    <w:p w14:paraId="1DA9CD57" w14:textId="41B36EB4" w:rsidR="00B1452C" w:rsidRDefault="009E2BF4" w:rsidP="009E2BF4">
      <w:pPr>
        <w:pBdr>
          <w:top w:val="nil"/>
          <w:left w:val="nil"/>
          <w:bottom w:val="nil"/>
          <w:right w:val="nil"/>
          <w:between w:val="nil"/>
        </w:pBdr>
        <w:ind w:firstLine="708"/>
        <w:rPr>
          <w:rFonts w:ascii="Calibri" w:eastAsia="Calibri" w:hAnsi="Calibri" w:cs="Calibri"/>
          <w:color w:val="000000"/>
          <w:sz w:val="22"/>
          <w:szCs w:val="22"/>
        </w:rPr>
      </w:pPr>
      <w:r w:rsidRPr="009E2BF4">
        <w:rPr>
          <w:rFonts w:ascii="Calibri" w:eastAsia="Calibri" w:hAnsi="Calibri" w:cs="Calibri"/>
          <w:color w:val="000000"/>
          <w:sz w:val="22"/>
          <w:szCs w:val="22"/>
        </w:rPr>
        <w:t xml:space="preserve">voda – paušál 283 Kč bez DPH + </w:t>
      </w:r>
      <w:proofErr w:type="gramStart"/>
      <w:r w:rsidRPr="009E2BF4">
        <w:rPr>
          <w:rFonts w:ascii="Calibri" w:eastAsia="Calibri" w:hAnsi="Calibri" w:cs="Calibri"/>
          <w:color w:val="000000"/>
          <w:sz w:val="22"/>
          <w:szCs w:val="22"/>
        </w:rPr>
        <w:t>10%</w:t>
      </w:r>
      <w:proofErr w:type="gramEnd"/>
      <w:r w:rsidRPr="009E2BF4">
        <w:rPr>
          <w:rFonts w:ascii="Calibri" w:eastAsia="Calibri" w:hAnsi="Calibri" w:cs="Calibri"/>
          <w:color w:val="000000"/>
          <w:sz w:val="22"/>
          <w:szCs w:val="22"/>
        </w:rPr>
        <w:t xml:space="preserve"> DPH 28,30, </w:t>
      </w:r>
      <w:r w:rsidRPr="009E2BF4">
        <w:rPr>
          <w:rFonts w:ascii="Calibri" w:eastAsia="Calibri" w:hAnsi="Calibri" w:cs="Calibri"/>
          <w:b/>
          <w:color w:val="000000"/>
          <w:sz w:val="22"/>
          <w:szCs w:val="22"/>
        </w:rPr>
        <w:t>312 Kč s DPH</w:t>
      </w:r>
    </w:p>
    <w:p w14:paraId="16375062" w14:textId="77777777" w:rsidR="00B1452C" w:rsidRDefault="00B1452C">
      <w:pPr>
        <w:pBdr>
          <w:top w:val="nil"/>
          <w:left w:val="nil"/>
          <w:bottom w:val="nil"/>
          <w:right w:val="nil"/>
          <w:between w:val="nil"/>
        </w:pBdr>
        <w:rPr>
          <w:rFonts w:ascii="Calibri" w:eastAsia="Calibri" w:hAnsi="Calibri" w:cs="Calibri"/>
          <w:color w:val="000000"/>
          <w:sz w:val="22"/>
          <w:szCs w:val="22"/>
        </w:rPr>
      </w:pPr>
      <w:bookmarkStart w:id="5" w:name="tyjcwt" w:colFirst="0" w:colLast="0"/>
      <w:bookmarkEnd w:id="5"/>
    </w:p>
    <w:p w14:paraId="631387E8" w14:textId="6D9495D1"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Ceny služeb: </w:t>
      </w:r>
      <w:r w:rsidR="00C00BC4">
        <w:rPr>
          <w:rFonts w:ascii="Calibri" w:eastAsia="Calibri" w:hAnsi="Calibri" w:cs="Calibri"/>
          <w:color w:val="000000"/>
          <w:sz w:val="22"/>
          <w:szCs w:val="22"/>
        </w:rPr>
        <w:t>2 490</w:t>
      </w:r>
      <w:r>
        <w:rPr>
          <w:rFonts w:ascii="Calibri" w:eastAsia="Calibri" w:hAnsi="Calibri" w:cs="Calibri"/>
          <w:color w:val="000000"/>
          <w:sz w:val="22"/>
          <w:szCs w:val="22"/>
        </w:rPr>
        <w:t xml:space="preserve"> Kč měsíčně bez DPH</w:t>
      </w:r>
      <w:bookmarkStart w:id="6" w:name="3dy6vkm" w:colFirst="0" w:colLast="0"/>
      <w:bookmarkEnd w:id="6"/>
    </w:p>
    <w:p w14:paraId="7F51B3FB" w14:textId="1C3AA5B8" w:rsidR="00B1452C" w:rsidRDefault="0082023E">
      <w:pPr>
        <w:pBdr>
          <w:top w:val="nil"/>
          <w:left w:val="nil"/>
          <w:bottom w:val="nil"/>
          <w:right w:val="nil"/>
          <w:between w:val="nil"/>
        </w:pBdr>
        <w:ind w:firstLine="708"/>
        <w:rPr>
          <w:rFonts w:ascii="Calibri" w:eastAsia="Calibri" w:hAnsi="Calibri" w:cs="Calibri"/>
          <w:b/>
          <w:color w:val="000000"/>
          <w:sz w:val="22"/>
          <w:szCs w:val="22"/>
        </w:rPr>
      </w:pPr>
      <w:r w:rsidRPr="00C00BC4">
        <w:rPr>
          <w:rFonts w:ascii="Calibri" w:eastAsia="Calibri" w:hAnsi="Calibri" w:cs="Calibri"/>
          <w:b/>
          <w:color w:val="000000"/>
          <w:sz w:val="22"/>
          <w:szCs w:val="22"/>
        </w:rPr>
        <w:t xml:space="preserve">Ceny služeb: </w:t>
      </w:r>
      <w:r w:rsidR="00C00BC4" w:rsidRPr="00C00BC4">
        <w:rPr>
          <w:rFonts w:ascii="Calibri" w:eastAsia="Calibri" w:hAnsi="Calibri" w:cs="Calibri"/>
          <w:b/>
          <w:color w:val="000000"/>
          <w:sz w:val="22"/>
          <w:szCs w:val="22"/>
        </w:rPr>
        <w:t>2 784</w:t>
      </w:r>
      <w:r w:rsidRPr="00C00BC4">
        <w:rPr>
          <w:rFonts w:ascii="Calibri" w:eastAsia="Calibri" w:hAnsi="Calibri" w:cs="Calibri"/>
          <w:b/>
          <w:color w:val="000000"/>
          <w:sz w:val="22"/>
          <w:szCs w:val="22"/>
        </w:rPr>
        <w:t xml:space="preserve"> Kč měsíčně včetně DPH</w:t>
      </w:r>
    </w:p>
    <w:p w14:paraId="10F4463C" w14:textId="32B01D10" w:rsidR="00A74829" w:rsidRDefault="00A74829">
      <w:pPr>
        <w:pBdr>
          <w:top w:val="nil"/>
          <w:left w:val="nil"/>
          <w:bottom w:val="nil"/>
          <w:right w:val="nil"/>
          <w:between w:val="nil"/>
        </w:pBdr>
        <w:ind w:firstLine="708"/>
        <w:rPr>
          <w:rFonts w:ascii="Calibri" w:eastAsia="Calibri" w:hAnsi="Calibri" w:cs="Calibri"/>
          <w:b/>
          <w:color w:val="000000"/>
          <w:sz w:val="22"/>
          <w:szCs w:val="22"/>
        </w:rPr>
      </w:pPr>
      <w:r>
        <w:rPr>
          <w:rFonts w:ascii="Calibri" w:eastAsia="Calibri" w:hAnsi="Calibri" w:cs="Calibri"/>
          <w:b/>
          <w:color w:val="000000"/>
          <w:sz w:val="22"/>
          <w:szCs w:val="22"/>
        </w:rPr>
        <w:t>Výše DPH se řídí aktuálním zněním zákona.</w:t>
      </w:r>
    </w:p>
    <w:p w14:paraId="2E7CEA2B" w14:textId="77777777" w:rsidR="00C00BC4" w:rsidRPr="00C00BC4" w:rsidRDefault="00C00BC4">
      <w:pPr>
        <w:pBdr>
          <w:top w:val="nil"/>
          <w:left w:val="nil"/>
          <w:bottom w:val="nil"/>
          <w:right w:val="nil"/>
          <w:between w:val="nil"/>
        </w:pBdr>
        <w:ind w:firstLine="708"/>
        <w:rPr>
          <w:rFonts w:ascii="Calibri" w:eastAsia="Calibri" w:hAnsi="Calibri" w:cs="Calibri"/>
          <w:b/>
          <w:color w:val="000000"/>
          <w:sz w:val="22"/>
          <w:szCs w:val="22"/>
        </w:rPr>
      </w:pPr>
    </w:p>
    <w:p w14:paraId="7C72A92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Úhrada za služby (případně záloha na tyto služby) je splatná </w:t>
      </w:r>
      <w:r w:rsidRPr="00C00BC4">
        <w:rPr>
          <w:rFonts w:ascii="Calibri" w:eastAsia="Calibri" w:hAnsi="Calibri" w:cs="Calibri"/>
          <w:color w:val="000000"/>
          <w:sz w:val="22"/>
          <w:szCs w:val="22"/>
        </w:rPr>
        <w:t>ve stejném termínu jako v případě plateb nájemného</w:t>
      </w:r>
      <w:r>
        <w:rPr>
          <w:rFonts w:ascii="Calibri" w:eastAsia="Calibri" w:hAnsi="Calibri" w:cs="Calibri"/>
          <w:color w:val="000000"/>
          <w:sz w:val="22"/>
          <w:szCs w:val="22"/>
        </w:rPr>
        <w:t>, a to na stejný účet.</w:t>
      </w:r>
    </w:p>
    <w:p w14:paraId="55D1336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pokutu </w:t>
      </w:r>
      <w:r w:rsidRPr="00A74829">
        <w:rPr>
          <w:rFonts w:ascii="Calibri" w:eastAsia="Calibri" w:hAnsi="Calibri" w:cs="Calibri"/>
          <w:color w:val="000000"/>
          <w:sz w:val="22"/>
          <w:szCs w:val="22"/>
        </w:rPr>
        <w:t xml:space="preserve">ve výši </w:t>
      </w:r>
      <w:r w:rsidRPr="00EF7F15">
        <w:rPr>
          <w:rFonts w:ascii="Calibri" w:eastAsia="Calibri" w:hAnsi="Calibri" w:cs="Calibri"/>
          <w:color w:val="000000"/>
          <w:sz w:val="22"/>
          <w:szCs w:val="22"/>
        </w:rPr>
        <w:t>50 000 Kč</w:t>
      </w:r>
      <w:r>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Předchozí písemný souhlas pronajímatele je zapotřebí pro umístění jakékoliv reklamy či informačního zařízení (informačního štítu tabulky a podobně) na nemovitou věc, kde se nachází předmět nájmu. 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2957B519"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24CB4219" w14:textId="77777777" w:rsidR="00A74829" w:rsidRDefault="00A74829">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34570207" w14:textId="548E018E" w:rsidR="00B1452C" w:rsidRDefault="00B015CE">
      <w:pPr>
        <w:numPr>
          <w:ilvl w:val="1"/>
          <w:numId w:val="9"/>
        </w:numPr>
        <w:pBdr>
          <w:top w:val="nil"/>
          <w:left w:val="nil"/>
          <w:bottom w:val="nil"/>
          <w:right w:val="nil"/>
          <w:between w:val="nil"/>
        </w:pBdr>
        <w:spacing w:after="60"/>
        <w:jc w:val="both"/>
        <w:rPr>
          <w:rFonts w:ascii="Calibri" w:eastAsia="Calibri" w:hAnsi="Calibri" w:cs="Calibri"/>
          <w:color w:val="000000"/>
          <w:sz w:val="22"/>
          <w:szCs w:val="22"/>
          <w:highlight w:val="lightGray"/>
        </w:rPr>
      </w:pPr>
      <w:r w:rsidRPr="00A74829">
        <w:rPr>
          <w:rFonts w:ascii="Calibri" w:eastAsia="Calibri" w:hAnsi="Calibri" w:cs="Calibri"/>
          <w:color w:val="000000"/>
          <w:sz w:val="22"/>
          <w:szCs w:val="22"/>
        </w:rPr>
        <w:t>Nájemce bude provádět drobné opravy předmětu nájmu, a to ty, náklady na jejichž provedení nepřesáhnou částku 3000 Kč v každém jednotlivém případě.</w:t>
      </w:r>
    </w:p>
    <w:p w14:paraId="08F59A7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Pr>
          <w:rFonts w:ascii="Calibri" w:eastAsia="Calibri" w:hAnsi="Calibri" w:cs="Calibri"/>
          <w:color w:val="000000"/>
          <w:sz w:val="22"/>
          <w:szCs w:val="22"/>
        </w:rPr>
        <w:t>i</w:t>
      </w:r>
      <w:r>
        <w:rPr>
          <w:rFonts w:ascii="Calibri" w:eastAsia="Calibri" w:hAnsi="Calibri" w:cs="Calibri"/>
          <w:color w:val="000000"/>
          <w:sz w:val="22"/>
          <w:szCs w:val="22"/>
        </w:rPr>
        <w:t xml:space="preserve"> kontrolách součinný.</w:t>
      </w:r>
    </w:p>
    <w:p w14:paraId="2601368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neodpovídá za škody způsobené nájemci v důsledku živelné události.</w:t>
      </w:r>
    </w:p>
    <w:p w14:paraId="765B3F77" w14:textId="35D9EB2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highlight w:val="lightGray"/>
        </w:rPr>
      </w:pPr>
      <w:r w:rsidRPr="00A74829">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5BAC2086"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7" w:name="1t3h5sf" w:colFirst="0" w:colLast="0"/>
      <w:bookmarkEnd w:id="7"/>
      <w:r>
        <w:rPr>
          <w:rFonts w:ascii="Calibri" w:eastAsia="Calibri" w:hAnsi="Calibri" w:cs="Calibri"/>
          <w:color w:val="000000"/>
          <w:sz w:val="22"/>
          <w:szCs w:val="22"/>
        </w:rPr>
        <w:t xml:space="preserve">Tato smlouva se uzavírá na dobu určitou, a to od </w:t>
      </w:r>
      <w:r w:rsidR="00A74829" w:rsidRPr="00C73C1E">
        <w:rPr>
          <w:rFonts w:ascii="Calibri" w:eastAsia="Calibri" w:hAnsi="Calibri" w:cs="Calibri"/>
          <w:b/>
          <w:color w:val="000000"/>
          <w:sz w:val="22"/>
          <w:szCs w:val="22"/>
        </w:rPr>
        <w:t>1. 1. 202</w:t>
      </w:r>
      <w:bookmarkStart w:id="8" w:name="4d34og8" w:colFirst="0" w:colLast="0"/>
      <w:bookmarkEnd w:id="8"/>
      <w:r w:rsidR="00C73C1E" w:rsidRPr="00C73C1E">
        <w:rPr>
          <w:rFonts w:ascii="Calibri" w:eastAsia="Calibri" w:hAnsi="Calibri" w:cs="Calibri"/>
          <w:b/>
          <w:color w:val="000000"/>
          <w:sz w:val="22"/>
          <w:szCs w:val="22"/>
        </w:rPr>
        <w:t>4</w:t>
      </w:r>
      <w:r w:rsidRPr="00C73C1E">
        <w:rPr>
          <w:rFonts w:ascii="Calibri" w:eastAsia="Calibri" w:hAnsi="Calibri" w:cs="Calibri"/>
          <w:b/>
          <w:color w:val="000000"/>
          <w:sz w:val="22"/>
          <w:szCs w:val="22"/>
        </w:rPr>
        <w:t xml:space="preserve"> do</w:t>
      </w:r>
      <w:r w:rsidR="00A74829" w:rsidRPr="00C73C1E">
        <w:rPr>
          <w:rFonts w:ascii="Calibri" w:eastAsia="Calibri" w:hAnsi="Calibri" w:cs="Calibri"/>
          <w:b/>
          <w:color w:val="000000"/>
          <w:sz w:val="22"/>
          <w:szCs w:val="22"/>
        </w:rPr>
        <w:t xml:space="preserve"> 31. 12. 202</w:t>
      </w:r>
      <w:r w:rsidR="00C73C1E" w:rsidRPr="00C73C1E">
        <w:rPr>
          <w:rFonts w:ascii="Calibri" w:eastAsia="Calibri" w:hAnsi="Calibri" w:cs="Calibri"/>
          <w:b/>
          <w:color w:val="000000"/>
          <w:sz w:val="22"/>
          <w:szCs w:val="22"/>
        </w:rPr>
        <w:t>4</w:t>
      </w:r>
      <w:r>
        <w:rPr>
          <w:rFonts w:ascii="Calibri" w:eastAsia="Calibri" w:hAnsi="Calibri" w:cs="Calibri"/>
          <w:color w:val="000000"/>
          <w:sz w:val="22"/>
          <w:szCs w:val="22"/>
        </w:rPr>
        <w:t>.</w:t>
      </w:r>
    </w:p>
    <w:p w14:paraId="3E89F4AE" w14:textId="6CDBA2A3" w:rsidR="00B1452C" w:rsidRPr="00C73C1E"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00C73C1E" w:rsidRPr="00C73C1E">
        <w:rPr>
          <w:rFonts w:ascii="Calibri" w:eastAsia="Calibri" w:hAnsi="Calibri" w:cs="Calibri"/>
          <w:color w:val="000000"/>
          <w:sz w:val="22"/>
          <w:szCs w:val="22"/>
        </w:rPr>
        <w:t xml:space="preserve">jeden </w:t>
      </w:r>
      <w:r w:rsidRPr="00C73C1E">
        <w:rPr>
          <w:rFonts w:ascii="Calibri" w:eastAsia="Calibri" w:hAnsi="Calibri" w:cs="Calibri"/>
          <w:color w:val="000000"/>
          <w:sz w:val="22"/>
          <w:szCs w:val="22"/>
        </w:rPr>
        <w:t>měsíc.</w:t>
      </w:r>
      <w:r>
        <w:rPr>
          <w:rFonts w:ascii="Calibri" w:eastAsia="Calibri" w:hAnsi="Calibri" w:cs="Calibri"/>
          <w:color w:val="000000"/>
          <w:sz w:val="22"/>
          <w:szCs w:val="22"/>
        </w:rPr>
        <w:t xml:space="preserve"> Výpověď musí být písemná a musí být uveden její důvod, jinak je neplatná. Výpovědní doba běží od prvního </w:t>
      </w:r>
      <w:r w:rsidRPr="00C73C1E">
        <w:rPr>
          <w:rFonts w:ascii="Calibri" w:eastAsia="Calibri" w:hAnsi="Calibri" w:cs="Calibri"/>
          <w:color w:val="000000"/>
          <w:sz w:val="22"/>
          <w:szCs w:val="22"/>
        </w:rPr>
        <w:t>dne kalendářního měsíce</w:t>
      </w:r>
      <w:r w:rsidR="00C73C1E" w:rsidRPr="00C73C1E">
        <w:rPr>
          <w:rFonts w:ascii="Calibri" w:eastAsia="Calibri" w:hAnsi="Calibri" w:cs="Calibri"/>
          <w:color w:val="000000"/>
          <w:sz w:val="22"/>
          <w:szCs w:val="22"/>
        </w:rPr>
        <w:t xml:space="preserve"> </w:t>
      </w:r>
      <w:r w:rsidRPr="00C73C1E">
        <w:rPr>
          <w:rFonts w:ascii="Calibri" w:eastAsia="Calibri" w:hAnsi="Calibri" w:cs="Calibri"/>
          <w:color w:val="000000"/>
          <w:sz w:val="22"/>
          <w:szCs w:val="22"/>
        </w:rPr>
        <w:t>následujícího poté, co výpověď došla druhé straně.</w:t>
      </w:r>
    </w:p>
    <w:p w14:paraId="4D7C9B0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385A33EC" w:rsidR="00B1452C" w:rsidRPr="00C73C1E"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C73C1E">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w:t>
      </w:r>
      <w:r w:rsidR="00C73C1E">
        <w:rPr>
          <w:rFonts w:ascii="Calibri" w:eastAsia="Calibri" w:hAnsi="Calibri" w:cs="Calibri"/>
          <w:color w:val="000000"/>
          <w:sz w:val="22"/>
          <w:szCs w:val="22"/>
        </w:rPr>
        <w:t>.</w:t>
      </w:r>
    </w:p>
    <w:p w14:paraId="69B8D8C0" w14:textId="77777777" w:rsidR="00B1452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nájemce bude v prodlení s placením nájemného a služeb spojených s nájmem po dobu </w:t>
      </w:r>
      <w:r w:rsidRPr="00C73C1E">
        <w:rPr>
          <w:rFonts w:ascii="Calibri" w:eastAsia="Calibri" w:hAnsi="Calibri" w:cs="Calibri"/>
          <w:color w:val="000000"/>
          <w:sz w:val="22"/>
          <w:szCs w:val="22"/>
        </w:rPr>
        <w:t>delší 15 dnů</w:t>
      </w:r>
      <w:r>
        <w:rPr>
          <w:rFonts w:ascii="Calibri" w:eastAsia="Calibri" w:hAnsi="Calibri" w:cs="Calibri"/>
          <w:color w:val="000000"/>
          <w:sz w:val="22"/>
          <w:szCs w:val="22"/>
        </w:rPr>
        <w:t xml:space="preserve">.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Pr="00C73C1E">
        <w:rPr>
          <w:rFonts w:ascii="Calibri" w:eastAsia="Calibri" w:hAnsi="Calibri" w:cs="Calibri"/>
          <w:color w:val="000000"/>
          <w:sz w:val="22"/>
          <w:szCs w:val="22"/>
        </w:rPr>
        <w:t>3.000</w:t>
      </w:r>
      <w:r>
        <w:rPr>
          <w:rFonts w:ascii="Calibri" w:eastAsia="Calibri" w:hAnsi="Calibri" w:cs="Calibri"/>
          <w:color w:val="000000"/>
          <w:sz w:val="22"/>
          <w:szCs w:val="22"/>
        </w:rPr>
        <w:t xml:space="preserve">,- Kč za každý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562C6112" w:rsidR="00B1452C" w:rsidRPr="00C73C1E"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73C1E">
        <w:rPr>
          <w:rFonts w:ascii="Calibri" w:eastAsia="Calibri" w:hAnsi="Calibri" w:cs="Calibri"/>
          <w:color w:val="000000"/>
          <w:sz w:val="22"/>
          <w:szCs w:val="22"/>
        </w:rPr>
        <w:t xml:space="preserve">Tato smlouva byla sepsána ve dvou vyhotoveních. Každá ze smluvních stran obdržela po jednom totožném vyhotovení. </w:t>
      </w:r>
    </w:p>
    <w:p w14:paraId="1DE4B7B5" w14:textId="4511A7CC"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C73C1E">
        <w:rPr>
          <w:rFonts w:ascii="Calibri" w:eastAsia="Calibri" w:hAnsi="Calibri" w:cs="Calibri"/>
          <w:color w:val="000000"/>
          <w:sz w:val="22"/>
          <w:szCs w:val="22"/>
        </w:rPr>
        <w:t>Tato smlouva nabývá platnosti a účinnosti dnem podpisu oběma smluvními stranami</w:t>
      </w:r>
      <w:r w:rsidR="00C73C1E" w:rsidRPr="00C73C1E">
        <w:rPr>
          <w:rFonts w:ascii="Calibri" w:eastAsia="Calibri" w:hAnsi="Calibri" w:cs="Calibri"/>
          <w:color w:val="000000"/>
          <w:sz w:val="22"/>
          <w:szCs w:val="22"/>
        </w:rPr>
        <w:t xml:space="preserve"> či pokud</w:t>
      </w:r>
      <w:r w:rsidRPr="00C73C1E">
        <w:rPr>
          <w:rFonts w:ascii="Calibri" w:eastAsia="Calibri" w:hAnsi="Calibri" w:cs="Calibri"/>
          <w:color w:val="000000"/>
          <w:sz w:val="22"/>
          <w:szCs w:val="22"/>
        </w:rPr>
        <w:t xml:space="preserve"> podléhá povinnosti uveřejnění dle zákona č. 340/2015 Sb., o zvláštních podmínkách účinnosti některých smluv, uveřejňování těchto smluv a o registru smluv (zákon o registru smluv) a nabude účinnosti dnem uveřejnění a její uveřejnění zajistí pronajímatel.</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83F7A54" w14:textId="332D5BFD" w:rsidR="00B1452C" w:rsidRPr="00C73C1E" w:rsidRDefault="0082023E" w:rsidP="00C73C1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7">
        <w:r w:rsidR="00B66290">
          <w:rPr>
            <w:rFonts w:ascii="Calibri" w:eastAsia="Calibri" w:hAnsi="Calibri" w:cs="Calibri"/>
            <w:color w:val="0000FF"/>
            <w:sz w:val="22"/>
            <w:szCs w:val="22"/>
            <w:u w:val="single"/>
          </w:rPr>
          <w:t>XXXX</w:t>
        </w:r>
        <w:bookmarkStart w:id="9" w:name="_GoBack"/>
        <w:bookmarkEnd w:id="9"/>
      </w:hyperlink>
      <w:r>
        <w:rPr>
          <w:rFonts w:ascii="Calibri" w:eastAsia="Calibri" w:hAnsi="Calibri" w:cs="Calibri"/>
          <w:color w:val="000000"/>
          <w:sz w:val="22"/>
          <w:szCs w:val="22"/>
        </w:rPr>
        <w:t xml:space="preserve"> v sekci „Ochrana osobních údajů“.</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A47A60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39B8FA1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8"/>
      <w:footerReference w:type="default" r:id="rId9"/>
      <w:headerReference w:type="first" r:id="rId10"/>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310C" w14:textId="77777777" w:rsidR="009E5704" w:rsidRDefault="009E5704">
      <w:r>
        <w:separator/>
      </w:r>
    </w:p>
  </w:endnote>
  <w:endnote w:type="continuationSeparator" w:id="0">
    <w:p w14:paraId="552BFFFD" w14:textId="77777777" w:rsidR="009E5704" w:rsidRDefault="009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90A" w14:textId="0A896FA7"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4EA8" w14:textId="77777777" w:rsidR="009E5704" w:rsidRDefault="009E5704">
      <w:r>
        <w:separator/>
      </w:r>
    </w:p>
  </w:footnote>
  <w:footnote w:type="continuationSeparator" w:id="0">
    <w:p w14:paraId="18FCDF77" w14:textId="77777777" w:rsidR="009E5704" w:rsidRDefault="009E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A1C7" w14:textId="563FF161"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r w:rsidR="0082023E">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5A97"/>
    <w:multiLevelType w:val="multilevel"/>
    <w:tmpl w:val="A6C8EA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6"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
  </w:num>
  <w:num w:numId="3">
    <w:abstractNumId w:val="11"/>
  </w:num>
  <w:num w:numId="4">
    <w:abstractNumId w:val="2"/>
  </w:num>
  <w:num w:numId="5">
    <w:abstractNumId w:val="12"/>
  </w:num>
  <w:num w:numId="6">
    <w:abstractNumId w:val="9"/>
  </w:num>
  <w:num w:numId="7">
    <w:abstractNumId w:val="0"/>
  </w:num>
  <w:num w:numId="8">
    <w:abstractNumId w:val="3"/>
  </w:num>
  <w:num w:numId="9">
    <w:abstractNumId w:val="6"/>
  </w:num>
  <w:num w:numId="10">
    <w:abstractNumId w:val="4"/>
  </w:num>
  <w:num w:numId="11">
    <w:abstractNumId w:val="10"/>
  </w:num>
  <w:num w:numId="12">
    <w:abstractNumId w:val="8"/>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1132D7"/>
    <w:rsid w:val="001F54A0"/>
    <w:rsid w:val="004150FE"/>
    <w:rsid w:val="0047229B"/>
    <w:rsid w:val="004874D6"/>
    <w:rsid w:val="005155D1"/>
    <w:rsid w:val="005345CC"/>
    <w:rsid w:val="006047E1"/>
    <w:rsid w:val="007D6420"/>
    <w:rsid w:val="0082023E"/>
    <w:rsid w:val="00825F7D"/>
    <w:rsid w:val="008C3590"/>
    <w:rsid w:val="008F6B2A"/>
    <w:rsid w:val="009E2BF4"/>
    <w:rsid w:val="009E5704"/>
    <w:rsid w:val="009F5774"/>
    <w:rsid w:val="00A74829"/>
    <w:rsid w:val="00B015CE"/>
    <w:rsid w:val="00B1452C"/>
    <w:rsid w:val="00B41581"/>
    <w:rsid w:val="00B50A7C"/>
    <w:rsid w:val="00B66290"/>
    <w:rsid w:val="00B9537A"/>
    <w:rsid w:val="00C00BC4"/>
    <w:rsid w:val="00C73C1E"/>
    <w:rsid w:val="00D13B94"/>
    <w:rsid w:val="00D16828"/>
    <w:rsid w:val="00DB17D0"/>
    <w:rsid w:val="00EA00B3"/>
    <w:rsid w:val="00EF7F15"/>
    <w:rsid w:val="00F33CBD"/>
    <w:rsid w:val="00F469E7"/>
    <w:rsid w:val="00F82A21"/>
    <w:rsid w:val="00FA0527"/>
    <w:rsid w:val="00FE7585"/>
    <w:rsid w:val="00FF5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E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styleId="Zhlav">
    <w:name w:val="header"/>
    <w:basedOn w:val="Normln"/>
    <w:link w:val="ZhlavChar"/>
    <w:uiPriority w:val="99"/>
    <w:unhideWhenUsed/>
    <w:rsid w:val="005345CC"/>
    <w:pPr>
      <w:tabs>
        <w:tab w:val="center" w:pos="4536"/>
        <w:tab w:val="right" w:pos="9072"/>
      </w:tabs>
    </w:pPr>
  </w:style>
  <w:style w:type="character" w:customStyle="1" w:styleId="ZhlavChar">
    <w:name w:val="Záhlaví Char"/>
    <w:basedOn w:val="Standardnpsmoodstavce"/>
    <w:link w:val="Zhlav"/>
    <w:uiPriority w:val="99"/>
    <w:rsid w:val="0053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2395</Words>
  <Characters>14134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2023-12-12T12:00:00Z</dcterms:created>
  <dcterms:modified xsi:type="dcterms:W3CDTF">2023-12-12T12:02:00Z</dcterms:modified>
</cp:coreProperties>
</file>