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845358" w:rsidRDefault="00F826FA" w:rsidP="00917A8B">
      <w:pPr>
        <w:pStyle w:val="Odstavecseseznamem"/>
        <w:numPr>
          <w:ilvl w:val="0"/>
          <w:numId w:val="15"/>
        </w:numPr>
        <w:spacing w:after="0" w:line="259" w:lineRule="auto"/>
        <w:ind w:left="426" w:right="58" w:hanging="426"/>
        <w:jc w:val="center"/>
        <w:rPr>
          <w:rFonts w:ascii="Arial" w:hAnsi="Arial" w:cs="Arial"/>
          <w:b/>
          <w:sz w:val="24"/>
        </w:rPr>
      </w:pPr>
      <w:r w:rsidRPr="00845358">
        <w:rPr>
          <w:rFonts w:ascii="Arial" w:hAnsi="Arial" w:cs="Arial"/>
          <w:b/>
          <w:sz w:val="24"/>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5942"/>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59683B8F" w:rsidR="00845358" w:rsidRPr="00845358" w:rsidRDefault="00F31555"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p>
          <w:p w14:paraId="3C784865" w14:textId="4EBFF54A"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F31555">
              <w:rPr>
                <w:rFonts w:ascii="Arial" w:eastAsia="SimSun" w:hAnsi="Arial" w:cs="Arial"/>
                <w:sz w:val="22"/>
                <w:szCs w:val="22"/>
              </w:rPr>
              <w:t>xxxxxxxxxxxxxxxx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033EC">
        <w:tc>
          <w:tcPr>
            <w:tcW w:w="3510"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5E019FE5" w14:textId="56FC446C" w:rsidR="00845358" w:rsidRPr="003C72AB" w:rsidRDefault="00F31555"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0936597F" w:rsidR="00845358" w:rsidRPr="00174BC5" w:rsidRDefault="00174BC5" w:rsidP="00845358">
      <w:pPr>
        <w:widowControl w:val="0"/>
        <w:spacing w:after="0" w:line="240" w:lineRule="atLeast"/>
        <w:ind w:left="0" w:right="0" w:firstLine="0"/>
        <w:rPr>
          <w:rFonts w:ascii="Arial" w:eastAsia="SimSun" w:hAnsi="Arial" w:cs="Arial"/>
          <w:b/>
          <w:bCs/>
          <w:color w:val="0066CC"/>
          <w:lang w:eastAsia="zh-CN" w:bidi="hi-IN"/>
        </w:rPr>
      </w:pPr>
      <w:r w:rsidRPr="00174BC5">
        <w:rPr>
          <w:rFonts w:ascii="Arial" w:eastAsia="SimSun" w:hAnsi="Arial" w:cs="Arial"/>
          <w:b/>
          <w:bCs/>
          <w:color w:val="auto"/>
          <w:lang w:eastAsia="zh-CN" w:bidi="hi-IN"/>
        </w:rPr>
        <w:t>ORBIT s.r.o.</w:t>
      </w:r>
    </w:p>
    <w:p w14:paraId="21CC481D" w14:textId="77777777" w:rsidR="00845358" w:rsidRPr="00174BC5"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5942"/>
      </w:tblGrid>
      <w:tr w:rsidR="00845358" w:rsidRPr="00174BC5" w14:paraId="1D3CA25F" w14:textId="77777777" w:rsidTr="009033EC">
        <w:tc>
          <w:tcPr>
            <w:tcW w:w="3510" w:type="dxa"/>
          </w:tcPr>
          <w:p w14:paraId="34F73549" w14:textId="6396D8C6" w:rsidR="00845358" w:rsidRPr="00174BC5" w:rsidRDefault="00845358"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sz w:val="22"/>
                <w:szCs w:val="22"/>
              </w:rPr>
              <w:t>se sídlem:</w:t>
            </w:r>
          </w:p>
        </w:tc>
        <w:tc>
          <w:tcPr>
            <w:tcW w:w="6066" w:type="dxa"/>
          </w:tcPr>
          <w:p w14:paraId="0AC40691" w14:textId="07C3845D" w:rsidR="00845358" w:rsidRPr="00174BC5" w:rsidRDefault="00174BC5" w:rsidP="00174BC5">
            <w:pPr>
              <w:widowControl w:val="0"/>
              <w:spacing w:after="0" w:line="240" w:lineRule="atLeast"/>
              <w:ind w:left="0" w:right="0" w:firstLine="0"/>
              <w:rPr>
                <w:rFonts w:ascii="Arial" w:eastAsia="SimSun" w:hAnsi="Arial" w:cs="Arial"/>
                <w:bCs/>
                <w:color w:val="auto"/>
                <w:sz w:val="22"/>
                <w:szCs w:val="22"/>
              </w:rPr>
            </w:pPr>
            <w:r w:rsidRPr="00174BC5">
              <w:rPr>
                <w:rFonts w:ascii="Arial" w:eastAsia="SimSun" w:hAnsi="Arial" w:cs="Arial"/>
                <w:bCs/>
                <w:color w:val="auto"/>
                <w:sz w:val="22"/>
                <w:szCs w:val="22"/>
              </w:rPr>
              <w:t>Olšanská 2643/</w:t>
            </w:r>
            <w:proofErr w:type="gramStart"/>
            <w:r w:rsidRPr="00174BC5">
              <w:rPr>
                <w:rFonts w:ascii="Arial" w:eastAsia="SimSun" w:hAnsi="Arial" w:cs="Arial"/>
                <w:bCs/>
                <w:color w:val="auto"/>
                <w:sz w:val="22"/>
                <w:szCs w:val="22"/>
              </w:rPr>
              <w:t>1a</w:t>
            </w:r>
            <w:proofErr w:type="gramEnd"/>
            <w:r w:rsidRPr="00174BC5">
              <w:rPr>
                <w:rFonts w:ascii="Arial" w:eastAsia="SimSun" w:hAnsi="Arial" w:cs="Arial"/>
                <w:bCs/>
                <w:color w:val="auto"/>
                <w:sz w:val="22"/>
                <w:szCs w:val="22"/>
              </w:rPr>
              <w:t>, 130 00 Praha 3 - Žižkov</w:t>
            </w:r>
          </w:p>
        </w:tc>
      </w:tr>
      <w:tr w:rsidR="00845358" w:rsidRPr="00174BC5" w14:paraId="5C3DC131" w14:textId="77777777" w:rsidTr="009033EC">
        <w:tc>
          <w:tcPr>
            <w:tcW w:w="3510" w:type="dxa"/>
          </w:tcPr>
          <w:p w14:paraId="3A2DEB1B" w14:textId="2D070DA8" w:rsidR="00845358" w:rsidRPr="00174BC5" w:rsidRDefault="00845358"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sz w:val="22"/>
                <w:szCs w:val="22"/>
              </w:rPr>
              <w:t>zastoupená:</w:t>
            </w:r>
          </w:p>
        </w:tc>
        <w:tc>
          <w:tcPr>
            <w:tcW w:w="6066" w:type="dxa"/>
          </w:tcPr>
          <w:p w14:paraId="0EA1476C" w14:textId="398A794B" w:rsidR="00845358" w:rsidRPr="00174BC5" w:rsidRDefault="00174BC5" w:rsidP="00845358">
            <w:pPr>
              <w:widowControl w:val="0"/>
              <w:spacing w:after="0" w:line="240" w:lineRule="atLeast"/>
              <w:ind w:left="0" w:right="0" w:firstLine="0"/>
              <w:rPr>
                <w:rFonts w:ascii="Arial" w:eastAsia="SimSun" w:hAnsi="Arial" w:cs="Arial"/>
                <w:color w:val="0066CC"/>
                <w:sz w:val="22"/>
                <w:szCs w:val="22"/>
              </w:rPr>
            </w:pPr>
            <w:r w:rsidRPr="00174BC5">
              <w:rPr>
                <w:rFonts w:ascii="Arial" w:eastAsia="SimSun" w:hAnsi="Arial" w:cs="Arial"/>
                <w:bCs/>
                <w:color w:val="auto"/>
                <w:sz w:val="22"/>
                <w:szCs w:val="22"/>
              </w:rPr>
              <w:t xml:space="preserve">Pavlem </w:t>
            </w:r>
            <w:proofErr w:type="spellStart"/>
            <w:r w:rsidRPr="00174BC5">
              <w:rPr>
                <w:rFonts w:ascii="Arial" w:eastAsia="SimSun" w:hAnsi="Arial" w:cs="Arial"/>
                <w:bCs/>
                <w:color w:val="auto"/>
                <w:sz w:val="22"/>
                <w:szCs w:val="22"/>
              </w:rPr>
              <w:t>Šeberou</w:t>
            </w:r>
            <w:proofErr w:type="spellEnd"/>
            <w:r w:rsidRPr="00174BC5">
              <w:rPr>
                <w:rFonts w:ascii="Arial" w:eastAsia="SimSun" w:hAnsi="Arial" w:cs="Arial"/>
                <w:bCs/>
                <w:color w:val="auto"/>
                <w:sz w:val="22"/>
                <w:szCs w:val="22"/>
              </w:rPr>
              <w:t>, jednatelem</w:t>
            </w:r>
          </w:p>
        </w:tc>
      </w:tr>
      <w:tr w:rsidR="00845358" w:rsidRPr="00174BC5" w14:paraId="619B44DF" w14:textId="77777777" w:rsidTr="009033EC">
        <w:tc>
          <w:tcPr>
            <w:tcW w:w="3510" w:type="dxa"/>
          </w:tcPr>
          <w:p w14:paraId="48294F2A" w14:textId="77777777" w:rsidR="00845358" w:rsidRPr="00174BC5" w:rsidRDefault="00845358"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sz w:val="22"/>
                <w:szCs w:val="22"/>
              </w:rPr>
              <w:t>IČO:</w:t>
            </w:r>
          </w:p>
        </w:tc>
        <w:tc>
          <w:tcPr>
            <w:tcW w:w="6066" w:type="dxa"/>
          </w:tcPr>
          <w:p w14:paraId="73CEDA58" w14:textId="276A0877" w:rsidR="00845358" w:rsidRPr="00174BC5" w:rsidRDefault="00174BC5"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bCs/>
                <w:color w:val="auto"/>
                <w:sz w:val="22"/>
                <w:szCs w:val="22"/>
              </w:rPr>
              <w:t>16628110</w:t>
            </w:r>
          </w:p>
        </w:tc>
      </w:tr>
      <w:tr w:rsidR="00845358" w:rsidRPr="00174BC5" w14:paraId="139E072E" w14:textId="77777777" w:rsidTr="009033EC">
        <w:tc>
          <w:tcPr>
            <w:tcW w:w="3510" w:type="dxa"/>
          </w:tcPr>
          <w:p w14:paraId="1CAE163A" w14:textId="77777777" w:rsidR="00845358" w:rsidRPr="00174BC5" w:rsidRDefault="00845358"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sz w:val="22"/>
                <w:szCs w:val="22"/>
              </w:rPr>
              <w:t xml:space="preserve">DIČ: </w:t>
            </w:r>
            <w:r w:rsidRPr="00174BC5">
              <w:rPr>
                <w:rFonts w:ascii="Arial" w:eastAsia="SimSun" w:hAnsi="Arial" w:cs="Arial"/>
                <w:sz w:val="22"/>
                <w:szCs w:val="22"/>
              </w:rPr>
              <w:tab/>
            </w:r>
          </w:p>
        </w:tc>
        <w:tc>
          <w:tcPr>
            <w:tcW w:w="6066" w:type="dxa"/>
          </w:tcPr>
          <w:p w14:paraId="5D97622C" w14:textId="1EEC633E" w:rsidR="00845358" w:rsidRPr="00174BC5" w:rsidRDefault="00174BC5"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bCs/>
                <w:color w:val="auto"/>
                <w:sz w:val="22"/>
                <w:szCs w:val="22"/>
              </w:rPr>
              <w:t>CZ16628110</w:t>
            </w:r>
          </w:p>
        </w:tc>
      </w:tr>
      <w:tr w:rsidR="00845358" w:rsidRPr="00174BC5" w14:paraId="4C09B215" w14:textId="77777777" w:rsidTr="009033EC">
        <w:tc>
          <w:tcPr>
            <w:tcW w:w="3510" w:type="dxa"/>
          </w:tcPr>
          <w:p w14:paraId="30863758" w14:textId="77777777" w:rsidR="00845358" w:rsidRPr="00174BC5" w:rsidRDefault="00845358"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sz w:val="22"/>
                <w:szCs w:val="22"/>
              </w:rPr>
              <w:t>Bankovní spojení:</w:t>
            </w:r>
          </w:p>
        </w:tc>
        <w:tc>
          <w:tcPr>
            <w:tcW w:w="6066" w:type="dxa"/>
          </w:tcPr>
          <w:p w14:paraId="2805F753" w14:textId="0C90188C" w:rsidR="00845358" w:rsidRPr="00174BC5" w:rsidRDefault="00F31555"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r w:rsidR="00845358" w:rsidRPr="00174BC5">
              <w:rPr>
                <w:rFonts w:ascii="Arial" w:eastAsia="SimSun" w:hAnsi="Arial" w:cs="Arial"/>
                <w:sz w:val="22"/>
                <w:szCs w:val="22"/>
              </w:rPr>
              <w:t xml:space="preserve"> </w:t>
            </w:r>
          </w:p>
          <w:p w14:paraId="07EDE227" w14:textId="201B3F5A" w:rsidR="00845358" w:rsidRPr="00174BC5" w:rsidRDefault="00845358" w:rsidP="00845358">
            <w:pPr>
              <w:widowControl w:val="0"/>
              <w:spacing w:after="0" w:line="240" w:lineRule="atLeast"/>
              <w:ind w:left="0" w:right="0" w:firstLine="0"/>
              <w:rPr>
                <w:rFonts w:ascii="Arial" w:eastAsia="SimSun" w:hAnsi="Arial" w:cs="Arial"/>
                <w:sz w:val="22"/>
                <w:szCs w:val="22"/>
              </w:rPr>
            </w:pPr>
            <w:r w:rsidRPr="00174BC5">
              <w:rPr>
                <w:rFonts w:ascii="Arial" w:eastAsia="SimSun" w:hAnsi="Arial" w:cs="Arial"/>
                <w:sz w:val="22"/>
                <w:szCs w:val="22"/>
              </w:rPr>
              <w:t xml:space="preserve">č. </w:t>
            </w:r>
            <w:proofErr w:type="spellStart"/>
            <w:r w:rsidRPr="00174BC5">
              <w:rPr>
                <w:rFonts w:ascii="Arial" w:eastAsia="SimSun" w:hAnsi="Arial" w:cs="Arial"/>
                <w:sz w:val="22"/>
                <w:szCs w:val="22"/>
              </w:rPr>
              <w:t>ú.</w:t>
            </w:r>
            <w:proofErr w:type="spellEnd"/>
            <w:r w:rsidRPr="00174BC5">
              <w:rPr>
                <w:rFonts w:ascii="Arial" w:eastAsia="SimSun" w:hAnsi="Arial" w:cs="Arial"/>
                <w:sz w:val="22"/>
                <w:szCs w:val="22"/>
              </w:rPr>
              <w:t xml:space="preserve">: </w:t>
            </w:r>
            <w:proofErr w:type="spellStart"/>
            <w:r w:rsidR="00F31555">
              <w:rPr>
                <w:rFonts w:ascii="Arial" w:eastAsia="SimSun" w:hAnsi="Arial" w:cs="Arial"/>
                <w:sz w:val="22"/>
                <w:szCs w:val="22"/>
              </w:rPr>
              <w:t>xxxxxxxxxxxxxxxx</w:t>
            </w:r>
            <w:bookmarkStart w:id="0" w:name="_GoBack"/>
            <w:bookmarkEnd w:id="0"/>
            <w:proofErr w:type="spellEnd"/>
          </w:p>
        </w:tc>
      </w:tr>
    </w:tbl>
    <w:p w14:paraId="2B01A726" w14:textId="77777777" w:rsidR="00845358" w:rsidRPr="00174BC5" w:rsidRDefault="00845358" w:rsidP="00845358">
      <w:pPr>
        <w:widowControl w:val="0"/>
        <w:spacing w:after="0" w:line="240" w:lineRule="atLeast"/>
        <w:ind w:left="0" w:right="0" w:firstLine="0"/>
        <w:rPr>
          <w:rFonts w:ascii="Arial" w:eastAsia="SimSun" w:hAnsi="Arial" w:cs="Arial"/>
          <w:lang w:eastAsia="zh-CN" w:bidi="hi-IN"/>
        </w:rPr>
      </w:pPr>
    </w:p>
    <w:p w14:paraId="79761646" w14:textId="4F6FF785"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174BC5">
        <w:rPr>
          <w:rFonts w:ascii="Arial" w:eastAsia="SimSun" w:hAnsi="Arial" w:cs="Arial"/>
          <w:lang w:eastAsia="zh-CN" w:bidi="hi-IN"/>
        </w:rPr>
        <w:t xml:space="preserve">společnost zapsaná v obchodním rejstříku vedeném </w:t>
      </w:r>
      <w:r w:rsidR="00174BC5" w:rsidRPr="00174BC5">
        <w:rPr>
          <w:rFonts w:ascii="Arial" w:eastAsia="SimSun" w:hAnsi="Arial" w:cs="Arial"/>
          <w:bCs/>
          <w:color w:val="auto"/>
          <w:lang w:eastAsia="zh-CN" w:bidi="hi-IN"/>
        </w:rPr>
        <w:t>Městským</w:t>
      </w:r>
      <w:r w:rsidRPr="00174BC5">
        <w:rPr>
          <w:rFonts w:ascii="Arial" w:eastAsia="SimSun" w:hAnsi="Arial" w:cs="Arial"/>
          <w:lang w:eastAsia="zh-CN" w:bidi="hi-IN"/>
        </w:rPr>
        <w:t xml:space="preserve"> soudem v </w:t>
      </w:r>
      <w:r w:rsidR="00174BC5" w:rsidRPr="00174BC5">
        <w:rPr>
          <w:rFonts w:ascii="Arial" w:eastAsia="SimSun" w:hAnsi="Arial" w:cs="Arial"/>
          <w:bCs/>
          <w:color w:val="auto"/>
          <w:lang w:eastAsia="zh-CN" w:bidi="hi-IN"/>
        </w:rPr>
        <w:t>Praze</w:t>
      </w:r>
      <w:r w:rsidRPr="00174BC5">
        <w:rPr>
          <w:rFonts w:ascii="Arial" w:eastAsia="SimSun" w:hAnsi="Arial" w:cs="Arial"/>
          <w:lang w:eastAsia="zh-CN" w:bidi="hi-IN"/>
        </w:rPr>
        <w:t xml:space="preserve">, </w:t>
      </w:r>
      <w:proofErr w:type="spellStart"/>
      <w:r w:rsidRPr="00174BC5">
        <w:rPr>
          <w:rFonts w:ascii="Arial" w:eastAsia="SimSun" w:hAnsi="Arial" w:cs="Arial"/>
          <w:lang w:eastAsia="zh-CN" w:bidi="hi-IN"/>
        </w:rPr>
        <w:t>oddíl</w:t>
      </w:r>
      <w:r w:rsidR="00174BC5" w:rsidRPr="00174BC5">
        <w:rPr>
          <w:rFonts w:ascii="Arial" w:eastAsia="SimSun" w:hAnsi="Arial" w:cs="Arial"/>
          <w:bCs/>
          <w:color w:val="auto"/>
          <w:lang w:eastAsia="zh-CN" w:bidi="hi-IN"/>
        </w:rPr>
        <w:t>C</w:t>
      </w:r>
      <w:proofErr w:type="spellEnd"/>
      <w:r w:rsidRPr="00174BC5">
        <w:rPr>
          <w:rFonts w:ascii="Arial" w:eastAsia="SimSun" w:hAnsi="Arial" w:cs="Arial"/>
          <w:lang w:eastAsia="zh-CN" w:bidi="hi-IN"/>
        </w:rPr>
        <w:t xml:space="preserve">, vložka </w:t>
      </w:r>
      <w:r w:rsidR="00174BC5" w:rsidRPr="00174BC5">
        <w:rPr>
          <w:rFonts w:ascii="Arial" w:eastAsia="SimSun" w:hAnsi="Arial" w:cs="Arial"/>
          <w:bCs/>
          <w:color w:val="auto"/>
          <w:lang w:eastAsia="zh-CN" w:bidi="hi-IN"/>
        </w:rPr>
        <w:t>156620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20EE3205"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r w:rsidR="002F6FE5">
        <w:rPr>
          <w:rFonts w:ascii="Arial" w:hAnsi="Arial" w:cs="Arial"/>
        </w:rPr>
        <w:t>NVIDIA</w:t>
      </w:r>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B6060D" w:rsidRPr="00B6060D">
        <w:rPr>
          <w:rFonts w:ascii="Arial" w:hAnsi="Arial" w:cs="Arial"/>
          <w:b/>
          <w:lang w:eastAsia="en-US"/>
        </w:rPr>
        <w:t>FSv</w:t>
      </w:r>
      <w:proofErr w:type="spellEnd"/>
      <w:r w:rsidR="00B6060D" w:rsidRPr="00B6060D">
        <w:rPr>
          <w:rFonts w:ascii="Arial" w:hAnsi="Arial" w:cs="Arial"/>
          <w:b/>
          <w:lang w:eastAsia="en-US"/>
        </w:rPr>
        <w:t xml:space="preserve"> - Rozšíření</w:t>
      </w:r>
      <w:proofErr w:type="gramEnd"/>
      <w:r w:rsidR="00B6060D" w:rsidRPr="00B6060D">
        <w:rPr>
          <w:rFonts w:ascii="Arial" w:hAnsi="Arial" w:cs="Arial"/>
          <w:b/>
          <w:lang w:eastAsia="en-US"/>
        </w:rPr>
        <w:t xml:space="preserve"> supportu technologie NVIDIA</w:t>
      </w:r>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dodat zboží nejpozději do 14 dnů ode dne uzavření této smlouvy.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48C3072D" w:rsidR="002A1F20" w:rsidRPr="00174BC5"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174BC5" w:rsidRPr="00174BC5">
        <w:rPr>
          <w:rFonts w:ascii="Arial" w:eastAsia="SimSun" w:hAnsi="Arial" w:cs="Arial"/>
          <w:bCs/>
          <w:color w:val="auto"/>
          <w:lang w:eastAsia="zh-CN" w:bidi="hi-IN"/>
        </w:rPr>
        <w:t>402 400,-</w:t>
      </w:r>
      <w:r w:rsidRPr="00174BC5">
        <w:rPr>
          <w:rFonts w:ascii="Arial" w:hAnsi="Arial" w:cs="Arial"/>
        </w:rPr>
        <w:t xml:space="preserve"> </w:t>
      </w:r>
      <w:r w:rsidR="00CF1757" w:rsidRPr="00174BC5">
        <w:rPr>
          <w:rFonts w:ascii="Arial" w:hAnsi="Arial" w:cs="Arial"/>
        </w:rPr>
        <w:t>Kč</w:t>
      </w:r>
    </w:p>
    <w:p w14:paraId="054E7A53" w14:textId="342B1F5F" w:rsidR="002A1F20" w:rsidRPr="00174BC5" w:rsidRDefault="002A1F20" w:rsidP="00B901DE">
      <w:pPr>
        <w:spacing w:after="0"/>
        <w:ind w:left="1440" w:right="0" w:firstLine="0"/>
        <w:rPr>
          <w:rFonts w:ascii="Arial" w:hAnsi="Arial" w:cs="Arial"/>
        </w:rPr>
      </w:pPr>
      <w:r w:rsidRPr="00174BC5">
        <w:rPr>
          <w:rFonts w:ascii="Arial" w:hAnsi="Arial" w:cs="Arial"/>
        </w:rPr>
        <w:t>DPH ve výši:</w:t>
      </w:r>
      <w:r w:rsidRPr="00174BC5">
        <w:rPr>
          <w:rFonts w:ascii="Arial" w:hAnsi="Arial" w:cs="Arial"/>
        </w:rPr>
        <w:tab/>
      </w:r>
      <w:r w:rsidRPr="00174BC5">
        <w:rPr>
          <w:rFonts w:ascii="Arial" w:hAnsi="Arial" w:cs="Arial"/>
        </w:rPr>
        <w:tab/>
      </w:r>
      <w:proofErr w:type="gramStart"/>
      <w:r w:rsidRPr="00174BC5">
        <w:rPr>
          <w:rFonts w:ascii="Arial" w:hAnsi="Arial" w:cs="Arial"/>
        </w:rPr>
        <w:tab/>
      </w:r>
      <w:r w:rsidR="00174BC5" w:rsidRPr="00174BC5">
        <w:rPr>
          <w:rFonts w:ascii="Arial" w:hAnsi="Arial" w:cs="Arial"/>
        </w:rPr>
        <w:t xml:space="preserve">  </w:t>
      </w:r>
      <w:r w:rsidR="00174BC5" w:rsidRPr="00174BC5">
        <w:rPr>
          <w:rFonts w:ascii="Arial" w:eastAsia="SimSun" w:hAnsi="Arial" w:cs="Arial"/>
          <w:bCs/>
          <w:color w:val="auto"/>
          <w:lang w:eastAsia="zh-CN" w:bidi="hi-IN"/>
        </w:rPr>
        <w:t>84</w:t>
      </w:r>
      <w:proofErr w:type="gramEnd"/>
      <w:r w:rsidR="00174BC5" w:rsidRPr="00174BC5">
        <w:rPr>
          <w:rFonts w:ascii="Arial" w:eastAsia="SimSun" w:hAnsi="Arial" w:cs="Arial"/>
          <w:bCs/>
          <w:color w:val="auto"/>
          <w:lang w:eastAsia="zh-CN" w:bidi="hi-IN"/>
        </w:rPr>
        <w:t> 504,-</w:t>
      </w:r>
      <w:r w:rsidRPr="00174BC5">
        <w:rPr>
          <w:rFonts w:ascii="Arial" w:hAnsi="Arial" w:cs="Arial"/>
        </w:rPr>
        <w:t xml:space="preserve"> </w:t>
      </w:r>
      <w:r w:rsidR="00CF1757" w:rsidRPr="00174BC5">
        <w:rPr>
          <w:rFonts w:ascii="Arial" w:hAnsi="Arial" w:cs="Arial"/>
        </w:rPr>
        <w:t>Kč</w:t>
      </w:r>
    </w:p>
    <w:p w14:paraId="2EB76359" w14:textId="13DEE55E" w:rsidR="002A1F20" w:rsidRDefault="002A1F20" w:rsidP="00B901DE">
      <w:pPr>
        <w:spacing w:after="0"/>
        <w:ind w:left="1440" w:right="0" w:firstLine="0"/>
        <w:rPr>
          <w:rFonts w:ascii="Arial" w:hAnsi="Arial" w:cs="Arial"/>
        </w:rPr>
      </w:pPr>
      <w:r w:rsidRPr="00174BC5">
        <w:rPr>
          <w:rFonts w:ascii="Arial" w:hAnsi="Arial" w:cs="Arial"/>
        </w:rPr>
        <w:t>Celková cena s DPH:</w:t>
      </w:r>
      <w:r w:rsidRPr="00174BC5">
        <w:rPr>
          <w:rFonts w:ascii="Arial" w:hAnsi="Arial" w:cs="Arial"/>
        </w:rPr>
        <w:tab/>
      </w:r>
      <w:r w:rsidRPr="00174BC5">
        <w:rPr>
          <w:rFonts w:ascii="Arial" w:hAnsi="Arial" w:cs="Arial"/>
        </w:rPr>
        <w:tab/>
      </w:r>
      <w:r w:rsidR="00174BC5" w:rsidRPr="00174BC5">
        <w:rPr>
          <w:rFonts w:ascii="Arial" w:eastAsia="SimSun" w:hAnsi="Arial" w:cs="Arial"/>
          <w:bCs/>
          <w:color w:val="auto"/>
          <w:lang w:eastAsia="zh-CN" w:bidi="hi-IN"/>
        </w:rPr>
        <w:t>486 904,-</w:t>
      </w:r>
      <w:r w:rsidRPr="00174BC5">
        <w:rPr>
          <w:rFonts w:ascii="Arial" w:hAnsi="Arial" w:cs="Arial"/>
        </w:rPr>
        <w:t xml:space="preserve"> </w:t>
      </w:r>
      <w:r w:rsidR="00CF1757" w:rsidRPr="00174BC5">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w:t>
      </w:r>
      <w:r w:rsidRPr="00845358">
        <w:rPr>
          <w:rFonts w:ascii="Arial" w:hAnsi="Arial" w:cs="Arial"/>
        </w:rPr>
        <w:lastRenderedPageBreak/>
        <w:t xml:space="preserve">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06038CE9"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footerReference w:type="default" r:id="rId9"/>
          <w:pgSz w:w="11900" w:h="16820"/>
          <w:pgMar w:top="1611" w:right="1475" w:bottom="2155" w:left="1252" w:header="708" w:footer="708" w:gutter="0"/>
          <w:cols w:space="708"/>
        </w:sectPr>
      </w:pPr>
    </w:p>
    <w:p w14:paraId="6163ADDB" w14:textId="51417087" w:rsidR="00122DF5" w:rsidRPr="00845358" w:rsidRDefault="00F826FA" w:rsidP="008D1F82">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37A84CCB"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1F6DB657"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sidR="008D1F82" w:rsidRPr="008D1F82">
              <w:rPr>
                <w:rFonts w:ascii="Arial" w:eastAsia="SimSun" w:hAnsi="Arial" w:cs="Arial"/>
                <w:color w:val="auto"/>
                <w:sz w:val="22"/>
                <w:szCs w:val="22"/>
              </w:rPr>
              <w:t>Praze</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4DED8FCD" w:rsidR="00122DF5" w:rsidRPr="008D1F82" w:rsidRDefault="008D1F82" w:rsidP="00122DF5">
            <w:pPr>
              <w:widowControl w:val="0"/>
              <w:spacing w:after="0" w:line="240" w:lineRule="atLeast"/>
              <w:ind w:left="0" w:right="0" w:firstLine="0"/>
              <w:jc w:val="center"/>
              <w:rPr>
                <w:rFonts w:ascii="Arial" w:eastAsia="SimSun" w:hAnsi="Arial" w:cs="Arial"/>
                <w:sz w:val="22"/>
                <w:szCs w:val="22"/>
              </w:rPr>
            </w:pPr>
            <w:r w:rsidRPr="008D1F82">
              <w:rPr>
                <w:rFonts w:ascii="Arial" w:eastAsia="SimSun" w:hAnsi="Arial" w:cs="Arial"/>
                <w:sz w:val="22"/>
                <w:szCs w:val="22"/>
              </w:rPr>
              <w:t xml:space="preserve">Pavel </w:t>
            </w:r>
            <w:proofErr w:type="spellStart"/>
            <w:r w:rsidRPr="008D1F82">
              <w:rPr>
                <w:rFonts w:ascii="Arial" w:eastAsia="SimSun" w:hAnsi="Arial" w:cs="Arial"/>
                <w:sz w:val="22"/>
                <w:szCs w:val="22"/>
              </w:rPr>
              <w:t>Šebera</w:t>
            </w:r>
            <w:proofErr w:type="spellEnd"/>
          </w:p>
          <w:p w14:paraId="3222FC15" w14:textId="37C5EB25" w:rsidR="00122DF5" w:rsidRPr="00122DF5" w:rsidRDefault="008D1F82" w:rsidP="00122DF5">
            <w:pPr>
              <w:widowControl w:val="0"/>
              <w:spacing w:after="0" w:line="240" w:lineRule="atLeast"/>
              <w:ind w:left="0" w:right="0" w:firstLine="0"/>
              <w:jc w:val="center"/>
              <w:rPr>
                <w:rFonts w:ascii="Arial" w:eastAsia="SimSun" w:hAnsi="Arial" w:cs="Arial"/>
                <w:sz w:val="22"/>
                <w:szCs w:val="22"/>
              </w:rPr>
            </w:pPr>
            <w:r w:rsidRPr="008D1F82">
              <w:rPr>
                <w:rFonts w:ascii="Arial" w:eastAsia="SimSun" w:hAnsi="Arial" w:cs="Arial"/>
                <w:sz w:val="22"/>
                <w:szCs w:val="22"/>
              </w:rPr>
              <w:t>jednatel</w:t>
            </w:r>
          </w:p>
        </w:tc>
      </w:tr>
    </w:tbl>
    <w:p w14:paraId="0599E8C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96A61"/>
    <w:rsid w:val="00104DD0"/>
    <w:rsid w:val="00117FC7"/>
    <w:rsid w:val="00122DF5"/>
    <w:rsid w:val="00174BC5"/>
    <w:rsid w:val="001D60FB"/>
    <w:rsid w:val="001E72D0"/>
    <w:rsid w:val="002A1F20"/>
    <w:rsid w:val="002E48BE"/>
    <w:rsid w:val="002F6FE5"/>
    <w:rsid w:val="0033194F"/>
    <w:rsid w:val="00377278"/>
    <w:rsid w:val="003C72AB"/>
    <w:rsid w:val="00473FE5"/>
    <w:rsid w:val="004F4EA6"/>
    <w:rsid w:val="00521F32"/>
    <w:rsid w:val="00547C28"/>
    <w:rsid w:val="00604A79"/>
    <w:rsid w:val="00622AFC"/>
    <w:rsid w:val="00630EB4"/>
    <w:rsid w:val="00632725"/>
    <w:rsid w:val="006554CC"/>
    <w:rsid w:val="0071420A"/>
    <w:rsid w:val="00714C21"/>
    <w:rsid w:val="00717617"/>
    <w:rsid w:val="00770FE3"/>
    <w:rsid w:val="00780DEC"/>
    <w:rsid w:val="007D7234"/>
    <w:rsid w:val="00812778"/>
    <w:rsid w:val="00845358"/>
    <w:rsid w:val="00870B9B"/>
    <w:rsid w:val="008A411D"/>
    <w:rsid w:val="008B42D0"/>
    <w:rsid w:val="008C255B"/>
    <w:rsid w:val="008D1F82"/>
    <w:rsid w:val="008F0535"/>
    <w:rsid w:val="008F4D7D"/>
    <w:rsid w:val="00917A8B"/>
    <w:rsid w:val="00922289"/>
    <w:rsid w:val="0097307A"/>
    <w:rsid w:val="009D145B"/>
    <w:rsid w:val="009E7AAD"/>
    <w:rsid w:val="00A136CE"/>
    <w:rsid w:val="00A27CDF"/>
    <w:rsid w:val="00AD1B5A"/>
    <w:rsid w:val="00B1719E"/>
    <w:rsid w:val="00B20777"/>
    <w:rsid w:val="00B25CAF"/>
    <w:rsid w:val="00B2646C"/>
    <w:rsid w:val="00B6060D"/>
    <w:rsid w:val="00B901DE"/>
    <w:rsid w:val="00C438DA"/>
    <w:rsid w:val="00C66F17"/>
    <w:rsid w:val="00CA5560"/>
    <w:rsid w:val="00CE6633"/>
    <w:rsid w:val="00CF1757"/>
    <w:rsid w:val="00CF649D"/>
    <w:rsid w:val="00D26112"/>
    <w:rsid w:val="00D616F1"/>
    <w:rsid w:val="00D93E68"/>
    <w:rsid w:val="00DD1409"/>
    <w:rsid w:val="00E52783"/>
    <w:rsid w:val="00E61146"/>
    <w:rsid w:val="00E9097F"/>
    <w:rsid w:val="00F03EF9"/>
    <w:rsid w:val="00F31555"/>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C317-420E-4006-B946-138422CC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1243</Words>
  <Characters>7335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34</cp:revision>
  <cp:lastPrinted>2017-10-05T07:32:00Z</cp:lastPrinted>
  <dcterms:created xsi:type="dcterms:W3CDTF">2020-09-25T08:19:00Z</dcterms:created>
  <dcterms:modified xsi:type="dcterms:W3CDTF">2023-12-06T13:50:00Z</dcterms:modified>
</cp:coreProperties>
</file>