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7221300185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Jablůnka</w:t>
      </w:r>
    </w:p>
    <w:p>
      <w:pPr>
        <w:pStyle w:val="BodyText"/>
        <w:tabs>
          <w:tab w:pos="2982" w:val="left" w:leader="none"/>
        </w:tabs>
        <w:ind w:left="102" w:right="1976"/>
      </w:pPr>
      <w:r>
        <w:rPr/>
        <w:t>kontaktní adresa:</w:t>
        <w:tab/>
        <w:t>Obecní</w:t>
      </w:r>
      <w:r>
        <w:rPr>
          <w:spacing w:val="-7"/>
        </w:rPr>
        <w:t> </w:t>
      </w:r>
      <w:r>
        <w:rPr/>
        <w:t>úřad</w:t>
      </w:r>
      <w:r>
        <w:rPr>
          <w:spacing w:val="-7"/>
        </w:rPr>
        <w:t> </w:t>
      </w:r>
      <w:r>
        <w:rPr/>
        <w:t>Jablůnka,</w:t>
      </w:r>
      <w:r>
        <w:rPr>
          <w:spacing w:val="-6"/>
        </w:rPr>
        <w:t> </w:t>
      </w:r>
      <w:r>
        <w:rPr/>
        <w:t>Jablůnka</w:t>
      </w:r>
      <w:r>
        <w:rPr>
          <w:spacing w:val="-7"/>
        </w:rPr>
        <w:t> </w:t>
      </w:r>
      <w:r>
        <w:rPr/>
        <w:t>365,</w:t>
      </w:r>
      <w:r>
        <w:rPr>
          <w:spacing w:val="-7"/>
        </w:rPr>
        <w:t> </w:t>
      </w:r>
      <w:r>
        <w:rPr/>
        <w:t>756</w:t>
      </w:r>
      <w:r>
        <w:rPr>
          <w:spacing w:val="-4"/>
        </w:rPr>
        <w:t> </w:t>
      </w:r>
      <w:r>
        <w:rPr/>
        <w:t>23</w:t>
      </w:r>
      <w:r>
        <w:rPr>
          <w:spacing w:val="-5"/>
        </w:rPr>
        <w:t> </w:t>
      </w:r>
      <w:r>
        <w:rPr/>
        <w:t>Jablůnka </w:t>
      </w:r>
      <w:r>
        <w:rPr>
          <w:spacing w:val="-4"/>
        </w:rPr>
        <w:t>IČO:</w:t>
      </w:r>
      <w:r>
        <w:rPr/>
        <w:tab/>
      </w:r>
      <w:r>
        <w:rPr>
          <w:spacing w:val="-2"/>
        </w:rPr>
        <w:t>00303852</w:t>
      </w:r>
    </w:p>
    <w:p>
      <w:pPr>
        <w:pStyle w:val="BodyText"/>
        <w:tabs>
          <w:tab w:pos="2982" w:val="left" w:leader="none"/>
        </w:tabs>
        <w:spacing w:line="265" w:lineRule="exact"/>
        <w:ind w:left="102"/>
      </w:pPr>
      <w:r>
        <w:rPr>
          <w:spacing w:val="-2"/>
        </w:rPr>
        <w:t>zastoupená:</w:t>
      </w:r>
      <w:r>
        <w:rPr/>
        <w:tab/>
        <w:t>Bc.</w:t>
      </w:r>
      <w:r>
        <w:rPr>
          <w:spacing w:val="-3"/>
        </w:rPr>
        <w:t> </w:t>
      </w:r>
      <w:r>
        <w:rPr/>
        <w:t>Petrem</w:t>
      </w:r>
      <w:r>
        <w:rPr>
          <w:spacing w:val="-4"/>
        </w:rPr>
        <w:t> </w:t>
      </w:r>
      <w:r>
        <w:rPr/>
        <w:t>B</w:t>
      </w:r>
      <w:r>
        <w:rPr>
          <w:spacing w:val="-2"/>
        </w:rPr>
        <w:t> </w:t>
      </w:r>
      <w:r>
        <w:rPr/>
        <w:t>r</w:t>
      </w:r>
      <w:r>
        <w:rPr>
          <w:spacing w:val="-2"/>
        </w:rPr>
        <w:t> </w:t>
      </w:r>
      <w:r>
        <w:rPr/>
        <w:t>i</w:t>
      </w:r>
      <w:r>
        <w:rPr>
          <w:spacing w:val="-3"/>
        </w:rPr>
        <w:t> </w:t>
      </w:r>
      <w:r>
        <w:rPr/>
        <w:t>n</w:t>
      </w:r>
      <w:r>
        <w:rPr>
          <w:spacing w:val="-2"/>
        </w:rPr>
        <w:t> </w:t>
      </w:r>
      <w:r>
        <w:rPr/>
        <w:t>č</w:t>
      </w:r>
      <w:r>
        <w:rPr>
          <w:spacing w:val="-3"/>
        </w:rPr>
        <w:t> </w:t>
      </w:r>
      <w:r>
        <w:rPr/>
        <w:t>e</w:t>
      </w:r>
      <w:r>
        <w:rPr>
          <w:spacing w:val="-3"/>
        </w:rPr>
        <w:t> </w:t>
      </w:r>
      <w:r>
        <w:rPr/>
        <w:t>k</w:t>
      </w:r>
      <w:r>
        <w:rPr>
          <w:spacing w:val="2"/>
        </w:rPr>
        <w:t> </w:t>
      </w:r>
      <w:r>
        <w:rPr/>
        <w:t>e</w:t>
      </w:r>
      <w:r>
        <w:rPr>
          <w:spacing w:val="-3"/>
        </w:rPr>
        <w:t> </w:t>
      </w:r>
      <w:r>
        <w:rPr/>
        <w:t>m,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94-3814851/0710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0"/>
        <w:jc w:val="both"/>
      </w:pPr>
      <w:r>
        <w:rPr/>
        <w:t>„Smlouva“) se uzavírá na základě Rozhodnutí ministra životního prostředí č. 7221300185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387"/>
        <w:jc w:val="left"/>
      </w:pPr>
      <w:r>
        <w:rPr/>
        <w:t>„Budova</w:t>
      </w:r>
      <w:r>
        <w:rPr>
          <w:spacing w:val="-6"/>
        </w:rPr>
        <w:t> </w:t>
      </w:r>
      <w:r>
        <w:rPr/>
        <w:t>Jablůnka</w:t>
      </w:r>
      <w:r>
        <w:rPr>
          <w:spacing w:val="-5"/>
        </w:rPr>
        <w:t> </w:t>
      </w:r>
      <w:r>
        <w:rPr/>
        <w:t>503</w:t>
      </w:r>
      <w:r>
        <w:rPr>
          <w:spacing w:val="-4"/>
        </w:rPr>
        <w:t> </w:t>
      </w:r>
      <w:r>
        <w:rPr/>
        <w:t>MŠ</w:t>
      </w:r>
      <w:r>
        <w:rPr>
          <w:spacing w:val="-5"/>
        </w:rPr>
        <w:t> </w:t>
      </w:r>
      <w:r>
        <w:rPr/>
        <w:t>756</w:t>
      </w:r>
      <w:r>
        <w:rPr>
          <w:spacing w:val="-5"/>
        </w:rPr>
        <w:t> </w:t>
      </w:r>
      <w:r>
        <w:rPr/>
        <w:t>23</w:t>
      </w:r>
      <w:r>
        <w:rPr>
          <w:spacing w:val="-1"/>
        </w:rPr>
        <w:t> </w:t>
      </w:r>
      <w:r>
        <w:rPr/>
        <w:t>–</w:t>
      </w:r>
      <w:r>
        <w:rPr>
          <w:spacing w:val="-5"/>
        </w:rPr>
        <w:t> </w:t>
      </w:r>
      <w:r>
        <w:rPr/>
        <w:t>Obec</w:t>
      </w:r>
      <w:r>
        <w:rPr>
          <w:spacing w:val="-5"/>
        </w:rPr>
        <w:t> </w:t>
      </w:r>
      <w:r>
        <w:rPr>
          <w:spacing w:val="-2"/>
        </w:rPr>
        <w:t>Jablůnka“</w:t>
      </w:r>
    </w:p>
    <w:p>
      <w:pPr>
        <w:pStyle w:val="BodyText"/>
        <w:spacing w:before="118"/>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BodyText"/>
        <w:spacing w:before="1"/>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4"/>
          <w:sz w:val="20"/>
        </w:rPr>
        <w:t> </w:t>
      </w:r>
      <w:r>
        <w:rPr>
          <w:sz w:val="20"/>
        </w:rPr>
        <w:t>dotace</w:t>
      </w:r>
      <w:r>
        <w:rPr>
          <w:spacing w:val="-14"/>
          <w:sz w:val="20"/>
        </w:rPr>
        <w:t> </w:t>
      </w:r>
      <w:r>
        <w:rPr>
          <w:sz w:val="20"/>
        </w:rPr>
        <w:t>ve</w:t>
      </w:r>
      <w:r>
        <w:rPr>
          <w:spacing w:val="-14"/>
          <w:sz w:val="20"/>
        </w:rPr>
        <w:t> </w:t>
      </w:r>
      <w:r>
        <w:rPr>
          <w:sz w:val="20"/>
        </w:rPr>
        <w:t>výši</w:t>
      </w:r>
      <w:r>
        <w:rPr>
          <w:spacing w:val="-13"/>
          <w:sz w:val="20"/>
        </w:rPr>
        <w:t> </w:t>
      </w:r>
      <w:r>
        <w:rPr>
          <w:b/>
          <w:sz w:val="20"/>
        </w:rPr>
        <w:t>1</w:t>
      </w:r>
      <w:r>
        <w:rPr>
          <w:b/>
          <w:spacing w:val="-14"/>
          <w:sz w:val="20"/>
        </w:rPr>
        <w:t> </w:t>
      </w:r>
      <w:r>
        <w:rPr>
          <w:b/>
          <w:sz w:val="20"/>
        </w:rPr>
        <w:t>020</w:t>
      </w:r>
      <w:r>
        <w:rPr>
          <w:b/>
          <w:spacing w:val="-6"/>
          <w:sz w:val="20"/>
        </w:rPr>
        <w:t> </w:t>
      </w:r>
      <w:r>
        <w:rPr>
          <w:b/>
          <w:sz w:val="20"/>
        </w:rPr>
        <w:t>020,92</w:t>
      </w:r>
      <w:r>
        <w:rPr>
          <w:b/>
          <w:spacing w:val="-13"/>
          <w:sz w:val="20"/>
        </w:rPr>
        <w:t> </w:t>
      </w:r>
      <w:r>
        <w:rPr>
          <w:b/>
          <w:sz w:val="20"/>
        </w:rPr>
        <w:t>Kč</w:t>
      </w:r>
      <w:r>
        <w:rPr>
          <w:b/>
          <w:spacing w:val="-14"/>
          <w:sz w:val="20"/>
        </w:rPr>
        <w:t> </w:t>
      </w:r>
      <w:r>
        <w:rPr>
          <w:sz w:val="20"/>
        </w:rPr>
        <w:t>(slovy:</w:t>
      </w:r>
      <w:r>
        <w:rPr>
          <w:spacing w:val="-14"/>
          <w:sz w:val="20"/>
        </w:rPr>
        <w:t> </w:t>
      </w:r>
      <w:r>
        <w:rPr>
          <w:sz w:val="20"/>
        </w:rPr>
        <w:t>jeden</w:t>
      </w:r>
      <w:r>
        <w:rPr>
          <w:spacing w:val="-14"/>
          <w:sz w:val="20"/>
        </w:rPr>
        <w:t> </w:t>
      </w:r>
      <w:r>
        <w:rPr>
          <w:sz w:val="20"/>
        </w:rPr>
        <w:t>milion</w:t>
      </w:r>
      <w:r>
        <w:rPr>
          <w:spacing w:val="-13"/>
          <w:sz w:val="20"/>
        </w:rPr>
        <w:t> </w:t>
      </w:r>
      <w:r>
        <w:rPr>
          <w:sz w:val="20"/>
        </w:rPr>
        <w:t>dvacet</w:t>
      </w:r>
      <w:r>
        <w:rPr>
          <w:spacing w:val="-14"/>
          <w:sz w:val="20"/>
        </w:rPr>
        <w:t> </w:t>
      </w:r>
      <w:r>
        <w:rPr>
          <w:sz w:val="20"/>
        </w:rPr>
        <w:t>tisíc</w:t>
      </w:r>
      <w:r>
        <w:rPr>
          <w:spacing w:val="-14"/>
          <w:sz w:val="20"/>
        </w:rPr>
        <w:t> </w:t>
      </w:r>
      <w:r>
        <w:rPr>
          <w:sz w:val="20"/>
        </w:rPr>
        <w:t>dvacet</w:t>
      </w:r>
      <w:r>
        <w:rPr>
          <w:spacing w:val="-12"/>
          <w:sz w:val="20"/>
        </w:rPr>
        <w:t> </w:t>
      </w:r>
      <w:r>
        <w:rPr>
          <w:sz w:val="20"/>
        </w:rPr>
        <w:t>korun</w:t>
      </w:r>
      <w:r>
        <w:rPr>
          <w:spacing w:val="-14"/>
          <w:sz w:val="20"/>
        </w:rPr>
        <w:t> </w:t>
      </w:r>
      <w:r>
        <w:rPr>
          <w:sz w:val="20"/>
        </w:rPr>
        <w:t>českých</w:t>
      </w:r>
      <w:r>
        <w:rPr>
          <w:spacing w:val="-14"/>
          <w:sz w:val="20"/>
        </w:rPr>
        <w:t> </w:t>
      </w:r>
      <w:r>
        <w:rPr>
          <w:sz w:val="20"/>
        </w:rPr>
        <w:t>a</w:t>
      </w:r>
      <w:r>
        <w:rPr>
          <w:spacing w:val="-14"/>
          <w:sz w:val="20"/>
        </w:rPr>
        <w:t> </w:t>
      </w:r>
      <w:r>
        <w:rPr>
          <w:sz w:val="20"/>
        </w:rPr>
        <w:t>devadesát dva haléřů).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Základ pro stanovení podpory odpovídá způsobilým výdajům stanoveným Fondem dle žádosti a jejích příloh a činí 1 360 027,90 Kč.</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line="265" w:lineRule="exact" w:before="188"/>
      </w:pPr>
      <w:r>
        <w:rPr>
          <w:spacing w:val="-4"/>
        </w:rPr>
        <w:t>III.</w:t>
      </w:r>
    </w:p>
    <w:p>
      <w:pPr>
        <w:pStyle w:val="Heading2"/>
        <w:spacing w:line="265" w:lineRule="exact"/>
        <w:ind w:left="3135" w:right="3148"/>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0"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37" w:lineRule="auto" w:before="124"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spacing w:after="0" w:line="237" w:lineRule="auto"/>
        <w:jc w:val="both"/>
        <w:rPr>
          <w:sz w:val="20"/>
        </w:rPr>
        <w:sectPr>
          <w:pgSz w:w="12240" w:h="15840"/>
          <w:pgMar w:header="708" w:footer="771" w:top="2040" w:bottom="960" w:left="1600" w:right="1020"/>
        </w:sectPr>
      </w:pPr>
    </w:p>
    <w:p>
      <w:pPr>
        <w:pStyle w:val="BodyText"/>
      </w:pPr>
    </w:p>
    <w:p>
      <w:pPr>
        <w:pStyle w:val="BodyText"/>
        <w:spacing w:before="12"/>
        <w:rPr>
          <w:sz w:val="18"/>
        </w:rPr>
      </w:pPr>
    </w:p>
    <w:p>
      <w:pPr>
        <w:pStyle w:val="ListParagraph"/>
        <w:numPr>
          <w:ilvl w:val="0"/>
          <w:numId w:val="3"/>
        </w:numPr>
        <w:tabs>
          <w:tab w:pos="386" w:val="left" w:leader="none"/>
        </w:tabs>
        <w:spacing w:line="240" w:lineRule="auto" w:before="100"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37" w:lineRule="auto" w:before="123" w:after="0"/>
        <w:ind w:left="385" w:right="117"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9"/>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2"/>
        <w:rPr>
          <w:b/>
          <w:sz w:val="19"/>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3" w:hanging="360"/>
        <w:jc w:val="left"/>
        <w:rPr>
          <w:sz w:val="20"/>
        </w:rPr>
      </w:pPr>
      <w:r>
        <w:rPr>
          <w:sz w:val="20"/>
        </w:rPr>
        <w:t>splní</w:t>
      </w:r>
      <w:r>
        <w:rPr>
          <w:spacing w:val="18"/>
          <w:sz w:val="20"/>
        </w:rPr>
        <w:t> </w:t>
      </w:r>
      <w:r>
        <w:rPr>
          <w:sz w:val="20"/>
        </w:rPr>
        <w:t>účel</w:t>
      </w:r>
      <w:r>
        <w:rPr>
          <w:spacing w:val="18"/>
          <w:sz w:val="20"/>
        </w:rPr>
        <w:t> </w:t>
      </w:r>
      <w:r>
        <w:rPr>
          <w:sz w:val="20"/>
        </w:rPr>
        <w:t>akce</w:t>
      </w:r>
      <w:r>
        <w:rPr>
          <w:spacing w:val="17"/>
          <w:sz w:val="20"/>
        </w:rPr>
        <w:t> </w:t>
      </w:r>
      <w:r>
        <w:rPr>
          <w:sz w:val="20"/>
        </w:rPr>
        <w:t>„Budova</w:t>
      </w:r>
      <w:r>
        <w:rPr>
          <w:spacing w:val="18"/>
          <w:sz w:val="20"/>
        </w:rPr>
        <w:t> </w:t>
      </w:r>
      <w:r>
        <w:rPr>
          <w:sz w:val="20"/>
        </w:rPr>
        <w:t>Jablůnka</w:t>
      </w:r>
      <w:r>
        <w:rPr>
          <w:spacing w:val="19"/>
          <w:sz w:val="20"/>
        </w:rPr>
        <w:t> </w:t>
      </w:r>
      <w:r>
        <w:rPr>
          <w:sz w:val="20"/>
        </w:rPr>
        <w:t>503</w:t>
      </w:r>
      <w:r>
        <w:rPr>
          <w:spacing w:val="19"/>
          <w:sz w:val="20"/>
        </w:rPr>
        <w:t> </w:t>
      </w:r>
      <w:r>
        <w:rPr>
          <w:sz w:val="20"/>
        </w:rPr>
        <w:t>MŠ</w:t>
      </w:r>
      <w:r>
        <w:rPr>
          <w:spacing w:val="18"/>
          <w:sz w:val="20"/>
        </w:rPr>
        <w:t> </w:t>
      </w:r>
      <w:r>
        <w:rPr>
          <w:sz w:val="20"/>
        </w:rPr>
        <w:t>756</w:t>
      </w:r>
      <w:r>
        <w:rPr>
          <w:spacing w:val="19"/>
          <w:sz w:val="20"/>
        </w:rPr>
        <w:t> </w:t>
      </w:r>
      <w:r>
        <w:rPr>
          <w:sz w:val="20"/>
        </w:rPr>
        <w:t>23</w:t>
      </w:r>
      <w:r>
        <w:rPr>
          <w:spacing w:val="22"/>
          <w:sz w:val="20"/>
        </w:rPr>
        <w:t> </w:t>
      </w:r>
      <w:r>
        <w:rPr>
          <w:sz w:val="20"/>
        </w:rPr>
        <w:t>–</w:t>
      </w:r>
      <w:r>
        <w:rPr>
          <w:spacing w:val="17"/>
          <w:sz w:val="20"/>
        </w:rPr>
        <w:t> </w:t>
      </w:r>
      <w:r>
        <w:rPr>
          <w:sz w:val="20"/>
        </w:rPr>
        <w:t>Obec</w:t>
      </w:r>
      <w:r>
        <w:rPr>
          <w:spacing w:val="17"/>
          <w:sz w:val="20"/>
        </w:rPr>
        <w:t> </w:t>
      </w:r>
      <w:r>
        <w:rPr>
          <w:sz w:val="20"/>
        </w:rPr>
        <w:t>Jablůnka“</w:t>
      </w:r>
      <w:r>
        <w:rPr>
          <w:spacing w:val="18"/>
          <w:sz w:val="20"/>
        </w:rPr>
        <w:t> </w:t>
      </w:r>
      <w:r>
        <w:rPr>
          <w:sz w:val="20"/>
        </w:rPr>
        <w:t>tím,</w:t>
      </w:r>
      <w:r>
        <w:rPr>
          <w:spacing w:val="18"/>
          <w:sz w:val="20"/>
        </w:rPr>
        <w:t> </w:t>
      </w:r>
      <w:r>
        <w:rPr>
          <w:sz w:val="20"/>
        </w:rPr>
        <w:t>že</w:t>
      </w:r>
      <w:r>
        <w:rPr>
          <w:spacing w:val="17"/>
          <w:sz w:val="20"/>
        </w:rPr>
        <w:t> </w:t>
      </w:r>
      <w:r>
        <w:rPr>
          <w:sz w:val="20"/>
        </w:rPr>
        <w:t>akce</w:t>
      </w:r>
      <w:r>
        <w:rPr>
          <w:spacing w:val="20"/>
          <w:sz w:val="20"/>
        </w:rPr>
        <w:t> </w:t>
      </w:r>
      <w:r>
        <w:rPr>
          <w:sz w:val="20"/>
        </w:rPr>
        <w:t>bude</w:t>
      </w:r>
      <w:r>
        <w:rPr>
          <w:spacing w:val="17"/>
          <w:sz w:val="20"/>
        </w:rPr>
        <w:t> </w:t>
      </w:r>
      <w:r>
        <w:rPr>
          <w:sz w:val="20"/>
        </w:rPr>
        <w:t>provedena v souladu s Výzvou, žádostí o podporu a jejími přílohami a touto Smlouvou,</w:t>
      </w:r>
    </w:p>
    <w:p>
      <w:pPr>
        <w:pStyle w:val="ListParagraph"/>
        <w:numPr>
          <w:ilvl w:val="1"/>
          <w:numId w:val="4"/>
        </w:numPr>
        <w:tabs>
          <w:tab w:pos="746" w:val="left" w:leader="none"/>
          <w:tab w:pos="1668" w:val="left" w:leader="none"/>
          <w:tab w:pos="2625" w:val="left" w:leader="none"/>
          <w:tab w:pos="3351" w:val="left" w:leader="none"/>
          <w:tab w:pos="4489" w:val="left" w:leader="none"/>
          <w:tab w:pos="5139" w:val="left" w:leader="none"/>
          <w:tab w:pos="6499" w:val="left" w:leader="none"/>
          <w:tab w:pos="7595" w:val="left" w:leader="none"/>
          <w:tab w:pos="8005" w:val="left" w:leader="none"/>
          <w:tab w:pos="8794" w:val="left" w:leader="none"/>
        </w:tabs>
        <w:spacing w:line="240" w:lineRule="auto" w:before="1" w:after="0"/>
        <w:ind w:left="745" w:right="116"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49,95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after="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49.95</w:t>
            </w:r>
          </w:p>
        </w:tc>
      </w:tr>
      <w:tr>
        <w:trPr>
          <w:trHeight w:val="505"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36.67</w:t>
            </w:r>
          </w:p>
        </w:tc>
      </w:tr>
      <w:tr>
        <w:trPr>
          <w:trHeight w:val="530" w:hRule="atLeast"/>
        </w:trPr>
        <w:tc>
          <w:tcPr>
            <w:tcW w:w="3749" w:type="dxa"/>
          </w:tcPr>
          <w:p>
            <w:pPr>
              <w:pStyle w:val="TableParagraph"/>
              <w:spacing w:line="264" w:lineRule="exact" w:before="0"/>
              <w:ind w:left="388"/>
              <w:rPr>
                <w:sz w:val="20"/>
              </w:rPr>
            </w:pPr>
            <w:r>
              <w:rPr>
                <w:sz w:val="20"/>
              </w:rPr>
              <w:t>Sníženi</w:t>
            </w:r>
            <w:r>
              <w:rPr>
                <w:spacing w:val="-11"/>
                <w:sz w:val="20"/>
              </w:rPr>
              <w:t> </w:t>
            </w:r>
            <w:r>
              <w:rPr>
                <w:sz w:val="20"/>
              </w:rPr>
              <w:t>spotřeby</w:t>
            </w:r>
            <w:r>
              <w:rPr>
                <w:spacing w:val="-9"/>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110.87</w:t>
            </w:r>
          </w:p>
        </w:tc>
      </w:tr>
      <w:tr>
        <w:trPr>
          <w:trHeight w:val="509"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3"/>
              <w:ind w:left="0" w:right="438"/>
              <w:jc w:val="right"/>
              <w:rPr>
                <w:sz w:val="20"/>
              </w:rPr>
            </w:pPr>
            <w:r>
              <w:rPr>
                <w:spacing w:val="-2"/>
                <w:sz w:val="20"/>
              </w:rPr>
              <w:t>MWh/rok</w:t>
            </w:r>
          </w:p>
        </w:tc>
        <w:tc>
          <w:tcPr>
            <w:tcW w:w="1712" w:type="dxa"/>
          </w:tcPr>
          <w:p>
            <w:pPr>
              <w:pStyle w:val="TableParagraph"/>
              <w:spacing w:before="123"/>
              <w:ind w:left="389"/>
              <w:rPr>
                <w:sz w:val="20"/>
              </w:rPr>
            </w:pPr>
            <w:r>
              <w:rPr>
                <w:w w:val="99"/>
                <w:sz w:val="20"/>
              </w:rPr>
              <w:t>0</w:t>
            </w:r>
          </w:p>
        </w:tc>
        <w:tc>
          <w:tcPr>
            <w:tcW w:w="1683" w:type="dxa"/>
          </w:tcPr>
          <w:p>
            <w:pPr>
              <w:pStyle w:val="TableParagraph"/>
              <w:spacing w:before="123"/>
              <w:ind w:left="391"/>
              <w:rPr>
                <w:sz w:val="20"/>
              </w:rPr>
            </w:pPr>
            <w:r>
              <w:rPr>
                <w:spacing w:val="-2"/>
                <w:sz w:val="20"/>
              </w:rPr>
              <w:t>53.20</w:t>
            </w:r>
          </w:p>
        </w:tc>
      </w:tr>
    </w:tbl>
    <w:p>
      <w:pPr>
        <w:pStyle w:val="BodyText"/>
        <w:spacing w:before="11"/>
        <w:rPr>
          <w:sz w:val="37"/>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 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8"/>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5"/>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22"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pPr>
    </w:p>
    <w:p>
      <w:pPr>
        <w:pStyle w:val="BodyText"/>
        <w:spacing w:before="12"/>
        <w:rPr>
          <w:sz w:val="18"/>
        </w:rPr>
      </w:pPr>
    </w:p>
    <w:p>
      <w:pPr>
        <w:pStyle w:val="ListParagraph"/>
        <w:numPr>
          <w:ilvl w:val="0"/>
          <w:numId w:val="5"/>
        </w:numPr>
        <w:tabs>
          <w:tab w:pos="386" w:val="left" w:leader="none"/>
        </w:tabs>
        <w:spacing w:line="240" w:lineRule="auto" w:before="100" w:after="0"/>
        <w:ind w:left="385" w:right="111"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4"/>
          <w:sz w:val="20"/>
        </w:rPr>
        <w:t> </w:t>
      </w:r>
      <w:r>
        <w:rPr>
          <w:sz w:val="20"/>
        </w:rPr>
        <w:t>z</w:t>
      </w:r>
      <w:r>
        <w:rPr>
          <w:spacing w:val="-3"/>
          <w:sz w:val="20"/>
        </w:rPr>
        <w:t> </w:t>
      </w:r>
      <w:r>
        <w:rPr>
          <w:sz w:val="20"/>
        </w:rPr>
        <w:t>poskytnuté</w:t>
      </w:r>
      <w:r>
        <w:rPr>
          <w:spacing w:val="-5"/>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right="110"/>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3"/>
          <w:sz w:val="20"/>
        </w:rPr>
        <w:t> </w:t>
      </w:r>
      <w:r>
        <w:rPr>
          <w:sz w:val="20"/>
        </w:rPr>
        <w:t>podpory,</w:t>
      </w:r>
      <w:r>
        <w:rPr>
          <w:spacing w:val="-3"/>
          <w:sz w:val="20"/>
        </w:rPr>
        <w:t> </w:t>
      </w:r>
      <w:r>
        <w:rPr>
          <w:sz w:val="20"/>
        </w:rPr>
        <w:t>od</w:t>
      </w:r>
      <w:r>
        <w:rPr>
          <w:spacing w:val="-2"/>
          <w:sz w:val="20"/>
        </w:rPr>
        <w:t> </w:t>
      </w:r>
      <w:r>
        <w:rPr>
          <w:sz w:val="20"/>
        </w:rPr>
        <w:t>121</w:t>
      </w:r>
      <w:r>
        <w:rPr>
          <w:spacing w:val="-2"/>
          <w:sz w:val="20"/>
        </w:rPr>
        <w:t> </w:t>
      </w:r>
      <w:r>
        <w:rPr>
          <w:sz w:val="20"/>
        </w:rPr>
        <w:t>do</w:t>
      </w:r>
      <w:r>
        <w:rPr>
          <w:spacing w:val="-2"/>
          <w:sz w:val="20"/>
        </w:rPr>
        <w:t> </w:t>
      </w:r>
      <w:r>
        <w:rPr>
          <w:sz w:val="20"/>
        </w:rPr>
        <w:t>180</w:t>
      </w:r>
      <w:r>
        <w:rPr>
          <w:spacing w:val="-2"/>
          <w:sz w:val="20"/>
        </w:rPr>
        <w:t> </w:t>
      </w:r>
      <w:r>
        <w:rPr>
          <w:sz w:val="20"/>
        </w:rPr>
        <w:t>kalendářních</w:t>
      </w:r>
      <w:r>
        <w:rPr>
          <w:spacing w:val="-2"/>
          <w:sz w:val="20"/>
        </w:rPr>
        <w:t> </w:t>
      </w:r>
      <w:r>
        <w:rPr>
          <w:sz w:val="20"/>
        </w:rPr>
        <w:t>dní</w:t>
      </w:r>
      <w:r>
        <w:rPr>
          <w:spacing w:val="-1"/>
          <w:sz w:val="20"/>
        </w:rPr>
        <w:t> </w:t>
      </w:r>
      <w:r>
        <w:rPr>
          <w:sz w:val="20"/>
        </w:rPr>
        <w:t>odvod</w:t>
      </w:r>
      <w:r>
        <w:rPr>
          <w:spacing w:val="-2"/>
          <w:sz w:val="20"/>
        </w:rPr>
        <w:t> </w:t>
      </w:r>
      <w:r>
        <w:rPr>
          <w:sz w:val="20"/>
        </w:rPr>
        <w:t>1</w:t>
      </w:r>
      <w:r>
        <w:rPr>
          <w:spacing w:val="-2"/>
          <w:sz w:val="20"/>
        </w:rPr>
        <w:t> </w:t>
      </w:r>
      <w:r>
        <w:rPr>
          <w:sz w:val="20"/>
        </w:rPr>
        <w:t>%</w:t>
      </w:r>
      <w:r>
        <w:rPr>
          <w:spacing w:val="-2"/>
          <w:sz w:val="20"/>
        </w:rPr>
        <w:t> </w:t>
      </w:r>
      <w:r>
        <w:rPr>
          <w:sz w:val="20"/>
        </w:rPr>
        <w:t>z poskytnuté</w:t>
      </w:r>
      <w:r>
        <w:rPr>
          <w:spacing w:val="-3"/>
          <w:sz w:val="20"/>
        </w:rPr>
        <w:t> </w:t>
      </w:r>
      <w:r>
        <w:rPr>
          <w:sz w:val="20"/>
        </w:rPr>
        <w:t>podpory,</w:t>
      </w:r>
      <w:r>
        <w:rPr>
          <w:spacing w:val="-3"/>
          <w:sz w:val="20"/>
        </w:rPr>
        <w:t> </w:t>
      </w:r>
      <w:r>
        <w:rPr>
          <w:sz w:val="20"/>
        </w:rPr>
        <w:t>prodlení</w:t>
      </w:r>
      <w:r>
        <w:rPr>
          <w:spacing w:val="-3"/>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19"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1"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4"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3"/>
          <w:sz w:val="20"/>
        </w:rPr>
        <w:t> </w:t>
      </w:r>
      <w:r>
        <w:rPr>
          <w:sz w:val="20"/>
        </w:rPr>
        <w:t>Smlouvy</w:t>
      </w:r>
      <w:r>
        <w:rPr>
          <w:spacing w:val="-14"/>
          <w:sz w:val="20"/>
        </w:rPr>
        <w:t> </w:t>
      </w:r>
      <w:r>
        <w:rPr>
          <w:sz w:val="20"/>
        </w:rPr>
        <w:t>neupravené</w:t>
      </w:r>
      <w:r>
        <w:rPr>
          <w:spacing w:val="-14"/>
          <w:sz w:val="20"/>
        </w:rPr>
        <w:t> </w:t>
      </w:r>
      <w:r>
        <w:rPr>
          <w:sz w:val="20"/>
        </w:rPr>
        <w:t>veřejnoprávními</w:t>
      </w:r>
      <w:r>
        <w:rPr>
          <w:spacing w:val="-13"/>
          <w:sz w:val="20"/>
        </w:rPr>
        <w:t> </w:t>
      </w:r>
      <w:r>
        <w:rPr>
          <w:sz w:val="20"/>
        </w:rPr>
        <w:t>předpisy</w:t>
      </w:r>
      <w:r>
        <w:rPr>
          <w:spacing w:val="-14"/>
          <w:sz w:val="20"/>
        </w:rPr>
        <w:t> </w:t>
      </w:r>
      <w:r>
        <w:rPr>
          <w:sz w:val="20"/>
        </w:rPr>
        <w:t>se</w:t>
      </w:r>
      <w:r>
        <w:rPr>
          <w:spacing w:val="-10"/>
          <w:sz w:val="20"/>
        </w:rPr>
        <w:t> </w:t>
      </w:r>
      <w:r>
        <w:rPr>
          <w:sz w:val="20"/>
        </w:rPr>
        <w:t>řídí</w:t>
      </w:r>
      <w:r>
        <w:rPr>
          <w:spacing w:val="-14"/>
          <w:sz w:val="20"/>
        </w:rPr>
        <w:t> </w:t>
      </w:r>
      <w:r>
        <w:rPr>
          <w:sz w:val="20"/>
        </w:rPr>
        <w:t>příslušnými</w:t>
      </w:r>
      <w:r>
        <w:rPr>
          <w:spacing w:val="-14"/>
          <w:sz w:val="20"/>
        </w:rPr>
        <w:t> </w:t>
      </w:r>
      <w:r>
        <w:rPr>
          <w:sz w:val="20"/>
        </w:rPr>
        <w:t>ustanoveními</w:t>
      </w:r>
      <w:r>
        <w:rPr>
          <w:spacing w:val="-13"/>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18"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13"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line="237" w:lineRule="auto" w:before="3"/>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3"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3"/>
          <w:sz w:val="20"/>
        </w:rPr>
        <w:t> </w:t>
      </w:r>
      <w:r>
        <w:rPr>
          <w:i/>
          <w:sz w:val="20"/>
        </w:rPr>
        <w:t>Smlouva</w:t>
      </w:r>
      <w:r>
        <w:rPr>
          <w:i/>
          <w:spacing w:val="-4"/>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4"/>
          <w:sz w:val="20"/>
        </w:rPr>
        <w:t> </w:t>
      </w:r>
      <w:r>
        <w:rPr>
          <w:i/>
          <w:sz w:val="20"/>
        </w:rPr>
        <w:t>Státního</w:t>
      </w:r>
      <w:r>
        <w:rPr>
          <w:i/>
          <w:spacing w:val="-5"/>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2" w:hanging="432"/>
        <w:jc w:val="both"/>
        <w:rPr>
          <w:sz w:val="20"/>
        </w:rPr>
      </w:pPr>
      <w:r>
        <w:rPr>
          <w:sz w:val="20"/>
        </w:rPr>
        <w:t>V</w:t>
      </w:r>
      <w:r>
        <w:rPr>
          <w:spacing w:val="-10"/>
          <w:sz w:val="20"/>
        </w:rPr>
        <w:t> </w:t>
      </w:r>
      <w:r>
        <w:rPr>
          <w:sz w:val="20"/>
        </w:rPr>
        <w:t>případě,</w:t>
      </w:r>
      <w:r>
        <w:rPr>
          <w:spacing w:val="-10"/>
          <w:sz w:val="20"/>
        </w:rPr>
        <w:t> </w:t>
      </w:r>
      <w:r>
        <w:rPr>
          <w:sz w:val="20"/>
        </w:rPr>
        <w:t>že</w:t>
      </w:r>
      <w:r>
        <w:rPr>
          <w:spacing w:val="-10"/>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9"/>
          <w:sz w:val="20"/>
        </w:rPr>
        <w:t> </w:t>
      </w:r>
      <w:r>
        <w:rPr>
          <w:sz w:val="20"/>
        </w:rPr>
        <w:t>potenciální</w:t>
      </w:r>
      <w:r>
        <w:rPr>
          <w:spacing w:val="-9"/>
          <w:sz w:val="20"/>
        </w:rPr>
        <w:t> </w:t>
      </w:r>
      <w:r>
        <w:rPr>
          <w:sz w:val="20"/>
        </w:rPr>
        <w:t>finanční</w:t>
      </w:r>
      <w:r>
        <w:rPr>
          <w:spacing w:val="-10"/>
          <w:sz w:val="20"/>
        </w:rPr>
        <w:t> </w:t>
      </w:r>
      <w:r>
        <w:rPr>
          <w:sz w:val="20"/>
        </w:rPr>
        <w:t>dopad,</w:t>
      </w:r>
      <w:r>
        <w:rPr>
          <w:spacing w:val="-9"/>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9"/>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9"/>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9"/>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 nebo hodnocení nabídek 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 schopen prokázat, 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470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5126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2023-12-12T09:20:34Z</dcterms:created>
  <dcterms:modified xsi:type="dcterms:W3CDTF">2023-12-12T09:20:34Z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2016</vt:lpwstr>
  </property>
  <property fmtid="{D5CDD505-2E9C-101B-9397-08002B2CF9AE}" pid="4" name="LastSaved">
    <vt:filetime>2023-12-12T00:00:00Z</vt:filetime>
  </property>
</Properties>
</file>