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A57" w14:textId="14CA4B4B" w:rsidR="00555D3B" w:rsidRDefault="00555D3B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32468A2F" w14:textId="572FFD65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01033EEC" w14:textId="30453F02" w:rsidR="00CC7338" w:rsidRPr="000417F6" w:rsidRDefault="001C575A" w:rsidP="00F41F6D">
      <w:pPr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47C520B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 C)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  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5435277" w14:textId="51A3BA8E" w:rsidR="004C05F7" w:rsidRPr="00F41F6D" w:rsidRDefault="008A0FC4" w:rsidP="004C05F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>Ochranná stání na Labské vodní cestě – lokality Pardubice-Kostomlátky-</w:t>
      </w:r>
      <w:proofErr w:type="spellStart"/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>Klavary</w:t>
      </w:r>
      <w:proofErr w:type="spellEnd"/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- Správce stavby - OPAKOVANÉ ŘÍZENÍ, část </w:t>
      </w:r>
      <w:r w:rsidR="00E76135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lokalita </w:t>
      </w:r>
      <w:r w:rsidR="00E76135">
        <w:rPr>
          <w:rFonts w:asciiTheme="minorHAnsi" w:hAnsiTheme="minorHAnsi" w:cstheme="minorHAnsi"/>
          <w:b/>
          <w:bCs/>
          <w:iCs/>
          <w:sz w:val="22"/>
          <w:szCs w:val="22"/>
        </w:rPr>
        <w:t>Kostomlátky</w:t>
      </w:r>
      <w:r w:rsidR="004C05F7" w:rsidRPr="00F41F6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C05F7" w:rsidRPr="00F41F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37CFBB29" w14:textId="52BF69C9" w:rsidR="004C05F7" w:rsidRDefault="004C05F7" w:rsidP="004C05F7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0B86BF97" w14:textId="026ABB53" w:rsidR="004C05F7" w:rsidRPr="003A0765" w:rsidRDefault="002D70A8" w:rsidP="004C05F7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2D70A8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Pr="002D70A8">
        <w:rPr>
          <w:rFonts w:asciiTheme="minorHAnsi" w:hAnsiTheme="minorHAnsi" w:cstheme="minorHAnsi"/>
          <w:bCs/>
          <w:iCs/>
          <w:sz w:val="22"/>
          <w:szCs w:val="22"/>
        </w:rPr>
        <w:t>Ochranná stání na Labské vodní cestě – lokality Pardubice-Kostomlátky-</w:t>
      </w:r>
      <w:proofErr w:type="spellStart"/>
      <w:r w:rsidRPr="002D70A8">
        <w:rPr>
          <w:rFonts w:asciiTheme="minorHAnsi" w:hAnsiTheme="minorHAnsi" w:cstheme="minorHAnsi"/>
          <w:bCs/>
          <w:iCs/>
          <w:sz w:val="22"/>
          <w:szCs w:val="22"/>
        </w:rPr>
        <w:t>Klavary</w:t>
      </w:r>
      <w:proofErr w:type="spellEnd"/>
      <w:r w:rsidRPr="002D70A8">
        <w:rPr>
          <w:rFonts w:asciiTheme="minorHAnsi" w:hAnsiTheme="minorHAnsi" w:cstheme="minorHAnsi"/>
          <w:bCs/>
          <w:iCs/>
          <w:sz w:val="22"/>
          <w:szCs w:val="22"/>
        </w:rPr>
        <w:t xml:space="preserve"> - Správce stavby - OPAKOVANÉ ŘÍZENÍ</w:t>
      </w:r>
      <w:r w:rsidR="004C05F7" w:rsidRPr="003A0765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4C05F7" w:rsidRPr="003A0765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</w:p>
    <w:p w14:paraId="5D8CABB5" w14:textId="4F70D44D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D7427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Z2023-031992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0C9A97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08B0BFD" w14:textId="0C0EBE4A" w:rsidR="00161791" w:rsidRDefault="00CC7338" w:rsidP="00161791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3A07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Ochranná stání na Labské vodní cestě – lokality Pardubice-Kostomlátky-</w:t>
      </w:r>
      <w:proofErr w:type="spellStart"/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Klavary</w:t>
      </w:r>
      <w:proofErr w:type="spellEnd"/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- Správce stavby - OPAKOVANÉ ŘÍZENÍ</w:t>
      </w:r>
      <w:r w:rsidR="00161791" w:rsidRPr="003A0765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599541A3" w14:textId="77777777" w:rsidR="003A0765" w:rsidRDefault="003A0765" w:rsidP="00161791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371A717C" w14:textId="5D4F291A" w:rsidR="00161791" w:rsidRPr="000417F6" w:rsidRDefault="00161791" w:rsidP="00161791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ev. č.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D74273" w:rsidRPr="00D7427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Z2023-031992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2A97F53E" w:rsidR="003840D7" w:rsidRPr="000417F6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161791" w:rsidRPr="00161791">
        <w:rPr>
          <w:rFonts w:asciiTheme="minorHAnsi" w:hAnsiTheme="minorHAnsi" w:cstheme="minorHAnsi"/>
          <w:sz w:val="22"/>
          <w:szCs w:val="22"/>
        </w:rPr>
        <w:t>Ochranná stání na Labské vodní cestě</w:t>
      </w:r>
      <w:r w:rsidR="00161791">
        <w:rPr>
          <w:rFonts w:asciiTheme="minorHAnsi" w:hAnsiTheme="minorHAnsi" w:cstheme="minorHAnsi"/>
          <w:sz w:val="20"/>
        </w:rPr>
        <w:t xml:space="preserve"> </w:t>
      </w:r>
      <w:r w:rsidR="00D819D1" w:rsidRPr="00B52342">
        <w:rPr>
          <w:rFonts w:asciiTheme="minorHAnsi" w:hAnsiTheme="minorHAnsi" w:cstheme="minorHAnsi"/>
          <w:sz w:val="22"/>
          <w:szCs w:val="22"/>
        </w:rPr>
        <w:t xml:space="preserve">–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840D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A32D6" w:rsidRPr="009E6302">
        <w:rPr>
          <w:rFonts w:asciiTheme="minorHAnsi" w:hAnsiTheme="minorHAnsi" w:cstheme="minorHAnsi"/>
          <w:bCs/>
          <w:sz w:val="22"/>
          <w:szCs w:val="22"/>
        </w:rPr>
        <w:t>.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8778B4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</w:p>
    <w:p w14:paraId="2C3CB17E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0DA9ABF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17326611" w:rsidR="00701F94" w:rsidRPr="00A52F4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A52F47">
        <w:rPr>
          <w:rFonts w:ascii="Arial" w:hAnsi="Arial"/>
          <w:b/>
          <w:bCs/>
          <w:sz w:val="22"/>
          <w:szCs w:val="22"/>
        </w:rPr>
        <w:lastRenderedPageBreak/>
        <w:t>Výkon technického dozoru stavebníka</w:t>
      </w:r>
      <w:r w:rsidR="009914FD" w:rsidRPr="00A52F47">
        <w:rPr>
          <w:rFonts w:ascii="Arial" w:hAnsi="Arial"/>
          <w:b/>
          <w:bCs/>
          <w:sz w:val="22"/>
          <w:szCs w:val="22"/>
        </w:rPr>
        <w:t xml:space="preserve"> – vedoucí týmu</w:t>
      </w:r>
      <w:r w:rsidRPr="00A52F47">
        <w:rPr>
          <w:rFonts w:ascii="Arial" w:hAnsi="Arial"/>
          <w:b/>
          <w:bCs/>
          <w:sz w:val="22"/>
          <w:szCs w:val="22"/>
        </w:rPr>
        <w:t xml:space="preserve"> (dále jen „TDS“</w:t>
      </w:r>
      <w:r w:rsidR="00A52F47">
        <w:rPr>
          <w:rFonts w:ascii="Arial" w:hAnsi="Arial"/>
          <w:b/>
          <w:bCs/>
          <w:sz w:val="22"/>
          <w:szCs w:val="22"/>
        </w:rPr>
        <w:t>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2D5DC04F" w:rsidR="00993AFD" w:rsidRPr="000417F6" w:rsidRDefault="00993AFD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</w:t>
      </w:r>
      <w:r w:rsidR="0069146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/12, 110 15 Praha 1</w:t>
      </w:r>
    </w:p>
    <w:p w14:paraId="47CC406A" w14:textId="611B33EF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11074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proofErr w:type="spellEnd"/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373737"/>
          <w:sz w:val="20"/>
          <w:szCs w:val="20"/>
          <w:shd w:val="clear" w:color="auto" w:fill="FFFFFF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596981">
        <w:rPr>
          <w:rFonts w:ascii="Tahoma" w:hAnsi="Tahoma" w:cs="Tahoma"/>
          <w:color w:val="373737"/>
          <w:sz w:val="20"/>
          <w:szCs w:val="20"/>
          <w:shd w:val="clear" w:color="auto" w:fill="FFFFFF"/>
        </w:rPr>
        <w:t>ndn5skh</w:t>
      </w:r>
    </w:p>
    <w:p w14:paraId="402D745C" w14:textId="79C9BE84" w:rsidR="00596981" w:rsidRPr="000417F6" w:rsidRDefault="0059698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proofErr w:type="spellStart"/>
      <w:r w:rsidR="0011074F">
        <w:rPr>
          <w:rFonts w:ascii="Tahoma" w:hAnsi="Tahoma" w:cs="Tahoma"/>
          <w:color w:val="373737"/>
          <w:sz w:val="20"/>
          <w:szCs w:val="20"/>
          <w:shd w:val="clear" w:color="auto" w:fill="FFFFFF"/>
        </w:rPr>
        <w:t>xxxx</w:t>
      </w:r>
      <w:proofErr w:type="spellEnd"/>
    </w:p>
    <w:p w14:paraId="255559E2" w14:textId="6203B035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3201828A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IPSUM CZ s.r.o.</w:t>
      </w:r>
    </w:p>
    <w:p w14:paraId="17A58B32" w14:textId="6061F272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11074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proofErr w:type="spellEnd"/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4D9B6EF" w14:textId="3318B829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kbwybup</w:t>
      </w:r>
      <w:proofErr w:type="spellEnd"/>
    </w:p>
    <w:p w14:paraId="6F4BCA62" w14:textId="764DE50E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11074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proofErr w:type="spellEnd"/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4BC9FFC4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217916"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17916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B298E">
        <w:rPr>
          <w:rFonts w:asciiTheme="minorHAnsi" w:hAnsiTheme="minorHAnsi" w:cstheme="minorHAnsi"/>
          <w:sz w:val="22"/>
          <w:szCs w:val="22"/>
        </w:rPr>
        <w:t xml:space="preserve"> nebo jím určený zástupce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298E">
        <w:rPr>
          <w:rFonts w:asciiTheme="minorHAnsi" w:hAnsiTheme="minorHAnsi" w:cstheme="minorHAnsi"/>
          <w:sz w:val="22"/>
          <w:szCs w:val="22"/>
        </w:rPr>
        <w:t xml:space="preserve">na pozici </w:t>
      </w:r>
      <w:r w:rsidR="006725E8">
        <w:rPr>
          <w:rFonts w:asciiTheme="minorHAnsi" w:hAnsiTheme="minorHAnsi" w:cstheme="minorHAnsi"/>
          <w:sz w:val="22"/>
          <w:szCs w:val="22"/>
        </w:rPr>
        <w:t>vedoucí projektu</w:t>
      </w:r>
      <w:r w:rsidR="003A0765">
        <w:rPr>
          <w:rFonts w:asciiTheme="minorHAnsi" w:hAnsiTheme="minorHAnsi" w:cstheme="minorHAnsi"/>
          <w:sz w:val="22"/>
          <w:szCs w:val="22"/>
        </w:rPr>
        <w:t>.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Personálu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35228A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24321F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6541BC16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aktivita či jiná živelní událost a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163FB35C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Smlouvě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1ED94992" w14:textId="77777777" w:rsidR="00977E35" w:rsidRPr="00977E35" w:rsidRDefault="00977E35">
      <w:pPr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den kalendářního měsíce, </w:t>
      </w:r>
      <w:r w:rsidR="00CC7338" w:rsidRPr="000417F6">
        <w:rPr>
          <w:rFonts w:asciiTheme="minorHAnsi" w:hAnsiTheme="minorHAnsi" w:cstheme="minorHAnsi"/>
          <w:sz w:val="22"/>
          <w:szCs w:val="22"/>
        </w:rPr>
        <w:lastRenderedPageBreak/>
        <w:t>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163406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052F7F8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E8F9F12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104DA0CD" w:rsidR="008B0939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97FA9A1" w14:textId="77777777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9B2B55" w14:textId="77777777" w:rsidR="000C12A2" w:rsidRPr="000708AC" w:rsidRDefault="000C12A2" w:rsidP="000C12A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 xml:space="preserve">„Konzultant nejpozději před podpisem Smlouvy předloží Objednateli doklad o zajištění </w:t>
      </w:r>
      <w:r w:rsidRPr="00926D4C">
        <w:rPr>
          <w:rFonts w:asciiTheme="minorHAnsi" w:hAnsiTheme="minorHAnsi" w:cstheme="minorHAnsi"/>
          <w:b/>
          <w:bCs/>
          <w:sz w:val="22"/>
          <w:szCs w:val="22"/>
        </w:rPr>
        <w:t>bankovní záruky za řádné poskytování Služeb ve výši 3 % z Přijaté smluvní částky</w:t>
      </w:r>
      <w:r w:rsidRPr="000708AC">
        <w:rPr>
          <w:rFonts w:asciiTheme="minorHAnsi" w:hAnsiTheme="minorHAnsi" w:cstheme="minorHAnsi"/>
          <w:sz w:val="22"/>
          <w:szCs w:val="22"/>
        </w:rPr>
        <w:t>. Konzultant se zavazuje udržovat tuto bankovní záruku v platnosti nepřetržitě po celou dobu poskytování Služeb, s výjimkou Fáze poskytování Služeb v záruční době Díla. Bankovní záruka za řádné poskytování Služeb bude vystavena jako neodvolatelná, bezpodmínečná a splatná bez nutnosti předchozí výzvy a bez námitek či omezujících podmínek do 5 (slovy: pěti) dnů od obdržení první písemné výzvy Objednatele. Bankovní záruka a její výklad se bude řídit právem České republiky a bude podléhat Jednotným pravidlům pro záruky vyplatitelné na požádání, které pod číslem 758 vydala Mezinárodní obchodní komora. Zajištění vystavení a udržování bankovní záruky za řádné poskytování Služeb po stanovenou dobu v platnosti provede Konzultant na své náklady a riziko. Konzultant je povinen zajistit, že Objednatel bude oprávněn čerpat z bankovní záruky za řádné poskytování Služeb částku až do výše 3 % z Přijaté smluvní částky v případě, že:</w:t>
      </w:r>
    </w:p>
    <w:p w14:paraId="38DA04F1" w14:textId="77777777" w:rsidR="000C12A2" w:rsidRPr="000708AC" w:rsidRDefault="000C12A2" w:rsidP="000C12A2">
      <w:pPr>
        <w:pStyle w:val="Odstavecseseznamem"/>
        <w:numPr>
          <w:ilvl w:val="0"/>
          <w:numId w:val="2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Služby nejsou poskytovány v souladu se Smlouvou či Konzultant nenaprav</w:t>
      </w:r>
      <w:r w:rsidRPr="000708AC">
        <w:rPr>
          <w:rFonts w:asciiTheme="minorHAnsi" w:hAnsiTheme="minorHAnsi" w:cstheme="minorHAnsi" w:hint="eastAsia"/>
          <w:sz w:val="22"/>
          <w:szCs w:val="22"/>
        </w:rPr>
        <w:t>í</w:t>
      </w:r>
      <w:r w:rsidRPr="000708AC">
        <w:rPr>
          <w:rFonts w:asciiTheme="minorHAnsi" w:hAnsiTheme="minorHAnsi" w:cstheme="minorHAnsi"/>
          <w:sz w:val="22"/>
          <w:szCs w:val="22"/>
        </w:rPr>
        <w:t xml:space="preserve"> poru</w:t>
      </w:r>
      <w:r w:rsidRPr="000708AC">
        <w:rPr>
          <w:rFonts w:asciiTheme="minorHAnsi" w:hAnsiTheme="minorHAnsi" w:cstheme="minorHAnsi" w:hint="eastAsia"/>
          <w:sz w:val="22"/>
          <w:szCs w:val="22"/>
        </w:rPr>
        <w:t>š</w:t>
      </w:r>
      <w:r w:rsidRPr="000708AC">
        <w:rPr>
          <w:rFonts w:asciiTheme="minorHAnsi" w:hAnsiTheme="minorHAnsi" w:cstheme="minorHAnsi"/>
          <w:sz w:val="22"/>
          <w:szCs w:val="22"/>
        </w:rPr>
        <w:t>en</w:t>
      </w:r>
      <w:r w:rsidRPr="000708AC">
        <w:rPr>
          <w:rFonts w:asciiTheme="minorHAnsi" w:hAnsiTheme="minorHAnsi" w:cstheme="minorHAnsi" w:hint="eastAsia"/>
          <w:sz w:val="22"/>
          <w:szCs w:val="22"/>
        </w:rPr>
        <w:t>í</w:t>
      </w:r>
      <w:r w:rsidRPr="000708AC">
        <w:rPr>
          <w:rFonts w:asciiTheme="minorHAnsi" w:hAnsiTheme="minorHAnsi" w:cstheme="minorHAnsi"/>
          <w:sz w:val="22"/>
          <w:szCs w:val="22"/>
        </w:rPr>
        <w:t xml:space="preserve"> smluvní povinnosti ani do 14 (slovy: čtrnácti) dnů potom, co obdržel oznámení Objednatele požadující nápravu porušené smluvní povinnosti, nebo</w:t>
      </w:r>
    </w:p>
    <w:p w14:paraId="1EFC59B6" w14:textId="77777777" w:rsidR="000C12A2" w:rsidRPr="000708AC" w:rsidRDefault="000C12A2" w:rsidP="000C12A2">
      <w:pPr>
        <w:pStyle w:val="Odstavecseseznamem"/>
        <w:numPr>
          <w:ilvl w:val="0"/>
          <w:numId w:val="2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 xml:space="preserve">Konzultant neuhradí Objednateli pohledávku, k níž je podle Smlouvy povinen a která vůči němu byla Objednatelem uplatněna. </w:t>
      </w:r>
    </w:p>
    <w:p w14:paraId="520A56FC" w14:textId="77777777" w:rsidR="000C12A2" w:rsidRPr="000417F6" w:rsidRDefault="000C12A2" w:rsidP="000C12A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Vystavení platné a účinné bankovní záruky za řádné poskytování Služeb doloží Konzultant Objednateli originálem záruční listiny nejpozději před podpisem Smlouvy. Originál záruční listiny zůstává v dispozici Objednatele. V případě, že má platnost Konzultantem předložené bankovní záruky skončit před shora stanovenou dobou platnosti, doloží Konzultant Objednateli originál nové záruční listiny odpovídající Smlouvě, a to nejpozději k poslednímu dni platnosti původní bankovní záruky. Objednatel se zavazuje vrátit Konzultantovi příslušnou bankovní záruku bez zbytečného odkladu poté, kdy vypršela její platnost, resp. poté, kdy byla Objednateli předána platná a účinná bankovní záruka, která nahrazuje do té doby platnou bankovní záruku. Porušení povinnosti Konzultanta předložit či udržovat v platnosti shora uvedenou bankovní záruku představuje podstatné porušení Smlouvy ze strany Konzultanta.“</w:t>
      </w:r>
    </w:p>
    <w:p w14:paraId="0D1E9851" w14:textId="77777777" w:rsidR="00FA700C" w:rsidRPr="002E7470" w:rsidRDefault="00FA700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FA31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435E" w14:textId="77777777" w:rsidR="00E849F0" w:rsidRDefault="00E849F0" w:rsidP="00F1718F">
      <w:r>
        <w:separator/>
      </w:r>
    </w:p>
  </w:endnote>
  <w:endnote w:type="continuationSeparator" w:id="0">
    <w:p w14:paraId="2769EA31" w14:textId="77777777" w:rsidR="00E849F0" w:rsidRDefault="00E849F0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217916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4B9C" w14:textId="77777777" w:rsidR="00E849F0" w:rsidRDefault="00E849F0" w:rsidP="00F1718F">
      <w:r>
        <w:separator/>
      </w:r>
    </w:p>
  </w:footnote>
  <w:footnote w:type="continuationSeparator" w:id="0">
    <w:p w14:paraId="59664822" w14:textId="77777777" w:rsidR="00E849F0" w:rsidRDefault="00E849F0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1182014408">
    <w:abstractNumId w:val="5"/>
  </w:num>
  <w:num w:numId="2" w16cid:durableId="322860553">
    <w:abstractNumId w:val="0"/>
  </w:num>
  <w:num w:numId="3" w16cid:durableId="1955746081">
    <w:abstractNumId w:val="18"/>
  </w:num>
  <w:num w:numId="4" w16cid:durableId="1141773279">
    <w:abstractNumId w:val="12"/>
  </w:num>
  <w:num w:numId="5" w16cid:durableId="831260605">
    <w:abstractNumId w:val="16"/>
  </w:num>
  <w:num w:numId="6" w16cid:durableId="1362704314">
    <w:abstractNumId w:val="2"/>
  </w:num>
  <w:num w:numId="7" w16cid:durableId="1706976550">
    <w:abstractNumId w:val="10"/>
  </w:num>
  <w:num w:numId="8" w16cid:durableId="1895307139">
    <w:abstractNumId w:val="11"/>
  </w:num>
  <w:num w:numId="9" w16cid:durableId="52045289">
    <w:abstractNumId w:val="4"/>
  </w:num>
  <w:num w:numId="10" w16cid:durableId="2111314725">
    <w:abstractNumId w:val="14"/>
  </w:num>
  <w:num w:numId="11" w16cid:durableId="72705953">
    <w:abstractNumId w:val="15"/>
  </w:num>
  <w:num w:numId="12" w16cid:durableId="1284458175">
    <w:abstractNumId w:val="6"/>
  </w:num>
  <w:num w:numId="13" w16cid:durableId="725030876">
    <w:abstractNumId w:val="7"/>
  </w:num>
  <w:num w:numId="14" w16cid:durableId="1119105877">
    <w:abstractNumId w:val="17"/>
  </w:num>
  <w:num w:numId="15" w16cid:durableId="1161778958">
    <w:abstractNumId w:val="20"/>
  </w:num>
  <w:num w:numId="16" w16cid:durableId="574510968">
    <w:abstractNumId w:val="21"/>
  </w:num>
  <w:num w:numId="17" w16cid:durableId="56707734">
    <w:abstractNumId w:val="13"/>
  </w:num>
  <w:num w:numId="18" w16cid:durableId="1845707416">
    <w:abstractNumId w:val="19"/>
  </w:num>
  <w:num w:numId="19" w16cid:durableId="2038652074">
    <w:abstractNumId w:val="9"/>
  </w:num>
  <w:num w:numId="20" w16cid:durableId="1002662512">
    <w:abstractNumId w:val="1"/>
  </w:num>
  <w:num w:numId="21" w16cid:durableId="45185912">
    <w:abstractNumId w:val="8"/>
  </w:num>
  <w:num w:numId="22" w16cid:durableId="106634472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074F"/>
    <w:rsid w:val="00113812"/>
    <w:rsid w:val="00117342"/>
    <w:rsid w:val="001226A8"/>
    <w:rsid w:val="001267B4"/>
    <w:rsid w:val="00126B85"/>
    <w:rsid w:val="001277E4"/>
    <w:rsid w:val="001360C9"/>
    <w:rsid w:val="001369C6"/>
    <w:rsid w:val="00136E27"/>
    <w:rsid w:val="001371F2"/>
    <w:rsid w:val="0014389C"/>
    <w:rsid w:val="00144D78"/>
    <w:rsid w:val="0014636D"/>
    <w:rsid w:val="001478C6"/>
    <w:rsid w:val="00151D42"/>
    <w:rsid w:val="001564F1"/>
    <w:rsid w:val="00161791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278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916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D70A8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62E1"/>
    <w:rsid w:val="003840D7"/>
    <w:rsid w:val="00391C96"/>
    <w:rsid w:val="00393F3C"/>
    <w:rsid w:val="003A0765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05F7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29B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07741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4DBB"/>
    <w:rsid w:val="00C9795C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427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135"/>
    <w:rsid w:val="00E763CC"/>
    <w:rsid w:val="00E80BEE"/>
    <w:rsid w:val="00E80E0F"/>
    <w:rsid w:val="00E82339"/>
    <w:rsid w:val="00E849F0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1F6D"/>
    <w:rsid w:val="00F45EA6"/>
    <w:rsid w:val="00F4730F"/>
    <w:rsid w:val="00F52ED8"/>
    <w:rsid w:val="00F54C18"/>
    <w:rsid w:val="00F6681B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styleId="Nzevknihy">
    <w:name w:val="Book Title"/>
    <w:basedOn w:val="Standardnpsmoodstavce"/>
    <w:uiPriority w:val="33"/>
    <w:qFormat/>
    <w:rsid w:val="001564F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FBC0-0AD7-4344-B202-AAAC39F3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7383</Words>
  <Characters>43566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4</cp:revision>
  <cp:lastPrinted>2020-09-15T12:41:00Z</cp:lastPrinted>
  <dcterms:created xsi:type="dcterms:W3CDTF">2023-11-13T05:31:00Z</dcterms:created>
  <dcterms:modified xsi:type="dcterms:W3CDTF">2023-11-30T16:27:00Z</dcterms:modified>
</cp:coreProperties>
</file>