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Rapid, akciová společnost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00001040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Podolské nábřeží 6/34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14700 Praha Podolí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INOB201701434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 Hannover Messe 2018/061N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Hannover Messe 2018/061N. Cena bez DPH 189 990,-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Hannover Messe 2018/061N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229 887,90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23.4.2018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Messe Hannover ,  Hannover, DE - Německo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