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4881" w14:textId="77777777" w:rsidR="000244AB" w:rsidRDefault="000244AB" w:rsidP="000244AB">
      <w:r w:rsidRPr="00173190">
        <w:rPr>
          <w:b/>
          <w:sz w:val="28"/>
          <w:szCs w:val="28"/>
        </w:rPr>
        <w:t>SMLOUVA O DÍLO</w:t>
      </w:r>
      <w:r>
        <w:rPr>
          <w:b/>
          <w:sz w:val="28"/>
          <w:szCs w:val="28"/>
        </w:rPr>
        <w:t xml:space="preserve">      </w:t>
      </w:r>
      <w:r>
        <w:t>(o poskytování služeb a prací)</w:t>
      </w:r>
    </w:p>
    <w:p w14:paraId="22812A6C" w14:textId="77777777" w:rsidR="000244AB" w:rsidRDefault="000244AB" w:rsidP="000244AB"/>
    <w:p w14:paraId="5045357E" w14:textId="77777777" w:rsidR="000244AB" w:rsidRDefault="000244AB" w:rsidP="000244AB">
      <w:r>
        <w:t xml:space="preserve">uzavřená ve smyslu ustanovení §536 a </w:t>
      </w:r>
      <w:proofErr w:type="spellStart"/>
      <w:r>
        <w:t>násl.obchodního</w:t>
      </w:r>
      <w:proofErr w:type="spellEnd"/>
      <w:r>
        <w:t xml:space="preserve"> zákoníku mezi těmito smluvními stranami:</w:t>
      </w:r>
    </w:p>
    <w:p w14:paraId="0A220ED3" w14:textId="77777777" w:rsidR="000244AB" w:rsidRDefault="000244AB" w:rsidP="000244AB"/>
    <w:p w14:paraId="579F6548" w14:textId="7D30C810" w:rsidR="000244AB" w:rsidRDefault="000244AB" w:rsidP="000244AB">
      <w:pPr>
        <w:tabs>
          <w:tab w:val="left" w:pos="2160"/>
        </w:tabs>
        <w:jc w:val="center"/>
      </w:pPr>
      <w:r>
        <w:rPr>
          <w:u w:val="single"/>
        </w:rPr>
        <w:t>1.</w:t>
      </w:r>
      <w:r w:rsidRPr="00173190">
        <w:rPr>
          <w:u w:val="single"/>
        </w:rPr>
        <w:t xml:space="preserve"> Objednatelem </w:t>
      </w:r>
      <w:r w:rsidRPr="00173190">
        <w:rPr>
          <w:b/>
        </w:rPr>
        <w:t xml:space="preserve">:     </w:t>
      </w:r>
      <w:r w:rsidR="001E6615">
        <w:t xml:space="preserve">: </w:t>
      </w:r>
      <w:r w:rsidR="001E6615" w:rsidRPr="001E6615">
        <w:rPr>
          <w:b/>
          <w:bCs/>
          <w:sz w:val="28"/>
          <w:szCs w:val="28"/>
        </w:rPr>
        <w:t>Středisko volného času Domeček Valašské Meziříčí, příspěvková organizace</w:t>
      </w:r>
      <w:r w:rsidRPr="001E6615">
        <w:rPr>
          <w:b/>
          <w:bCs/>
          <w:sz w:val="28"/>
          <w:szCs w:val="28"/>
        </w:rPr>
        <w:t xml:space="preserve"> </w:t>
      </w:r>
    </w:p>
    <w:p w14:paraId="18FD5094" w14:textId="73058852" w:rsidR="000244AB" w:rsidRDefault="000244AB" w:rsidP="000244AB">
      <w:pPr>
        <w:tabs>
          <w:tab w:val="left" w:pos="2160"/>
        </w:tabs>
        <w:rPr>
          <w:b/>
        </w:rPr>
      </w:pPr>
      <w:r>
        <w:rPr>
          <w:b/>
        </w:rPr>
        <w:tab/>
        <w:t xml:space="preserve">             </w:t>
      </w:r>
      <w:r>
        <w:rPr>
          <w:rStyle w:val="apple-style-span"/>
          <w:b/>
          <w:bCs/>
          <w:color w:val="000000"/>
          <w:sz w:val="30"/>
          <w:szCs w:val="30"/>
        </w:rPr>
        <w:t xml:space="preserve">Valašské Meziříčí, </w:t>
      </w:r>
      <w:r w:rsidR="001E6615">
        <w:rPr>
          <w:rStyle w:val="apple-style-span"/>
          <w:b/>
          <w:bCs/>
          <w:color w:val="000000"/>
          <w:sz w:val="30"/>
          <w:szCs w:val="30"/>
        </w:rPr>
        <w:t>Zdeňka Fibicha 287</w:t>
      </w:r>
      <w:r>
        <w:rPr>
          <w:rStyle w:val="apple-style-span"/>
          <w:b/>
          <w:bCs/>
          <w:color w:val="000000"/>
          <w:sz w:val="30"/>
          <w:szCs w:val="30"/>
        </w:rPr>
        <w:t>, PSČ 75701</w:t>
      </w:r>
    </w:p>
    <w:p w14:paraId="4908F3F0" w14:textId="3C1EFD10" w:rsidR="000244AB" w:rsidRDefault="000244AB" w:rsidP="000244AB">
      <w:r w:rsidRPr="00173190">
        <w:t>zastoupeným</w:t>
      </w:r>
      <w:r>
        <w:t xml:space="preserve"> :             ředitelem organizace </w:t>
      </w:r>
      <w:r w:rsidR="001E6615">
        <w:t>Mgr. Davidem Holcem</w:t>
      </w:r>
    </w:p>
    <w:p w14:paraId="77832489" w14:textId="5C16E105" w:rsidR="000244AB" w:rsidRDefault="000244AB" w:rsidP="000244AB">
      <w:r>
        <w:t xml:space="preserve">IČO </w:t>
      </w:r>
      <w:r w:rsidRPr="00211DB8">
        <w:t xml:space="preserve">:                         </w:t>
      </w:r>
      <w:r>
        <w:t xml:space="preserve">    </w:t>
      </w:r>
      <w:r w:rsidRPr="00211DB8">
        <w:t xml:space="preserve">   </w:t>
      </w:r>
      <w:r w:rsidR="001E6615">
        <w:t>75046440</w:t>
      </w:r>
    </w:p>
    <w:p w14:paraId="7D1DA09D" w14:textId="77777777" w:rsidR="000244AB" w:rsidRDefault="000244AB" w:rsidP="000244AB">
      <w:r>
        <w:t xml:space="preserve">DIČ : </w:t>
      </w:r>
    </w:p>
    <w:p w14:paraId="74A7A92F" w14:textId="77777777" w:rsidR="000244AB" w:rsidRDefault="000244AB" w:rsidP="000244AB">
      <w:proofErr w:type="spellStart"/>
      <w:r>
        <w:t>Bank.spojení</w:t>
      </w:r>
      <w:proofErr w:type="spellEnd"/>
      <w:r>
        <w:t xml:space="preserve"> :</w:t>
      </w:r>
    </w:p>
    <w:p w14:paraId="5F125D8B" w14:textId="77777777" w:rsidR="000244AB" w:rsidRDefault="000244AB" w:rsidP="000244AB">
      <w:r>
        <w:t>a</w:t>
      </w:r>
    </w:p>
    <w:p w14:paraId="5E9B85DF" w14:textId="36FDC9F2" w:rsidR="000244AB" w:rsidRDefault="000244AB" w:rsidP="000244AB">
      <w:pPr>
        <w:tabs>
          <w:tab w:val="left" w:pos="2160"/>
        </w:tabs>
        <w:rPr>
          <w:b/>
        </w:rPr>
      </w:pPr>
      <w:r w:rsidRPr="00173190">
        <w:rPr>
          <w:u w:val="single"/>
        </w:rPr>
        <w:t>2.Zhotovitelem</w:t>
      </w:r>
      <w:r>
        <w:t xml:space="preserve"> :          </w:t>
      </w:r>
      <w:r w:rsidRPr="00173190">
        <w:rPr>
          <w:b/>
        </w:rPr>
        <w:t xml:space="preserve">Jan Stromšík, </w:t>
      </w:r>
      <w:r w:rsidR="001E6615">
        <w:rPr>
          <w:b/>
        </w:rPr>
        <w:t>Oznice č.ev.5 , 756 24</w:t>
      </w:r>
    </w:p>
    <w:p w14:paraId="0F6B96D4" w14:textId="77777777" w:rsidR="000244AB" w:rsidRDefault="000244AB" w:rsidP="000244AB">
      <w:pPr>
        <w:tabs>
          <w:tab w:val="left" w:pos="2160"/>
        </w:tabs>
      </w:pPr>
      <w:r w:rsidRPr="00173190">
        <w:t xml:space="preserve">zastoupeným </w:t>
      </w:r>
      <w:r>
        <w:t>:              p. Stromšíkem</w:t>
      </w:r>
    </w:p>
    <w:p w14:paraId="2D85FC30" w14:textId="77777777" w:rsidR="000244AB" w:rsidRDefault="000244AB" w:rsidP="000244AB">
      <w:pPr>
        <w:tabs>
          <w:tab w:val="left" w:pos="2160"/>
        </w:tabs>
      </w:pPr>
      <w:r>
        <w:t>IČO :                             65132840</w:t>
      </w:r>
    </w:p>
    <w:p w14:paraId="0828879F" w14:textId="38457203" w:rsidR="000244AB" w:rsidRDefault="000244AB" w:rsidP="000244AB">
      <w:pPr>
        <w:tabs>
          <w:tab w:val="left" w:pos="2160"/>
        </w:tabs>
      </w:pPr>
      <w:r>
        <w:t xml:space="preserve">DIČ :                             </w:t>
      </w:r>
    </w:p>
    <w:p w14:paraId="15E78B7F" w14:textId="77777777" w:rsidR="000244AB" w:rsidRDefault="000244AB" w:rsidP="000244AB">
      <w:pPr>
        <w:tabs>
          <w:tab w:val="left" w:pos="2160"/>
        </w:tabs>
      </w:pPr>
      <w:r>
        <w:t>Bankovní spojení :        FIO banka ,    2700374598</w:t>
      </w:r>
    </w:p>
    <w:p w14:paraId="6EDF4B78" w14:textId="77777777" w:rsidR="000244AB" w:rsidRDefault="000244AB" w:rsidP="000244AB">
      <w:pPr>
        <w:tabs>
          <w:tab w:val="left" w:pos="2160"/>
        </w:tabs>
      </w:pPr>
    </w:p>
    <w:p w14:paraId="075F2D9D" w14:textId="77777777" w:rsidR="000244AB" w:rsidRDefault="000244AB" w:rsidP="000244AB">
      <w:pPr>
        <w:tabs>
          <w:tab w:val="left" w:pos="2160"/>
        </w:tabs>
      </w:pPr>
    </w:p>
    <w:p w14:paraId="69658C9E" w14:textId="77777777" w:rsidR="000244AB" w:rsidRDefault="000244AB" w:rsidP="000244AB">
      <w:pPr>
        <w:tabs>
          <w:tab w:val="left" w:pos="2160"/>
        </w:tabs>
      </w:pPr>
      <w:r>
        <w:t>I.</w:t>
      </w:r>
    </w:p>
    <w:p w14:paraId="77D06628" w14:textId="77777777" w:rsidR="000244AB" w:rsidRDefault="000244AB" w:rsidP="000244AB">
      <w:pPr>
        <w:tabs>
          <w:tab w:val="left" w:pos="2160"/>
        </w:tabs>
        <w:rPr>
          <w:u w:val="single"/>
        </w:rPr>
      </w:pPr>
      <w:r w:rsidRPr="003E5493">
        <w:rPr>
          <w:u w:val="single"/>
        </w:rPr>
        <w:t>Předmět plnění</w:t>
      </w:r>
    </w:p>
    <w:p w14:paraId="10EC07CB" w14:textId="77777777" w:rsidR="000244AB" w:rsidRDefault="000244AB" w:rsidP="000244AB">
      <w:pPr>
        <w:tabs>
          <w:tab w:val="left" w:pos="2160"/>
        </w:tabs>
        <w:rPr>
          <w:u w:val="single"/>
        </w:rPr>
      </w:pPr>
    </w:p>
    <w:p w14:paraId="49F3A294" w14:textId="16CC0496" w:rsidR="000244AB" w:rsidRDefault="000244AB" w:rsidP="000244AB">
      <w:pPr>
        <w:tabs>
          <w:tab w:val="left" w:pos="2160"/>
        </w:tabs>
        <w:ind w:right="-157"/>
      </w:pPr>
      <w:r w:rsidRPr="003E5493">
        <w:t>Zhotovitel se zavazuje</w:t>
      </w:r>
      <w:r>
        <w:t xml:space="preserve"> </w:t>
      </w:r>
      <w:r w:rsidRPr="003E5493">
        <w:t xml:space="preserve"> , </w:t>
      </w:r>
      <w:r>
        <w:t>že bude provádět pro objednatele v rámci jeho organizace s účinností od 10.</w:t>
      </w:r>
      <w:r w:rsidR="008A789C">
        <w:t>1</w:t>
      </w:r>
      <w:r>
        <w:t>.20</w:t>
      </w:r>
      <w:r w:rsidR="008A789C">
        <w:t>2</w:t>
      </w:r>
      <w:r>
        <w:t>3  následující práce a služby :  Správa a údržba počítačových sítí , jejichž rozsah je specifikován v příloze této smlouvy , která tvoří její nedílnou součást. Objednatel se zavazuje uhradit zhotoviteli cenu prací a služeb ve výši dle článku II. Této smlouvy.</w:t>
      </w:r>
    </w:p>
    <w:p w14:paraId="22B0EB92" w14:textId="77777777" w:rsidR="000244AB" w:rsidRDefault="000244AB" w:rsidP="000244AB">
      <w:pPr>
        <w:tabs>
          <w:tab w:val="left" w:pos="2160"/>
        </w:tabs>
        <w:ind w:right="-157"/>
      </w:pPr>
    </w:p>
    <w:p w14:paraId="784A17C7" w14:textId="77777777" w:rsidR="000244AB" w:rsidRDefault="000244AB" w:rsidP="000244AB">
      <w:pPr>
        <w:tabs>
          <w:tab w:val="left" w:pos="2160"/>
        </w:tabs>
        <w:ind w:right="-157"/>
      </w:pPr>
      <w:r>
        <w:t>II.</w:t>
      </w:r>
    </w:p>
    <w:p w14:paraId="4D7F2208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  <w:u w:val="single"/>
        </w:rPr>
      </w:pPr>
      <w:r w:rsidRPr="00695302">
        <w:rPr>
          <w:sz w:val="22"/>
          <w:szCs w:val="22"/>
          <w:u w:val="single"/>
        </w:rPr>
        <w:t>Cena a platební podmínky</w:t>
      </w:r>
    </w:p>
    <w:p w14:paraId="214966BF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  <w:u w:val="single"/>
        </w:rPr>
      </w:pPr>
    </w:p>
    <w:p w14:paraId="17F77F10" w14:textId="0134F70A" w:rsidR="000244AB" w:rsidRPr="00695302" w:rsidRDefault="000244AB" w:rsidP="000244AB">
      <w:pPr>
        <w:numPr>
          <w:ilvl w:val="0"/>
          <w:numId w:val="1"/>
        </w:numPr>
        <w:tabs>
          <w:tab w:val="left" w:pos="2160"/>
        </w:tabs>
        <w:ind w:right="-157"/>
        <w:rPr>
          <w:b/>
          <w:sz w:val="22"/>
          <w:szCs w:val="22"/>
        </w:rPr>
      </w:pPr>
      <w:r w:rsidRPr="00695302">
        <w:rPr>
          <w:sz w:val="22"/>
          <w:szCs w:val="22"/>
        </w:rPr>
        <w:t>Smluvní cena odpovídající</w:t>
      </w:r>
      <w:r>
        <w:rPr>
          <w:sz w:val="22"/>
          <w:szCs w:val="22"/>
        </w:rPr>
        <w:t xml:space="preserve"> </w:t>
      </w:r>
      <w:r w:rsidRPr="00695302">
        <w:rPr>
          <w:sz w:val="22"/>
          <w:szCs w:val="22"/>
        </w:rPr>
        <w:t xml:space="preserve">rozsahu a druhu prací dle přílohy k této smlouvě činí </w:t>
      </w:r>
      <w:r w:rsidR="008A789C">
        <w:rPr>
          <w:sz w:val="22"/>
          <w:szCs w:val="22"/>
        </w:rPr>
        <w:t xml:space="preserve">bude vyfakturovaná po dodání služby, </w:t>
      </w:r>
      <w:proofErr w:type="spellStart"/>
      <w:r w:rsidR="008A789C">
        <w:rPr>
          <w:sz w:val="22"/>
          <w:szCs w:val="22"/>
        </w:rPr>
        <w:t>montáže,zboží</w:t>
      </w:r>
      <w:proofErr w:type="spellEnd"/>
      <w:r w:rsidR="008A789C">
        <w:rPr>
          <w:sz w:val="22"/>
          <w:szCs w:val="22"/>
        </w:rPr>
        <w:t>.</w:t>
      </w:r>
      <w:r w:rsidRPr="00695302">
        <w:rPr>
          <w:b/>
          <w:sz w:val="22"/>
          <w:szCs w:val="22"/>
        </w:rPr>
        <w:t xml:space="preserve">  </w:t>
      </w:r>
    </w:p>
    <w:p w14:paraId="0CD23BD8" w14:textId="77777777" w:rsidR="000244AB" w:rsidRPr="00695302" w:rsidRDefault="000244AB" w:rsidP="000244AB">
      <w:pPr>
        <w:numPr>
          <w:ilvl w:val="0"/>
          <w:numId w:val="1"/>
        </w:num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Smluvní cena a další účtované částky za případné další práce a služby jsou hrazeny na základě faktury dodavatele odpovídající obsahem §375 a) bývalého hospodářského zákoníku.</w:t>
      </w:r>
    </w:p>
    <w:p w14:paraId="784E7554" w14:textId="77777777" w:rsidR="000244AB" w:rsidRPr="00695302" w:rsidRDefault="000244AB" w:rsidP="000244AB">
      <w:pPr>
        <w:numPr>
          <w:ilvl w:val="0"/>
          <w:numId w:val="1"/>
        </w:num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Úhrada je splatná do 10 dnů od obdržení faktury objednavatelem.       </w:t>
      </w:r>
    </w:p>
    <w:p w14:paraId="74F809A1" w14:textId="77777777" w:rsidR="000244AB" w:rsidRPr="00695302" w:rsidRDefault="000244AB" w:rsidP="000244AB">
      <w:pPr>
        <w:tabs>
          <w:tab w:val="left" w:pos="2160"/>
        </w:tabs>
        <w:ind w:left="720" w:right="-157"/>
        <w:rPr>
          <w:sz w:val="22"/>
          <w:szCs w:val="22"/>
        </w:rPr>
      </w:pPr>
      <w:r w:rsidRPr="00695302">
        <w:rPr>
          <w:sz w:val="22"/>
          <w:szCs w:val="22"/>
        </w:rPr>
        <w:t>V případě prodlení s platbou ze strany objednavatele je tento povinen uhradit zhotoviteli smluvní pokutu ve výši 0,5 %za každý den prodlení z dlužné částky.</w:t>
      </w:r>
    </w:p>
    <w:p w14:paraId="6A9657E7" w14:textId="77777777" w:rsidR="000244AB" w:rsidRPr="00695302" w:rsidRDefault="000244AB" w:rsidP="000244AB">
      <w:pPr>
        <w:numPr>
          <w:ilvl w:val="0"/>
          <w:numId w:val="1"/>
        </w:num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Ceny jsou založeny na zákonných a tarifních podmínkách pro mzdové a ostatní náklady. Při        </w:t>
      </w:r>
    </w:p>
    <w:p w14:paraId="24B720D8" w14:textId="77777777" w:rsidR="000244AB" w:rsidRPr="00695302" w:rsidRDefault="000244AB" w:rsidP="000244AB">
      <w:pPr>
        <w:tabs>
          <w:tab w:val="left" w:pos="2160"/>
        </w:tabs>
        <w:ind w:left="720"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Změnách právních předpisů či ekonomických podmínek se ceny způsobem odpovídajícím těmto změnám procentuálně přizpůsobí, přičemž každá změna musí být předem projednána </w:t>
      </w:r>
      <w:r>
        <w:rPr>
          <w:sz w:val="22"/>
          <w:szCs w:val="22"/>
        </w:rPr>
        <w:t xml:space="preserve">   </w:t>
      </w:r>
      <w:r w:rsidRPr="00695302">
        <w:rPr>
          <w:sz w:val="22"/>
          <w:szCs w:val="22"/>
        </w:rPr>
        <w:t xml:space="preserve"> mezi účastníky.</w:t>
      </w:r>
    </w:p>
    <w:p w14:paraId="2073D5D6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</w:rPr>
      </w:pPr>
    </w:p>
    <w:p w14:paraId="16DF44A4" w14:textId="77777777" w:rsidR="000244AB" w:rsidRPr="00695302" w:rsidRDefault="000244AB" w:rsidP="000244AB">
      <w:pPr>
        <w:tabs>
          <w:tab w:val="left" w:pos="36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III.</w:t>
      </w:r>
    </w:p>
    <w:p w14:paraId="0E590F83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  <w:u w:val="single"/>
        </w:rPr>
      </w:pPr>
      <w:r w:rsidRPr="00695302">
        <w:rPr>
          <w:sz w:val="22"/>
          <w:szCs w:val="22"/>
          <w:u w:val="single"/>
        </w:rPr>
        <w:t>Odpovědnost za vady</w:t>
      </w:r>
    </w:p>
    <w:p w14:paraId="7A5FC155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1.  Objednatel je povinen reklamovat zjevné vady kvality a rozsahu služeb a prací okamžitě při    </w:t>
      </w:r>
    </w:p>
    <w:p w14:paraId="4688D3A3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            při jejich zjištění, nejpozději však do tří dnů od provedené služby nebo práce, nebo doby kdy     </w:t>
      </w:r>
    </w:p>
    <w:p w14:paraId="0A2BF480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            měla být tato provedena.</w:t>
      </w:r>
    </w:p>
    <w:p w14:paraId="534F95A3" w14:textId="77777777" w:rsidR="000244AB" w:rsidRPr="00695302" w:rsidRDefault="000244AB" w:rsidP="000244AB">
      <w:pPr>
        <w:numPr>
          <w:ilvl w:val="0"/>
          <w:numId w:val="2"/>
        </w:num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Zhotovitel je povinen bezúplatně odstranit právem reklamovanou vadu práce nebo služby.</w:t>
      </w:r>
    </w:p>
    <w:p w14:paraId="2F2C5E77" w14:textId="77777777" w:rsidR="000244AB" w:rsidRPr="00695302" w:rsidRDefault="000244AB" w:rsidP="000244AB">
      <w:pPr>
        <w:numPr>
          <w:ilvl w:val="0"/>
          <w:numId w:val="2"/>
        </w:num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V případě </w:t>
      </w:r>
      <w:r>
        <w:rPr>
          <w:sz w:val="22"/>
          <w:szCs w:val="22"/>
        </w:rPr>
        <w:t xml:space="preserve"> </w:t>
      </w:r>
      <w:r w:rsidRPr="00695302">
        <w:rPr>
          <w:sz w:val="22"/>
          <w:szCs w:val="22"/>
        </w:rPr>
        <w:t>, že reklamovaná vada není včas a řádně odstraněna , má objednatel právo n přiměřenou slevu z ceny .</w:t>
      </w:r>
    </w:p>
    <w:p w14:paraId="5430C350" w14:textId="77777777" w:rsidR="000244AB" w:rsidRPr="00695302" w:rsidRDefault="000244AB" w:rsidP="000244AB">
      <w:pPr>
        <w:numPr>
          <w:ilvl w:val="0"/>
          <w:numId w:val="2"/>
        </w:num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Objednatel nemá právo na slevu z ceny nebo úhradu nákladů podle předchozího bodu </w:t>
      </w:r>
      <w:r>
        <w:rPr>
          <w:sz w:val="22"/>
          <w:szCs w:val="22"/>
        </w:rPr>
        <w:t xml:space="preserve">  </w:t>
      </w:r>
      <w:r w:rsidRPr="00695302">
        <w:rPr>
          <w:sz w:val="22"/>
          <w:szCs w:val="22"/>
        </w:rPr>
        <w:t>, pokud neumožní zhotoviteli odstranit oprávněně reklamovanou vadu.</w:t>
      </w:r>
    </w:p>
    <w:p w14:paraId="6DC1A3DC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</w:rPr>
      </w:pPr>
    </w:p>
    <w:p w14:paraId="38B819EC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IV.</w:t>
      </w:r>
    </w:p>
    <w:p w14:paraId="09C734E6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  <w:u w:val="single"/>
        </w:rPr>
      </w:pPr>
      <w:r w:rsidRPr="00695302">
        <w:rPr>
          <w:sz w:val="22"/>
          <w:szCs w:val="22"/>
          <w:u w:val="single"/>
        </w:rPr>
        <w:t>Práva a povinnosti účastníků</w:t>
      </w:r>
    </w:p>
    <w:p w14:paraId="3A451DF1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  <w:u w:val="single"/>
        </w:rPr>
      </w:pPr>
    </w:p>
    <w:p w14:paraId="089A7DD9" w14:textId="77777777" w:rsidR="000244AB" w:rsidRPr="00695302" w:rsidRDefault="000244AB" w:rsidP="000244AB">
      <w:pPr>
        <w:numPr>
          <w:ilvl w:val="0"/>
          <w:numId w:val="3"/>
        </w:numPr>
        <w:tabs>
          <w:tab w:val="left" w:pos="36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Zhotovitel odpovídá objednateli :</w:t>
      </w:r>
    </w:p>
    <w:p w14:paraId="29DA9266" w14:textId="77777777" w:rsidR="000244AB" w:rsidRPr="00695302" w:rsidRDefault="000244AB" w:rsidP="000244AB">
      <w:pPr>
        <w:numPr>
          <w:ilvl w:val="1"/>
          <w:numId w:val="3"/>
        </w:numPr>
        <w:tabs>
          <w:tab w:val="left" w:pos="36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lastRenderedPageBreak/>
        <w:t>za kvalitu , všeobecnou a odbornou správnost poskytovaných služeb a prací , za dodržování čs. Norem a předpisů při používání věcí ,</w:t>
      </w:r>
      <w:proofErr w:type="spellStart"/>
      <w:r w:rsidRPr="00695302">
        <w:rPr>
          <w:sz w:val="22"/>
          <w:szCs w:val="22"/>
        </w:rPr>
        <w:t>tech.prostředků</w:t>
      </w:r>
      <w:proofErr w:type="spellEnd"/>
      <w:r w:rsidRPr="00695302">
        <w:rPr>
          <w:sz w:val="22"/>
          <w:szCs w:val="22"/>
        </w:rPr>
        <w:t xml:space="preserve"> a dalšího materiálu při poskytování prací a služeb.</w:t>
      </w:r>
    </w:p>
    <w:p w14:paraId="412F1F1B" w14:textId="77777777" w:rsidR="000244AB" w:rsidRPr="00695302" w:rsidRDefault="000244AB" w:rsidP="000244AB">
      <w:pPr>
        <w:numPr>
          <w:ilvl w:val="1"/>
          <w:numId w:val="3"/>
        </w:numPr>
        <w:tabs>
          <w:tab w:val="left" w:pos="36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Za škody na majetku </w:t>
      </w:r>
      <w:proofErr w:type="spellStart"/>
      <w:r w:rsidRPr="00695302">
        <w:rPr>
          <w:sz w:val="22"/>
          <w:szCs w:val="22"/>
        </w:rPr>
        <w:t>nbjednatele</w:t>
      </w:r>
      <w:proofErr w:type="spellEnd"/>
      <w:r w:rsidRPr="00695302">
        <w:rPr>
          <w:sz w:val="22"/>
          <w:szCs w:val="22"/>
        </w:rPr>
        <w:t>, ebeny. Zdraví  pracovníků a návštěv objednatele , vzniklé protiprávním jednáním pracovníků zhotovitele a porušením platných předpisů a norem pro poskytování služeb , používáním přístrojů a prostředků neodpovídajícím platným čs. Normám.</w:t>
      </w:r>
    </w:p>
    <w:p w14:paraId="47C936A9" w14:textId="77777777" w:rsidR="000244AB" w:rsidRPr="00695302" w:rsidRDefault="000244AB" w:rsidP="000244AB">
      <w:pPr>
        <w:numPr>
          <w:ilvl w:val="1"/>
          <w:numId w:val="3"/>
        </w:numPr>
        <w:tabs>
          <w:tab w:val="left" w:pos="36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Za dodržování vnitřních pokynů a směrnic objednatele stanovících provozně technické a bezpečnostní podmínky pohybu pracovníků v prostorách a zařízeních objednatele.</w:t>
      </w:r>
    </w:p>
    <w:p w14:paraId="0D42C1CC" w14:textId="77777777" w:rsidR="000244AB" w:rsidRPr="00695302" w:rsidRDefault="000244AB" w:rsidP="000244AB">
      <w:pPr>
        <w:numPr>
          <w:ilvl w:val="1"/>
          <w:numId w:val="3"/>
        </w:numPr>
        <w:tabs>
          <w:tab w:val="left" w:pos="36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Za poskytnutí informací pověřeným pracovníkům objednatele při zjištění závad v prostoru výkonu </w:t>
      </w:r>
      <w:proofErr w:type="spellStart"/>
      <w:r w:rsidRPr="00695302">
        <w:rPr>
          <w:sz w:val="22"/>
          <w:szCs w:val="22"/>
        </w:rPr>
        <w:t>prabí</w:t>
      </w:r>
      <w:proofErr w:type="spellEnd"/>
      <w:r w:rsidRPr="00695302">
        <w:rPr>
          <w:sz w:val="22"/>
          <w:szCs w:val="22"/>
        </w:rPr>
        <w:t xml:space="preserve"> a služeb.</w:t>
      </w:r>
    </w:p>
    <w:p w14:paraId="55115EC3" w14:textId="77777777" w:rsidR="000244AB" w:rsidRPr="00695302" w:rsidRDefault="000244AB" w:rsidP="000244AB">
      <w:pPr>
        <w:numPr>
          <w:ilvl w:val="0"/>
          <w:numId w:val="3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Objednatel se zavazuje :</w:t>
      </w:r>
    </w:p>
    <w:p w14:paraId="166D4CC3" w14:textId="77777777" w:rsidR="000244AB" w:rsidRPr="00695302" w:rsidRDefault="000244AB" w:rsidP="000244AB">
      <w:pPr>
        <w:numPr>
          <w:ilvl w:val="1"/>
          <w:numId w:val="3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poskytovat zhotoviteli v rámci provádění sjednaných prací a služeb vodu a elektrickou energii.</w:t>
      </w:r>
    </w:p>
    <w:p w14:paraId="7A269A38" w14:textId="77777777" w:rsidR="000244AB" w:rsidRPr="00695302" w:rsidRDefault="000244AB" w:rsidP="000244AB">
      <w:pPr>
        <w:numPr>
          <w:ilvl w:val="1"/>
          <w:numId w:val="3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¨pro potřeby zhotovitele vyčlenit odpovídající uzamykatelné prostory pro uskladnění technických prostředků a </w:t>
      </w:r>
      <w:proofErr w:type="spellStart"/>
      <w:r w:rsidRPr="00695302">
        <w:rPr>
          <w:sz w:val="22"/>
          <w:szCs w:val="22"/>
        </w:rPr>
        <w:t>materiálů.Příslušné</w:t>
      </w:r>
      <w:proofErr w:type="spellEnd"/>
      <w:r w:rsidRPr="00695302">
        <w:rPr>
          <w:sz w:val="22"/>
          <w:szCs w:val="22"/>
        </w:rPr>
        <w:t xml:space="preserve"> prostory se zavazuje zhotovitel převzít a po ukončení platnosti smlouvy je předat ve stavu odpovídajícím obvyklému opotřebení zpět objednateli.</w:t>
      </w:r>
    </w:p>
    <w:p w14:paraId="35F75E31" w14:textId="77777777" w:rsidR="000244AB" w:rsidRPr="00695302" w:rsidRDefault="000244AB" w:rsidP="000244AB">
      <w:pPr>
        <w:numPr>
          <w:ilvl w:val="1"/>
          <w:numId w:val="3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Vytvořit pracovníkům zhotovitele veškeré podmínky pro řádný výkon jejich práce.</w:t>
      </w:r>
    </w:p>
    <w:p w14:paraId="6DE53D6A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0E71ED84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V.</w:t>
      </w:r>
    </w:p>
    <w:p w14:paraId="43B1AAE8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  <w:u w:val="single"/>
        </w:rPr>
      </w:pPr>
      <w:r w:rsidRPr="00695302">
        <w:rPr>
          <w:sz w:val="22"/>
          <w:szCs w:val="22"/>
          <w:u w:val="single"/>
        </w:rPr>
        <w:t>Ostatní ujednání</w:t>
      </w:r>
    </w:p>
    <w:p w14:paraId="11F66AD7" w14:textId="77777777" w:rsidR="000244AB" w:rsidRPr="00695302" w:rsidRDefault="000244AB" w:rsidP="000244AB">
      <w:pPr>
        <w:numPr>
          <w:ilvl w:val="0"/>
          <w:numId w:val="4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Obě strany se zavazují v průběhu platnosti smlouvy spolupracovat při realizaci jejího předmětu plnění.</w:t>
      </w:r>
    </w:p>
    <w:p w14:paraId="356D6471" w14:textId="77777777" w:rsidR="000244AB" w:rsidRPr="00695302" w:rsidRDefault="000244AB" w:rsidP="000244AB">
      <w:pPr>
        <w:numPr>
          <w:ilvl w:val="0"/>
          <w:numId w:val="4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Obě strany se zavazují nejpozději při ukončení smlouvy vrátit druhé straně veškeré písemnosti, které ji náleží. Rovněž se zavazují utajit znalosti a informace z oblasti druhé smluvní strany , a to jak během trvání smlouvy , tak i po jejím skončení.</w:t>
      </w:r>
    </w:p>
    <w:p w14:paraId="40B30E94" w14:textId="77777777" w:rsidR="000244AB" w:rsidRPr="00695302" w:rsidRDefault="000244AB" w:rsidP="000244AB">
      <w:pPr>
        <w:numPr>
          <w:ilvl w:val="0"/>
          <w:numId w:val="4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Případné spory obou stran se budou řešit přednostně dohodou.</w:t>
      </w:r>
    </w:p>
    <w:p w14:paraId="30432134" w14:textId="77777777" w:rsidR="000244AB" w:rsidRPr="00695302" w:rsidRDefault="000244AB" w:rsidP="000244AB">
      <w:pPr>
        <w:numPr>
          <w:ilvl w:val="0"/>
          <w:numId w:val="4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Tuto smlouvu je možno vypovědět písemně s tříměsíční výpovědní lhůtou pro nesplnění podstatných smluvních povinností, přičemž výpovědní lhůta počíná běžet prvním dnem měsíce následujícího po doručení písemné výpovědi druhé </w:t>
      </w:r>
      <w:proofErr w:type="spellStart"/>
      <w:r w:rsidRPr="00695302">
        <w:rPr>
          <w:sz w:val="22"/>
          <w:szCs w:val="22"/>
        </w:rPr>
        <w:t>straně.Z</w:t>
      </w:r>
      <w:proofErr w:type="spellEnd"/>
      <w:r w:rsidRPr="00695302">
        <w:rPr>
          <w:sz w:val="22"/>
          <w:szCs w:val="22"/>
        </w:rPr>
        <w:t xml:space="preserve"> jiných důvodů nebo bez udání důvodu je možno tuto smlouvu vypovědět s 6ti měsíční výpovědní lhůtou.</w:t>
      </w:r>
    </w:p>
    <w:p w14:paraId="1A5D8EC7" w14:textId="77777777" w:rsidR="000244AB" w:rsidRPr="00695302" w:rsidRDefault="000244AB" w:rsidP="000244AB">
      <w:pPr>
        <w:numPr>
          <w:ilvl w:val="0"/>
          <w:numId w:val="4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Za podstatné porušení smlouvy ze strany objednatele se považuje opakované prodlení s placením smluvní ceny nebo její části.</w:t>
      </w:r>
    </w:p>
    <w:p w14:paraId="2F7A0274" w14:textId="77777777" w:rsidR="000244AB" w:rsidRPr="00695302" w:rsidRDefault="000244AB" w:rsidP="000244AB">
      <w:pPr>
        <w:numPr>
          <w:ilvl w:val="0"/>
          <w:numId w:val="4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Za podstatné porušení smluvních povinností ze strany zhotovitele se považuje opakované poskytování nekvalitních  prací a služeb, na které byl zhotovitel opakovaně a bezvýsledně upozorněn.</w:t>
      </w:r>
    </w:p>
    <w:p w14:paraId="76BCDFDF" w14:textId="77777777" w:rsidR="000244AB" w:rsidRPr="00695302" w:rsidRDefault="000244AB" w:rsidP="000244AB">
      <w:pPr>
        <w:numPr>
          <w:ilvl w:val="0"/>
          <w:numId w:val="4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Tato smlouva nabývá účinnosti dnem podpisu obou účastníků a je uzavírána na dobu neurčitou, přičemž od data účinnosti tvoří vždy 12 měsíců 1 smluvní rok</w:t>
      </w:r>
    </w:p>
    <w:p w14:paraId="46E57602" w14:textId="77777777" w:rsidR="000244AB" w:rsidRPr="00695302" w:rsidRDefault="000244AB" w:rsidP="000244AB">
      <w:pPr>
        <w:numPr>
          <w:ilvl w:val="0"/>
          <w:numId w:val="4"/>
        </w:num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Tato smlouva je vypracována ve 2 vyhotoveních  a je ji možno měnit pouze písemně odsouhlasenými dodatky.</w:t>
      </w:r>
    </w:p>
    <w:p w14:paraId="6BECF846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7CFD958E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275F59CE" w14:textId="69960381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V</w:t>
      </w:r>
      <w:r>
        <w:rPr>
          <w:sz w:val="22"/>
          <w:szCs w:val="22"/>
        </w:rPr>
        <w:t>e Valašském Meziříčí</w:t>
      </w:r>
      <w:r w:rsidRPr="00695302">
        <w:rPr>
          <w:sz w:val="22"/>
          <w:szCs w:val="22"/>
        </w:rPr>
        <w:t xml:space="preserve">          dne </w:t>
      </w:r>
      <w:r w:rsidR="00AE6E31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1E6615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1E6615">
        <w:rPr>
          <w:sz w:val="22"/>
          <w:szCs w:val="22"/>
        </w:rPr>
        <w:t>2</w:t>
      </w:r>
      <w:r>
        <w:rPr>
          <w:sz w:val="22"/>
          <w:szCs w:val="22"/>
        </w:rPr>
        <w:t>3</w:t>
      </w:r>
    </w:p>
    <w:p w14:paraId="1004F8FF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29D11B37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560DD8E2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6C463003" w14:textId="3E37F7F1" w:rsidR="000244AB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4D7806D3" w14:textId="042FAD26" w:rsidR="001E6615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            </w:t>
      </w:r>
      <w:r w:rsidR="007338CD" w:rsidRPr="00695302">
        <w:rPr>
          <w:sz w:val="22"/>
          <w:szCs w:val="22"/>
        </w:rPr>
        <w:t>Objednatel</w:t>
      </w:r>
      <w:r w:rsidRPr="00695302">
        <w:rPr>
          <w:sz w:val="22"/>
          <w:szCs w:val="22"/>
        </w:rPr>
        <w:t xml:space="preserve">                                                                       </w:t>
      </w:r>
      <w:r w:rsidR="007338CD">
        <w:rPr>
          <w:sz w:val="22"/>
          <w:szCs w:val="22"/>
        </w:rPr>
        <w:t>Z</w:t>
      </w:r>
      <w:r w:rsidRPr="00695302">
        <w:rPr>
          <w:sz w:val="22"/>
          <w:szCs w:val="22"/>
        </w:rPr>
        <w:t xml:space="preserve">hotovitel </w:t>
      </w:r>
    </w:p>
    <w:p w14:paraId="16C773B8" w14:textId="5ED8C6A9" w:rsidR="000244AB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…………………………..                                                            ………………………………….</w:t>
      </w:r>
    </w:p>
    <w:tbl>
      <w:tblPr>
        <w:tblpPr w:leftFromText="142" w:rightFromText="142" w:vertAnchor="text" w:horzAnchor="margin" w:tblpXSpec="right" w:tblpY="-328"/>
        <w:tblW w:w="115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6628"/>
        <w:gridCol w:w="2103"/>
        <w:gridCol w:w="1003"/>
        <w:gridCol w:w="787"/>
        <w:gridCol w:w="160"/>
        <w:gridCol w:w="200"/>
      </w:tblGrid>
      <w:tr w:rsidR="000244AB" w14:paraId="790DC4D9" w14:textId="77777777" w:rsidTr="007338CD">
        <w:trPr>
          <w:gridAfter w:val="2"/>
          <w:wAfter w:w="373" w:type="dxa"/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F181B" w14:textId="77777777" w:rsidR="000244AB" w:rsidRDefault="000244AB" w:rsidP="00DA4995"/>
          <w:p w14:paraId="643CC1D6" w14:textId="77777777" w:rsidR="000244AB" w:rsidRDefault="000244AB" w:rsidP="00DA4995"/>
          <w:p w14:paraId="09E51CAA" w14:textId="77777777" w:rsidR="000244AB" w:rsidRDefault="000244AB" w:rsidP="00DA4995"/>
          <w:p w14:paraId="35896B24" w14:textId="77777777" w:rsidR="000244AB" w:rsidRDefault="000244AB" w:rsidP="00DA4995"/>
        </w:tc>
        <w:tc>
          <w:tcPr>
            <w:tcW w:w="10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258F" w14:textId="2806AEA8" w:rsidR="000244AB" w:rsidRDefault="000244AB" w:rsidP="00DA4995">
            <w:r>
              <w:t>Příloha č.1 ke smlouvě o dílo  č.</w:t>
            </w:r>
            <w:r w:rsidR="001E6615">
              <w:t>1</w:t>
            </w:r>
            <w:r>
              <w:t>/20</w:t>
            </w:r>
            <w:r w:rsidR="001E6615">
              <w:t>2</w:t>
            </w:r>
            <w:r>
              <w:t>3</w:t>
            </w:r>
            <w:r w:rsidR="00AD5D68">
              <w:t xml:space="preserve"> , ze dne 9.1.2023</w:t>
            </w:r>
          </w:p>
        </w:tc>
      </w:tr>
      <w:tr w:rsidR="007338CD" w14:paraId="0BEDE437" w14:textId="77777777" w:rsidTr="007338CD">
        <w:trPr>
          <w:gridAfter w:val="2"/>
          <w:wAfter w:w="373" w:type="dxa"/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5BA3C" w14:textId="77777777" w:rsidR="000244AB" w:rsidRDefault="000244AB" w:rsidP="00DA4995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65DF3" w14:textId="77777777" w:rsidR="000244AB" w:rsidRDefault="000244AB" w:rsidP="00DA4995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EF810" w14:textId="77777777" w:rsidR="000244AB" w:rsidRDefault="000244AB" w:rsidP="00DA4995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F4DEA" w14:textId="77777777" w:rsidR="000244AB" w:rsidRDefault="000244AB" w:rsidP="00DA4995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C426" w14:textId="77777777" w:rsidR="000244AB" w:rsidRDefault="000244AB" w:rsidP="00DA4995"/>
        </w:tc>
      </w:tr>
      <w:tr w:rsidR="007338CD" w14:paraId="03F29D3C" w14:textId="77777777" w:rsidTr="007338CD">
        <w:trPr>
          <w:gridAfter w:val="2"/>
          <w:wAfter w:w="373" w:type="dxa"/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8BB1E" w14:textId="77777777" w:rsidR="000244AB" w:rsidRDefault="000244AB" w:rsidP="00DA4995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F3D06" w14:textId="77777777" w:rsidR="000244AB" w:rsidRDefault="000244AB" w:rsidP="00DA4995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4E1D4" w14:textId="77777777" w:rsidR="000244AB" w:rsidRDefault="000244AB" w:rsidP="00DA4995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842E7" w14:textId="77777777" w:rsidR="000244AB" w:rsidRDefault="000244AB" w:rsidP="00DA4995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B7D4C" w14:textId="77777777" w:rsidR="000244AB" w:rsidRDefault="000244AB" w:rsidP="00DA4995"/>
        </w:tc>
      </w:tr>
      <w:tr w:rsidR="000244AB" w14:paraId="0734439E" w14:textId="77777777" w:rsidTr="00DA4995">
        <w:trPr>
          <w:trHeight w:val="255"/>
        </w:trPr>
        <w:tc>
          <w:tcPr>
            <w:tcW w:w="11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6CB5C" w14:textId="2479E7F3" w:rsidR="000244AB" w:rsidRDefault="000244AB" w:rsidP="00DA4995">
            <w:r>
              <w:t>Služby jsou poskytovány  u   zákazníka v předem dohodnutém termínu.</w:t>
            </w:r>
          </w:p>
        </w:tc>
      </w:tr>
      <w:tr w:rsidR="000244AB" w14:paraId="3089667B" w14:textId="77777777" w:rsidTr="007338CD">
        <w:trPr>
          <w:trHeight w:val="255"/>
        </w:trPr>
        <w:tc>
          <w:tcPr>
            <w:tcW w:w="11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2CAE7" w14:textId="68E803B4" w:rsidR="000244AB" w:rsidRDefault="000244AB" w:rsidP="00DA4995"/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EFD33" w14:textId="77777777" w:rsidR="000244AB" w:rsidRDefault="000244AB" w:rsidP="00DA4995"/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5BFA" w14:textId="77777777" w:rsidR="000244AB" w:rsidRDefault="000244AB" w:rsidP="00DA4995"/>
        </w:tc>
      </w:tr>
      <w:tr w:rsidR="007338CD" w14:paraId="2623FDCF" w14:textId="77777777" w:rsidTr="007338CD">
        <w:trPr>
          <w:gridAfter w:val="2"/>
          <w:wAfter w:w="373" w:type="dxa"/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C4D" w14:textId="77777777" w:rsidR="000244AB" w:rsidRDefault="000244AB" w:rsidP="00DA4995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119E" w14:textId="77777777" w:rsidR="000244AB" w:rsidRDefault="000244AB" w:rsidP="00DA4995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A45B" w14:textId="77777777" w:rsidR="000244AB" w:rsidRDefault="000244AB" w:rsidP="00DA4995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4F541" w14:textId="77777777" w:rsidR="000244AB" w:rsidRDefault="000244AB" w:rsidP="00DA4995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168F2" w14:textId="77777777" w:rsidR="000244AB" w:rsidRDefault="000244AB" w:rsidP="00DA4995"/>
        </w:tc>
      </w:tr>
      <w:tr w:rsidR="007338CD" w14:paraId="60F055D2" w14:textId="77777777" w:rsidTr="007338CD">
        <w:trPr>
          <w:gridAfter w:val="2"/>
          <w:wAfter w:w="373" w:type="dxa"/>
          <w:trHeight w:val="46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CBC46" w14:textId="77777777" w:rsidR="000244AB" w:rsidRDefault="000244AB" w:rsidP="00DA4995">
            <w:r>
              <w:t>položka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AD9C" w14:textId="7823ED8B" w:rsidR="000244AB" w:rsidRDefault="00FB6232" w:rsidP="00DA4995">
            <w:r>
              <w:t xml:space="preserve">                                           </w:t>
            </w:r>
            <w:r w:rsidR="000244AB">
              <w:t>cena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40DE4" w14:textId="77777777" w:rsidR="000244AB" w:rsidRDefault="000244AB" w:rsidP="00DA4995">
            <w:r>
              <w:t>počet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C3F6" w14:textId="387C4404" w:rsidR="000244AB" w:rsidRDefault="00FB6232" w:rsidP="00DA4995">
            <w:r>
              <w:t xml:space="preserve">    </w:t>
            </w:r>
            <w:proofErr w:type="spellStart"/>
            <w:r w:rsidR="000244AB">
              <w:t>m.j</w:t>
            </w:r>
            <w:proofErr w:type="spellEnd"/>
            <w:r w:rsidR="000244AB">
              <w:t>.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9001" w14:textId="77777777" w:rsidR="000244AB" w:rsidRDefault="000244AB" w:rsidP="00DA4995">
            <w:r>
              <w:t>celkem</w:t>
            </w:r>
          </w:p>
        </w:tc>
      </w:tr>
      <w:tr w:rsidR="007338CD" w14:paraId="25F28F34" w14:textId="77777777" w:rsidTr="007338CD">
        <w:trPr>
          <w:gridAfter w:val="2"/>
          <w:wAfter w:w="373" w:type="dxa"/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94302" w14:textId="77777777" w:rsidR="000244AB" w:rsidRDefault="000244AB" w:rsidP="00DA4995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CAF3F" w14:textId="77777777" w:rsidR="000244AB" w:rsidRDefault="000244AB" w:rsidP="00DA4995">
            <w:pPr>
              <w:jc w:val="center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BFC1" w14:textId="77777777" w:rsidR="000244AB" w:rsidRDefault="000244AB" w:rsidP="00DA4995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82DF8" w14:textId="77777777" w:rsidR="000244AB" w:rsidRDefault="000244AB" w:rsidP="00DA4995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81A5" w14:textId="77777777" w:rsidR="000244AB" w:rsidRDefault="000244AB" w:rsidP="00DA4995">
            <w:pPr>
              <w:jc w:val="right"/>
            </w:pPr>
          </w:p>
        </w:tc>
      </w:tr>
      <w:tr w:rsidR="007338CD" w14:paraId="4F5F4D22" w14:textId="77777777" w:rsidTr="007338CD">
        <w:trPr>
          <w:gridAfter w:val="2"/>
          <w:wAfter w:w="373" w:type="dxa"/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C85E5" w14:textId="77777777" w:rsidR="000244AB" w:rsidRDefault="000244AB" w:rsidP="00DA4995">
            <w:r>
              <w:t>Správa PC SW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99163" w14:textId="6092E2B7" w:rsidR="000244AB" w:rsidRDefault="000244AB" w:rsidP="00DA4995">
            <w:pPr>
              <w:jc w:val="center"/>
            </w:pPr>
            <w:r>
              <w:t>500</w:t>
            </w:r>
            <w:r w:rsidR="00D116B6">
              <w:t xml:space="preserve"> kč / každou započatou hodinu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4BB8" w14:textId="4DF9EC46" w:rsidR="000244AB" w:rsidRDefault="00FB6232" w:rsidP="00DA4995">
            <w:r>
              <w:t xml:space="preserve">      6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B9FE" w14:textId="77777777" w:rsidR="000244AB" w:rsidRDefault="000244AB" w:rsidP="00DA4995">
            <w:pPr>
              <w:jc w:val="center"/>
            </w:pPr>
            <w:r>
              <w:t>hod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31B2" w14:textId="56688EA8" w:rsidR="000244AB" w:rsidRDefault="000244AB" w:rsidP="00DA4995">
            <w:pPr>
              <w:jc w:val="right"/>
            </w:pPr>
          </w:p>
        </w:tc>
      </w:tr>
      <w:tr w:rsidR="007338CD" w14:paraId="301C32B7" w14:textId="77777777" w:rsidTr="007338CD">
        <w:trPr>
          <w:gridAfter w:val="2"/>
          <w:wAfter w:w="373" w:type="dxa"/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F888" w14:textId="77777777" w:rsidR="000244AB" w:rsidRDefault="000244AB" w:rsidP="00DA4995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3174" w14:textId="77777777" w:rsidR="000244AB" w:rsidRDefault="000244AB" w:rsidP="00DA4995">
            <w:pPr>
              <w:jc w:val="center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303E3" w14:textId="77777777" w:rsidR="000244AB" w:rsidRDefault="000244AB" w:rsidP="00DA4995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8DFA6" w14:textId="77777777" w:rsidR="000244AB" w:rsidRDefault="000244AB" w:rsidP="00DA4995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C862" w14:textId="77777777" w:rsidR="000244AB" w:rsidRDefault="000244AB" w:rsidP="00DA4995"/>
        </w:tc>
      </w:tr>
      <w:tr w:rsidR="000244AB" w14:paraId="118ECE42" w14:textId="77777777" w:rsidTr="007338CD">
        <w:trPr>
          <w:trHeight w:val="255"/>
        </w:trPr>
        <w:tc>
          <w:tcPr>
            <w:tcW w:w="1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26B86" w14:textId="74557554" w:rsidR="000244AB" w:rsidRDefault="000244AB" w:rsidP="00DA4995">
            <w:r>
              <w:t xml:space="preserve">V ceně je započítaná doprava  , používání diagnostických přístrojů.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3D3BD" w14:textId="77777777" w:rsidR="000244AB" w:rsidRDefault="000244AB" w:rsidP="00DA4995"/>
        </w:tc>
      </w:tr>
      <w:tr w:rsidR="000244AB" w14:paraId="365D2807" w14:textId="77777777" w:rsidTr="00DA4995">
        <w:trPr>
          <w:trHeight w:val="255"/>
        </w:trPr>
        <w:tc>
          <w:tcPr>
            <w:tcW w:w="11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B703A" w14:textId="68F8FFFA" w:rsidR="000244AB" w:rsidRDefault="000244AB" w:rsidP="00DA4995">
            <w:r>
              <w:t>Práce provedené mimo rámec této smlouvy budou hrazeny dle ceníku služeb platných pro rok 20</w:t>
            </w:r>
            <w:r w:rsidR="00C45A89">
              <w:t>2</w:t>
            </w:r>
            <w:r w:rsidR="00AE6E31">
              <w:t>4</w:t>
            </w:r>
            <w:r>
              <w:t xml:space="preserve"> :</w:t>
            </w:r>
          </w:p>
        </w:tc>
      </w:tr>
      <w:tr w:rsidR="007338CD" w14:paraId="596DD1F2" w14:textId="77777777" w:rsidTr="007338CD">
        <w:trPr>
          <w:gridAfter w:val="2"/>
          <w:wAfter w:w="373" w:type="dxa"/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6EE8" w14:textId="77777777" w:rsidR="000244AB" w:rsidRDefault="000244AB" w:rsidP="00DA4995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965E" w14:textId="77777777" w:rsidR="000244AB" w:rsidRDefault="000244AB" w:rsidP="00DA4995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1770D" w14:textId="77777777" w:rsidR="000244AB" w:rsidRDefault="000244AB" w:rsidP="00DA4995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124EF" w14:textId="77777777" w:rsidR="000244AB" w:rsidRDefault="000244AB" w:rsidP="00DA4995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BE5E" w14:textId="77777777" w:rsidR="000244AB" w:rsidRDefault="000244AB" w:rsidP="00DA4995"/>
        </w:tc>
      </w:tr>
      <w:tr w:rsidR="007338CD" w14:paraId="69540BF4" w14:textId="77777777" w:rsidTr="007338CD">
        <w:trPr>
          <w:gridAfter w:val="2"/>
          <w:wAfter w:w="373" w:type="dxa"/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1AC9" w14:textId="77777777" w:rsidR="000244AB" w:rsidRDefault="000244AB" w:rsidP="00DA4995">
            <w:pPr>
              <w:rPr>
                <w:rFonts w:ascii="Arial" w:hAnsi="Arial" w:cs="Arial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C841D" w14:textId="4A6DE44E" w:rsidR="000244AB" w:rsidRDefault="00BE551E" w:rsidP="00DA4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Sazba / hod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0002" w14:textId="77777777" w:rsidR="000244AB" w:rsidRDefault="000244AB" w:rsidP="00DA499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44C3" w14:textId="77777777" w:rsidR="000244AB" w:rsidRDefault="000244AB" w:rsidP="00DA4995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0DD3B" w14:textId="77777777" w:rsidR="000244AB" w:rsidRDefault="000244AB" w:rsidP="00DA4995">
            <w:pPr>
              <w:rPr>
                <w:rFonts w:ascii="Arial" w:hAnsi="Arial" w:cs="Arial"/>
              </w:rPr>
            </w:pPr>
          </w:p>
        </w:tc>
      </w:tr>
      <w:tr w:rsidR="000244AB" w14:paraId="7F9C56ED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B8294" w14:textId="59D4C4AF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D5A08" w14:textId="05EA73A1" w:rsidR="000244AB" w:rsidRDefault="00D116B6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Servis </w:t>
            </w:r>
            <w:proofErr w:type="spellStart"/>
            <w:r>
              <w:rPr>
                <w:sz w:val="18"/>
                <w:szCs w:val="18"/>
              </w:rPr>
              <w:t>SW,instalace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3BED3" w14:textId="0A2DA800" w:rsidR="000244AB" w:rsidRDefault="00D116B6" w:rsidP="00DA4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Kč</w:t>
            </w:r>
          </w:p>
        </w:tc>
      </w:tr>
      <w:tr w:rsidR="007338CD" w14:paraId="775CD362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FBDBB" w14:textId="7777777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E7DAE" w14:textId="6B1AAAEE" w:rsidR="000244AB" w:rsidRDefault="00D116B6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Běžný servis LAN , HW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878BD" w14:textId="77777777" w:rsidR="000244AB" w:rsidRDefault="000244AB" w:rsidP="00DA499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CE6AA" w14:textId="77777777" w:rsidR="000244AB" w:rsidRDefault="000244AB" w:rsidP="00DA4995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9F947" w14:textId="63B321EC" w:rsidR="000244AB" w:rsidRDefault="00D116B6" w:rsidP="00DA4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5D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Kč</w:t>
            </w:r>
          </w:p>
        </w:tc>
      </w:tr>
      <w:tr w:rsidR="000244AB" w14:paraId="705D2BF9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5874" w14:textId="528A5B91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C2BBD" w14:textId="6417B0FF" w:rsidR="000244AB" w:rsidRDefault="00D116B6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Běžný servis SW - údržba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6C414" w14:textId="0A832633" w:rsidR="000244AB" w:rsidRDefault="00D116B6" w:rsidP="00DA4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5D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 </w:t>
            </w:r>
            <w:r w:rsidR="00DA4995">
              <w:rPr>
                <w:sz w:val="22"/>
                <w:szCs w:val="22"/>
              </w:rPr>
              <w:t>Kč</w:t>
            </w:r>
          </w:p>
        </w:tc>
      </w:tr>
      <w:tr w:rsidR="007338CD" w14:paraId="770299CA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CE146" w14:textId="7777777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B10FA" w14:textId="62BDA42E" w:rsidR="000244AB" w:rsidRDefault="00D116B6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Správa sítě WLAN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6F26F" w14:textId="77777777" w:rsidR="000244AB" w:rsidRDefault="000244AB" w:rsidP="00DA499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F34DD" w14:textId="77777777" w:rsidR="000244AB" w:rsidRDefault="000244AB" w:rsidP="00DA4995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C008" w14:textId="49101A46" w:rsidR="000244AB" w:rsidRDefault="00AD5D68" w:rsidP="00DA4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116B6">
              <w:rPr>
                <w:sz w:val="22"/>
                <w:szCs w:val="22"/>
              </w:rPr>
              <w:t>00 Kč</w:t>
            </w:r>
          </w:p>
        </w:tc>
      </w:tr>
      <w:tr w:rsidR="000244AB" w14:paraId="0AAF1080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2E500" w14:textId="20E7BC65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80C56" w14:textId="736439DC" w:rsidR="000244AB" w:rsidRDefault="00D116B6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LAN + SW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2931" w14:textId="27EDB5F0" w:rsidR="000244AB" w:rsidRDefault="00AD5D68" w:rsidP="00DA4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DA4995">
              <w:rPr>
                <w:sz w:val="22"/>
                <w:szCs w:val="22"/>
              </w:rPr>
              <w:t>0</w:t>
            </w:r>
            <w:r w:rsidR="00AE6E31">
              <w:rPr>
                <w:sz w:val="22"/>
                <w:szCs w:val="22"/>
              </w:rPr>
              <w:t xml:space="preserve"> </w:t>
            </w:r>
            <w:r w:rsidR="00D116B6">
              <w:rPr>
                <w:sz w:val="22"/>
                <w:szCs w:val="22"/>
              </w:rPr>
              <w:t>Kč</w:t>
            </w:r>
          </w:p>
        </w:tc>
      </w:tr>
      <w:tr w:rsidR="007338CD" w14:paraId="032C41CD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ADDA" w14:textId="7777777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27C9B" w14:textId="045C0A11" w:rsidR="000244AB" w:rsidRDefault="00D116B6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SW ( mimo Microsoft)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31C41" w14:textId="77777777" w:rsidR="000244AB" w:rsidRDefault="000244AB" w:rsidP="00DA499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FAA34" w14:textId="77777777" w:rsidR="000244AB" w:rsidRDefault="000244AB" w:rsidP="00DA4995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15666" w14:textId="6C9F3DC9" w:rsidR="000244AB" w:rsidRDefault="00D116B6" w:rsidP="00DA4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D5D68">
              <w:rPr>
                <w:sz w:val="22"/>
                <w:szCs w:val="22"/>
              </w:rPr>
              <w:t>0</w:t>
            </w:r>
            <w:r w:rsidR="00AE6E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0244AB" w14:paraId="5E60E2D1" w14:textId="77777777" w:rsidTr="007338CD">
        <w:trPr>
          <w:gridAfter w:val="2"/>
          <w:wAfter w:w="373" w:type="dxa"/>
          <w:trHeight w:val="58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51888" w14:textId="753325B0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B090E" w14:textId="77777777" w:rsidR="000244AB" w:rsidRDefault="000244AB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Výjezd technika - paušální poplatek za výjezd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71AED" w14:textId="77777777" w:rsidR="000244AB" w:rsidRDefault="000244AB" w:rsidP="00DA4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Kč</w:t>
            </w:r>
          </w:p>
        </w:tc>
      </w:tr>
      <w:tr w:rsidR="000244AB" w14:paraId="1D5BA2A0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5B45" w14:textId="7777777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XSpec="right" w:tblpY="-326"/>
              <w:tblW w:w="11082" w:type="dxa"/>
              <w:jc w:val="righ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82"/>
            </w:tblGrid>
            <w:tr w:rsidR="00D116B6" w14:paraId="1D3E51B0" w14:textId="77777777" w:rsidTr="00DD15E4">
              <w:trPr>
                <w:trHeight w:val="300"/>
                <w:jc w:val="right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ABC19FF" w14:textId="25FED9CD" w:rsidR="00D116B6" w:rsidRDefault="00D116B6" w:rsidP="00DA49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Instalace OS vč. </w:t>
                  </w:r>
                  <w:r w:rsidR="00FB6232">
                    <w:rPr>
                      <w:sz w:val="18"/>
                      <w:szCs w:val="18"/>
                    </w:rPr>
                    <w:t>O</w:t>
                  </w:r>
                  <w:r>
                    <w:rPr>
                      <w:sz w:val="18"/>
                      <w:szCs w:val="18"/>
                    </w:rPr>
                    <w:t>vladačů</w:t>
                  </w:r>
                  <w:r w:rsidR="00FB6232">
                    <w:rPr>
                      <w:sz w:val="18"/>
                      <w:szCs w:val="18"/>
                    </w:rPr>
                    <w:t xml:space="preserve">, reinstalace </w:t>
                  </w:r>
                </w:p>
              </w:tc>
            </w:tr>
          </w:tbl>
          <w:p w14:paraId="4ABC3CC2" w14:textId="77777777" w:rsidR="000244AB" w:rsidRDefault="000244AB" w:rsidP="00DA4995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3BE63" w14:textId="60AB6FC8" w:rsidR="000244AB" w:rsidRDefault="00D116B6" w:rsidP="00DA4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</w:t>
            </w:r>
            <w:r w:rsidR="00FB6232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č</w:t>
            </w:r>
          </w:p>
        </w:tc>
      </w:tr>
      <w:tr w:rsidR="000244AB" w14:paraId="4E423F6A" w14:textId="77777777" w:rsidTr="007338CD">
        <w:trPr>
          <w:gridAfter w:val="2"/>
          <w:wAfter w:w="373" w:type="dxa"/>
          <w:trHeight w:val="49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929D" w14:textId="4639B73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77D9A" w14:textId="77777777" w:rsidR="000244AB" w:rsidRDefault="000244AB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Instalace update k OS(aktualizace, SP, atd.)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84B7" w14:textId="77777777" w:rsidR="000244AB" w:rsidRDefault="000244AB" w:rsidP="00DA4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Kč</w:t>
            </w:r>
          </w:p>
        </w:tc>
      </w:tr>
      <w:tr w:rsidR="000244AB" w14:paraId="0FD61EBD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7A4AA" w14:textId="7777777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501D3" w14:textId="204B1BF4" w:rsidR="000244AB" w:rsidRDefault="00BE551E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Vzdálená správa, dohled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3BCFD" w14:textId="1C0D6ECA" w:rsidR="000244AB" w:rsidRDefault="00BE551E" w:rsidP="00DA4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Kč</w:t>
            </w:r>
          </w:p>
        </w:tc>
      </w:tr>
      <w:tr w:rsidR="000244AB" w14:paraId="3415AC3F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5F08F" w14:textId="2F369093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A64C1" w14:textId="3123B61D" w:rsidR="000244AB" w:rsidRDefault="00FB6232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technika u zákazníka SW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832E7" w14:textId="179DBF14" w:rsidR="000244AB" w:rsidRDefault="000244AB" w:rsidP="00DA4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D5D68">
              <w:rPr>
                <w:sz w:val="22"/>
                <w:szCs w:val="22"/>
              </w:rPr>
              <w:t>0</w:t>
            </w:r>
            <w:r w:rsidR="00AE6E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0244AB" w14:paraId="46948405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CF1E" w14:textId="7777777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F90C1" w14:textId="5C317BE2" w:rsidR="000244AB" w:rsidRDefault="00FB6232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technika u zákazníka HW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13AAA" w14:textId="5BF04C05" w:rsidR="000244AB" w:rsidRDefault="00FB6232" w:rsidP="00DA49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A396D">
              <w:rPr>
                <w:sz w:val="22"/>
                <w:szCs w:val="22"/>
              </w:rPr>
              <w:t>0</w:t>
            </w:r>
            <w:r w:rsidR="00DA499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0244AB" w14:paraId="4F115F92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97BBF" w14:textId="5B5517D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D369C" w14:textId="6793B727" w:rsidR="000244AB" w:rsidRDefault="000244AB" w:rsidP="00DA4995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F1E9" w14:textId="33A49523" w:rsidR="000244AB" w:rsidRDefault="000244AB" w:rsidP="00DA4995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10DEE24E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3B67" w14:textId="7777777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FD6AD" w14:textId="77777777" w:rsidR="000244AB" w:rsidRDefault="000244AB" w:rsidP="00DA4995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B9924" w14:textId="77777777" w:rsidR="000244AB" w:rsidRDefault="000244AB" w:rsidP="00DA4995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7614E88C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2E79A" w14:textId="7777777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BC7DB" w14:textId="503CA9AA" w:rsidR="000244AB" w:rsidRDefault="00FB6232" w:rsidP="00DA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zhotovitele   Jan Stromšík</w:t>
            </w:r>
            <w:r w:rsidR="00395A7D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ED16B" w14:textId="77777777" w:rsidR="000244AB" w:rsidRDefault="000244AB" w:rsidP="00DA4995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4E284DD4" w14:textId="77777777" w:rsidTr="007338CD">
        <w:trPr>
          <w:gridAfter w:val="2"/>
          <w:wAfter w:w="373" w:type="dxa"/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DE9EC" w14:textId="77777777" w:rsidR="000244AB" w:rsidRDefault="000244AB" w:rsidP="00DA4995">
            <w:pPr>
              <w:rPr>
                <w:sz w:val="16"/>
                <w:szCs w:val="16"/>
              </w:rPr>
            </w:pPr>
          </w:p>
        </w:tc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3C904" w14:textId="77777777" w:rsidR="000244AB" w:rsidRDefault="000244AB" w:rsidP="00DA4995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86D3" w14:textId="77777777" w:rsidR="000244AB" w:rsidRDefault="000244AB" w:rsidP="00DA4995">
            <w:pPr>
              <w:jc w:val="right"/>
              <w:rPr>
                <w:sz w:val="22"/>
                <w:szCs w:val="22"/>
              </w:rPr>
            </w:pPr>
          </w:p>
        </w:tc>
      </w:tr>
    </w:tbl>
    <w:p w14:paraId="1BF2A362" w14:textId="03E50C34" w:rsidR="000244AB" w:rsidRDefault="000244AB" w:rsidP="000244AB">
      <w:pPr>
        <w:tabs>
          <w:tab w:val="left" w:pos="360"/>
          <w:tab w:val="left" w:pos="540"/>
          <w:tab w:val="left" w:pos="2160"/>
          <w:tab w:val="left" w:pos="909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ab/>
      </w:r>
    </w:p>
    <w:p w14:paraId="5B1EB70C" w14:textId="3DB278C5" w:rsidR="0040627F" w:rsidRDefault="0040627F"/>
    <w:sectPr w:rsidR="0040627F" w:rsidSect="00B65723">
      <w:headerReference w:type="default" r:id="rId8"/>
      <w:pgSz w:w="11906" w:h="16838"/>
      <w:pgMar w:top="170" w:right="170" w:bottom="176" w:left="17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D6C1" w14:textId="77777777" w:rsidR="00647CA1" w:rsidRDefault="00647CA1">
      <w:r>
        <w:separator/>
      </w:r>
    </w:p>
  </w:endnote>
  <w:endnote w:type="continuationSeparator" w:id="0">
    <w:p w14:paraId="21548325" w14:textId="77777777" w:rsidR="00647CA1" w:rsidRDefault="0064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AD78" w14:textId="77777777" w:rsidR="00647CA1" w:rsidRDefault="00647CA1">
      <w:r>
        <w:separator/>
      </w:r>
    </w:p>
  </w:footnote>
  <w:footnote w:type="continuationSeparator" w:id="0">
    <w:p w14:paraId="47F9FED5" w14:textId="77777777" w:rsidR="00647CA1" w:rsidRDefault="0064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DA67" w14:textId="6EB689A2" w:rsidR="0040627F" w:rsidRDefault="000244AB" w:rsidP="00BD4AE0">
    <w:pPr>
      <w:pStyle w:val="Zhlav"/>
      <w:tabs>
        <w:tab w:val="clear" w:pos="9072"/>
        <w:tab w:val="right" w:pos="9923"/>
      </w:tabs>
    </w:pPr>
    <w:bookmarkStart w:id="0" w:name="_Hlk152182650"/>
    <w:r w:rsidRPr="00A0275C">
      <w:rPr>
        <w:b/>
        <w:i/>
        <w:color w:val="FF0000"/>
        <w:sz w:val="72"/>
        <w:szCs w:val="72"/>
        <w:u w:val="sing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JSW</w:t>
    </w:r>
    <w:r w:rsidRPr="00A0275C">
      <w:rPr>
        <w:b/>
        <w:i/>
        <w:color w:val="FF0000"/>
        <w:sz w:val="28"/>
        <w:szCs w:val="28"/>
        <w:u w:val="sing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Jan</w:t>
    </w:r>
    <w:r w:rsidR="0040627F" w:rsidRPr="00A0275C">
      <w:rPr>
        <w:b/>
        <w:i/>
        <w:color w:val="FF0000"/>
        <w:sz w:val="72"/>
        <w:u w:val="sing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40627F" w:rsidRPr="00A0275C">
      <w:rPr>
        <w:b/>
        <w:i/>
        <w:color w:val="FF0000"/>
        <w:sz w:val="28"/>
        <w:szCs w:val="28"/>
        <w:u w:val="sing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Stromšík</w:t>
    </w:r>
    <w:r w:rsidR="0040627F" w:rsidRPr="00A0275C">
      <w:rPr>
        <w:b/>
        <w:i/>
        <w:color w:val="FF0000"/>
        <w:sz w:val="4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40627F">
      <w:tab/>
    </w:r>
    <w:r w:rsidR="00B256A6" w:rsidRPr="00B256A6">
      <w:rPr>
        <w:sz w:val="36"/>
      </w:rPr>
      <w:t xml:space="preserve">                             </w:t>
    </w:r>
    <w:r w:rsidR="00BD4AE0">
      <w:tab/>
    </w:r>
  </w:p>
  <w:bookmarkEnd w:id="0"/>
  <w:p w14:paraId="5F9C6082" w14:textId="77777777" w:rsidR="00B256A6" w:rsidRDefault="00B256A6">
    <w:pPr>
      <w:pStyle w:val="Zhlav"/>
      <w:rPr>
        <w:b/>
      </w:rPr>
    </w:pPr>
    <w:r>
      <w:t xml:space="preserve"> </w:t>
    </w:r>
    <w:r w:rsidR="0040627F">
      <w:t>výpočetní a kancelářská technika</w:t>
    </w:r>
    <w:r w:rsidR="0040627F">
      <w:tab/>
    </w:r>
    <w:r w:rsidR="0040627F">
      <w:rPr>
        <w:b/>
      </w:rPr>
      <w:t xml:space="preserve">                                    </w:t>
    </w:r>
  </w:p>
  <w:p w14:paraId="0D2F32D2" w14:textId="77777777" w:rsidR="0040627F" w:rsidRDefault="0040627F">
    <w:pPr>
      <w:pStyle w:val="Zhlav"/>
    </w:pPr>
    <w:r>
      <w:rPr>
        <w:b/>
      </w:rPr>
      <w:t xml:space="preserve"> </w:t>
    </w:r>
    <w:r w:rsidR="00C7346F">
      <w:rPr>
        <w:b/>
      </w:rPr>
      <w:t>Oznice e.č.5 , 756 24</w:t>
    </w:r>
    <w:r>
      <w:tab/>
    </w:r>
    <w:r w:rsidR="00B256A6">
      <w:t xml:space="preserve">            </w:t>
    </w:r>
    <w:r w:rsidR="00C7346F">
      <w:t>stromsik@jscom.cz</w:t>
    </w:r>
    <w:r w:rsidR="00B256A6">
      <w:t xml:space="preserve">    +420603871984</w:t>
    </w:r>
    <w:r>
      <w:tab/>
      <w:t xml:space="preserve">                                                                                  </w:t>
    </w:r>
  </w:p>
  <w:p w14:paraId="66BD62BA" w14:textId="77777777" w:rsidR="0040627F" w:rsidRDefault="0040627F">
    <w:pPr>
      <w:pStyle w:val="Zhlav"/>
    </w:pPr>
  </w:p>
  <w:p w14:paraId="0A815B81" w14:textId="77777777" w:rsidR="0040627F" w:rsidRDefault="0040627F">
    <w:pPr>
      <w:pStyle w:val="Zhlav"/>
    </w:pPr>
    <w:r>
      <w:tab/>
    </w:r>
    <w:r>
      <w:tab/>
      <w:t xml:space="preserve"> </w:t>
    </w:r>
  </w:p>
  <w:p w14:paraId="1FA026DA" w14:textId="77777777" w:rsidR="0040627F" w:rsidRDefault="0040627F">
    <w:pPr>
      <w:pStyle w:val="Zhlav"/>
      <w:ind w:left="-851" w:firstLine="851"/>
    </w:pPr>
  </w:p>
  <w:p w14:paraId="5DFF3B81" w14:textId="77777777" w:rsidR="0040627F" w:rsidRDefault="0040627F">
    <w:pPr>
      <w:pStyle w:val="Zhlav"/>
      <w:ind w:left="-851" w:firstLine="851"/>
    </w:pPr>
  </w:p>
  <w:p w14:paraId="239ABA8D" w14:textId="77777777" w:rsidR="0040627F" w:rsidRDefault="0040627F">
    <w:pPr>
      <w:pStyle w:val="Zhlav"/>
      <w:ind w:left="-851" w:firstLine="851"/>
    </w:pPr>
  </w:p>
  <w:p w14:paraId="01F38247" w14:textId="77777777" w:rsidR="0040627F" w:rsidRDefault="0040627F">
    <w:pPr>
      <w:pStyle w:val="Zhlav"/>
      <w:ind w:left="-851" w:firstLine="851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E0F"/>
    <w:multiLevelType w:val="hybridMultilevel"/>
    <w:tmpl w:val="53D8FDD6"/>
    <w:lvl w:ilvl="0" w:tplc="6B7875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E391B2D"/>
    <w:multiLevelType w:val="hybridMultilevel"/>
    <w:tmpl w:val="FCF8557E"/>
    <w:lvl w:ilvl="0" w:tplc="F26EEF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152A25A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B2A1334"/>
    <w:multiLevelType w:val="hybridMultilevel"/>
    <w:tmpl w:val="EE6C2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35E8D"/>
    <w:multiLevelType w:val="hybridMultilevel"/>
    <w:tmpl w:val="B99644F6"/>
    <w:lvl w:ilvl="0" w:tplc="ECE241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2076706248">
    <w:abstractNumId w:val="2"/>
  </w:num>
  <w:num w:numId="2" w16cid:durableId="2132942257">
    <w:abstractNumId w:val="0"/>
  </w:num>
  <w:num w:numId="3" w16cid:durableId="1384403970">
    <w:abstractNumId w:val="1"/>
  </w:num>
  <w:num w:numId="4" w16cid:durableId="94596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7F"/>
    <w:rsid w:val="000244AB"/>
    <w:rsid w:val="00136D07"/>
    <w:rsid w:val="001E6615"/>
    <w:rsid w:val="00256880"/>
    <w:rsid w:val="002A13FC"/>
    <w:rsid w:val="002A396D"/>
    <w:rsid w:val="00357EED"/>
    <w:rsid w:val="00395A7D"/>
    <w:rsid w:val="003F67E7"/>
    <w:rsid w:val="0040627F"/>
    <w:rsid w:val="00647CA1"/>
    <w:rsid w:val="007338CD"/>
    <w:rsid w:val="007A00CC"/>
    <w:rsid w:val="007A4CB0"/>
    <w:rsid w:val="008A49BC"/>
    <w:rsid w:val="008A789C"/>
    <w:rsid w:val="00A0275C"/>
    <w:rsid w:val="00A168B5"/>
    <w:rsid w:val="00AD5D68"/>
    <w:rsid w:val="00AE6E31"/>
    <w:rsid w:val="00B256A6"/>
    <w:rsid w:val="00B65723"/>
    <w:rsid w:val="00BD4AE0"/>
    <w:rsid w:val="00BE2515"/>
    <w:rsid w:val="00BE551E"/>
    <w:rsid w:val="00C45A89"/>
    <w:rsid w:val="00C6353E"/>
    <w:rsid w:val="00C66C99"/>
    <w:rsid w:val="00C7346F"/>
    <w:rsid w:val="00C8341C"/>
    <w:rsid w:val="00CD6702"/>
    <w:rsid w:val="00D116B6"/>
    <w:rsid w:val="00D2394D"/>
    <w:rsid w:val="00DA4995"/>
    <w:rsid w:val="00EE36AC"/>
    <w:rsid w:val="00F30F67"/>
    <w:rsid w:val="00FB227E"/>
    <w:rsid w:val="00FB6232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B4C77"/>
  <w15:docId w15:val="{4805B966-00C7-4F1F-A1D2-6064C5A8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tabs>
        <w:tab w:val="left" w:pos="2127"/>
      </w:tabs>
      <w:ind w:left="1843" w:hanging="1843"/>
    </w:pPr>
    <w:rPr>
      <w:sz w:val="24"/>
    </w:rPr>
  </w:style>
  <w:style w:type="character" w:styleId="Hypertextovodkaz">
    <w:name w:val="Hyperlink"/>
    <w:basedOn w:val="Standardnpsmoodstavce"/>
    <w:rsid w:val="00B256A6"/>
    <w:rPr>
      <w:color w:val="0000FF" w:themeColor="hyperlink"/>
      <w:u w:val="single"/>
    </w:rPr>
  </w:style>
  <w:style w:type="character" w:customStyle="1" w:styleId="apple-style-span">
    <w:name w:val="apple-style-span"/>
    <w:basedOn w:val="Standardnpsmoodstavce"/>
    <w:rsid w:val="0002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E05C-3CE9-47C6-85A3-25329920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5569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Nabídka faxů-pro sl</vt:lpstr>
      <vt:lpstr>Nabídka faxů-pro sl</vt:lpstr>
    </vt:vector>
  </TitlesOfParts>
  <Company>M.Holec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faxů-pro sl</dc:title>
  <dc:creator>Strom</dc:creator>
  <cp:lastModifiedBy>Vera Jurenkova</cp:lastModifiedBy>
  <cp:revision>4</cp:revision>
  <cp:lastPrinted>2023-12-06T17:55:00Z</cp:lastPrinted>
  <dcterms:created xsi:type="dcterms:W3CDTF">2023-12-07T13:55:00Z</dcterms:created>
  <dcterms:modified xsi:type="dcterms:W3CDTF">2023-12-08T13:55:00Z</dcterms:modified>
</cp:coreProperties>
</file>