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3B7D" w14:textId="77777777" w:rsidR="00BC43DE" w:rsidRDefault="005220A5">
      <w:pPr>
        <w:spacing w:after="170"/>
        <w:jc w:val="center"/>
        <w:rPr>
          <w:rFonts w:ascii="Arial" w:hAnsi="Arial"/>
        </w:rPr>
      </w:pPr>
      <w:r>
        <w:rPr>
          <w:rFonts w:ascii="Arial" w:hAnsi="Arial"/>
          <w:b/>
          <w:sz w:val="28"/>
          <w:szCs w:val="28"/>
        </w:rPr>
        <w:t>Smlouva o provedení auditu</w:t>
      </w:r>
      <w:r>
        <w:rPr>
          <w:rFonts w:ascii="Arial" w:hAnsi="Arial"/>
          <w:b/>
          <w:sz w:val="28"/>
          <w:szCs w:val="28"/>
        </w:rPr>
        <w:br/>
      </w:r>
      <w:r w:rsidRPr="0018256B">
        <w:rPr>
          <w:rFonts w:ascii="Arial" w:hAnsi="Arial"/>
          <w:bCs/>
          <w:sz w:val="28"/>
          <w:szCs w:val="28"/>
        </w:rPr>
        <w:t>(</w:t>
      </w:r>
      <w:r>
        <w:rPr>
          <w:rFonts w:ascii="Arial" w:hAnsi="Arial"/>
          <w:sz w:val="28"/>
          <w:szCs w:val="28"/>
        </w:rPr>
        <w:t>dále jen</w:t>
      </w:r>
      <w:r w:rsidRPr="0018256B">
        <w:rPr>
          <w:rFonts w:ascii="Arial" w:hAnsi="Arial"/>
          <w:bCs/>
          <w:sz w:val="28"/>
          <w:szCs w:val="28"/>
        </w:rPr>
        <w:t xml:space="preserve"> „</w:t>
      </w:r>
      <w:r>
        <w:rPr>
          <w:rFonts w:ascii="Arial" w:hAnsi="Arial"/>
          <w:b/>
          <w:sz w:val="28"/>
          <w:szCs w:val="28"/>
        </w:rPr>
        <w:t>smlouva</w:t>
      </w:r>
      <w:r w:rsidRPr="0018256B">
        <w:rPr>
          <w:rFonts w:ascii="Arial" w:hAnsi="Arial"/>
          <w:bCs/>
          <w:sz w:val="28"/>
          <w:szCs w:val="28"/>
        </w:rPr>
        <w:t>“)</w:t>
      </w:r>
    </w:p>
    <w:p w14:paraId="7CBB3B7E" w14:textId="77777777" w:rsidR="00BC43DE" w:rsidRDefault="005220A5">
      <w:pPr>
        <w:jc w:val="left"/>
        <w:rPr>
          <w:rFonts w:ascii="Arial" w:hAnsi="Arial"/>
        </w:rPr>
      </w:pPr>
      <w:r>
        <w:rPr>
          <w:rFonts w:ascii="Arial" w:hAnsi="Arial"/>
          <w:sz w:val="22"/>
          <w:szCs w:val="22"/>
        </w:rPr>
        <w:t>uzavřená ve smyslu § 1746, odst. 2 zákona č. 89/2012 Sb., občanského zákoníku, ve znění pozdějších předpisů, a zákona č. 93/2009 Sb., o auditorech, ve znění pozdějších předpisů</w:t>
      </w:r>
    </w:p>
    <w:p w14:paraId="7CBB3B7F" w14:textId="77777777" w:rsidR="00BC43DE" w:rsidRDefault="005220A5">
      <w:pPr>
        <w:spacing w:before="113" w:after="198"/>
        <w:jc w:val="left"/>
        <w:rPr>
          <w:rFonts w:ascii="Arial" w:hAnsi="Arial"/>
        </w:rPr>
      </w:pPr>
      <w:r>
        <w:rPr>
          <w:rFonts w:ascii="Arial" w:hAnsi="Arial"/>
          <w:sz w:val="22"/>
          <w:szCs w:val="22"/>
        </w:rPr>
        <w:t>mezi</w:t>
      </w:r>
    </w:p>
    <w:tbl>
      <w:tblPr>
        <w:tblW w:w="9638" w:type="dxa"/>
        <w:tblLayout w:type="fixed"/>
        <w:tblCellMar>
          <w:left w:w="0" w:type="dxa"/>
          <w:right w:w="0" w:type="dxa"/>
        </w:tblCellMar>
        <w:tblLook w:val="04A0" w:firstRow="1" w:lastRow="0" w:firstColumn="1" w:lastColumn="0" w:noHBand="0" w:noVBand="1"/>
      </w:tblPr>
      <w:tblGrid>
        <w:gridCol w:w="230"/>
        <w:gridCol w:w="1978"/>
        <w:gridCol w:w="7430"/>
      </w:tblGrid>
      <w:tr w:rsidR="00BC43DE" w14:paraId="7CBB3B83" w14:textId="77777777">
        <w:tc>
          <w:tcPr>
            <w:tcW w:w="230" w:type="dxa"/>
            <w:shd w:val="clear" w:color="auto" w:fill="auto"/>
          </w:tcPr>
          <w:p w14:paraId="7CBB3B80" w14:textId="77777777" w:rsidR="00BC43DE" w:rsidRDefault="005220A5">
            <w:pPr>
              <w:pStyle w:val="Obsahtabulky"/>
              <w:snapToGrid w:val="0"/>
              <w:jc w:val="left"/>
              <w:rPr>
                <w:rFonts w:ascii="Arial" w:hAnsi="Arial"/>
              </w:rPr>
            </w:pPr>
            <w:r>
              <w:rPr>
                <w:rFonts w:ascii="Arial" w:hAnsi="Arial"/>
                <w:sz w:val="22"/>
                <w:szCs w:val="22"/>
              </w:rPr>
              <w:t>1.</w:t>
            </w:r>
          </w:p>
        </w:tc>
        <w:tc>
          <w:tcPr>
            <w:tcW w:w="1978" w:type="dxa"/>
            <w:shd w:val="clear" w:color="auto" w:fill="auto"/>
          </w:tcPr>
          <w:p w14:paraId="7CBB3B81" w14:textId="77777777" w:rsidR="00BC43DE" w:rsidRDefault="005220A5">
            <w:pPr>
              <w:pStyle w:val="Zkladntext"/>
              <w:widowControl w:val="0"/>
              <w:jc w:val="left"/>
              <w:rPr>
                <w:rFonts w:ascii="Arial" w:hAnsi="Arial"/>
              </w:rPr>
            </w:pPr>
            <w:r>
              <w:rPr>
                <w:rFonts w:ascii="Arial" w:hAnsi="Arial"/>
                <w:sz w:val="22"/>
                <w:szCs w:val="22"/>
              </w:rPr>
              <w:t>Objednatel:</w:t>
            </w:r>
          </w:p>
        </w:tc>
        <w:tc>
          <w:tcPr>
            <w:tcW w:w="7430" w:type="dxa"/>
            <w:shd w:val="clear" w:color="auto" w:fill="auto"/>
          </w:tcPr>
          <w:p w14:paraId="7CBB3B82" w14:textId="77777777" w:rsidR="00BC43DE" w:rsidRDefault="005220A5">
            <w:pPr>
              <w:pStyle w:val="Zkladntext"/>
              <w:widowControl w:val="0"/>
              <w:jc w:val="left"/>
              <w:rPr>
                <w:rFonts w:ascii="Arial" w:hAnsi="Arial"/>
                <w:b/>
                <w:bCs/>
                <w:sz w:val="22"/>
                <w:szCs w:val="22"/>
              </w:rPr>
            </w:pPr>
            <w:r>
              <w:rPr>
                <w:rFonts w:ascii="Arial" w:hAnsi="Arial"/>
                <w:b/>
                <w:bCs/>
                <w:sz w:val="22"/>
                <w:szCs w:val="22"/>
              </w:rPr>
              <w:t>Česká zemědělská univerzita v Praze</w:t>
            </w:r>
          </w:p>
        </w:tc>
      </w:tr>
      <w:tr w:rsidR="00BC43DE" w14:paraId="7CBB3B87" w14:textId="77777777">
        <w:tc>
          <w:tcPr>
            <w:tcW w:w="230" w:type="dxa"/>
            <w:shd w:val="clear" w:color="auto" w:fill="auto"/>
          </w:tcPr>
          <w:p w14:paraId="7CBB3B84" w14:textId="77777777" w:rsidR="00BC43DE" w:rsidRDefault="00BC43DE">
            <w:pPr>
              <w:pStyle w:val="Obsahtabulky"/>
              <w:snapToGrid w:val="0"/>
              <w:jc w:val="left"/>
              <w:rPr>
                <w:rFonts w:ascii="Arial" w:hAnsi="Arial" w:cs="Times New Roman"/>
                <w:b/>
                <w:bCs/>
                <w:color w:val="000000"/>
                <w:sz w:val="22"/>
                <w:szCs w:val="22"/>
              </w:rPr>
            </w:pPr>
          </w:p>
        </w:tc>
        <w:tc>
          <w:tcPr>
            <w:tcW w:w="1978" w:type="dxa"/>
            <w:shd w:val="clear" w:color="auto" w:fill="auto"/>
          </w:tcPr>
          <w:p w14:paraId="7CBB3B85" w14:textId="77777777" w:rsidR="00BC43DE" w:rsidRDefault="005220A5">
            <w:pPr>
              <w:pStyle w:val="Zkladntext"/>
              <w:widowControl w:val="0"/>
              <w:jc w:val="left"/>
              <w:rPr>
                <w:rFonts w:ascii="Arial" w:hAnsi="Arial"/>
              </w:rPr>
            </w:pPr>
            <w:r>
              <w:rPr>
                <w:rFonts w:ascii="Arial" w:hAnsi="Arial"/>
                <w:sz w:val="22"/>
                <w:szCs w:val="22"/>
              </w:rPr>
              <w:t>Sídlo:</w:t>
            </w:r>
          </w:p>
        </w:tc>
        <w:tc>
          <w:tcPr>
            <w:tcW w:w="7430" w:type="dxa"/>
            <w:shd w:val="clear" w:color="auto" w:fill="auto"/>
          </w:tcPr>
          <w:p w14:paraId="7CBB3B86" w14:textId="77777777" w:rsidR="00BC43DE" w:rsidRDefault="005220A5">
            <w:pPr>
              <w:pStyle w:val="Zkladntext"/>
              <w:widowControl w:val="0"/>
              <w:jc w:val="left"/>
              <w:rPr>
                <w:rFonts w:ascii="Arial" w:hAnsi="Arial"/>
                <w:sz w:val="22"/>
                <w:szCs w:val="22"/>
              </w:rPr>
            </w:pPr>
            <w:r>
              <w:rPr>
                <w:rFonts w:ascii="Arial" w:hAnsi="Arial"/>
                <w:sz w:val="22"/>
                <w:szCs w:val="22"/>
              </w:rPr>
              <w:t xml:space="preserve">Kamýcká 129, 165 00 </w:t>
            </w:r>
            <w:proofErr w:type="gramStart"/>
            <w:r>
              <w:rPr>
                <w:rFonts w:ascii="Arial" w:hAnsi="Arial"/>
                <w:sz w:val="22"/>
                <w:szCs w:val="22"/>
              </w:rPr>
              <w:t>Praha - Suchdol</w:t>
            </w:r>
            <w:proofErr w:type="gramEnd"/>
          </w:p>
        </w:tc>
      </w:tr>
      <w:tr w:rsidR="00BC43DE" w14:paraId="7CBB3B8B" w14:textId="77777777">
        <w:tc>
          <w:tcPr>
            <w:tcW w:w="230" w:type="dxa"/>
            <w:shd w:val="clear" w:color="auto" w:fill="auto"/>
          </w:tcPr>
          <w:p w14:paraId="7CBB3B88" w14:textId="77777777" w:rsidR="00BC43DE" w:rsidRDefault="00BC43DE">
            <w:pPr>
              <w:pStyle w:val="Obsahtabulky"/>
              <w:snapToGrid w:val="0"/>
              <w:jc w:val="left"/>
              <w:rPr>
                <w:rFonts w:ascii="Arial" w:hAnsi="Arial" w:cs="Times New Roman"/>
                <w:sz w:val="22"/>
                <w:szCs w:val="22"/>
              </w:rPr>
            </w:pPr>
          </w:p>
        </w:tc>
        <w:tc>
          <w:tcPr>
            <w:tcW w:w="1978" w:type="dxa"/>
            <w:shd w:val="clear" w:color="auto" w:fill="auto"/>
          </w:tcPr>
          <w:p w14:paraId="7CBB3B89" w14:textId="77777777" w:rsidR="00BC43DE" w:rsidRDefault="005220A5">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14:paraId="7CBB3B8A" w14:textId="77777777" w:rsidR="00BC43DE" w:rsidRDefault="005220A5">
            <w:pPr>
              <w:pStyle w:val="Zkladntext"/>
              <w:widowControl w:val="0"/>
              <w:jc w:val="left"/>
              <w:rPr>
                <w:rFonts w:ascii="Arial" w:hAnsi="Arial"/>
                <w:sz w:val="22"/>
                <w:szCs w:val="22"/>
              </w:rPr>
            </w:pPr>
            <w:r>
              <w:rPr>
                <w:rFonts w:ascii="Arial" w:hAnsi="Arial"/>
                <w:sz w:val="22"/>
                <w:szCs w:val="22"/>
              </w:rPr>
              <w:t xml:space="preserve">Kamýcká 129, 165 00 </w:t>
            </w:r>
            <w:proofErr w:type="gramStart"/>
            <w:r>
              <w:rPr>
                <w:rFonts w:ascii="Arial" w:hAnsi="Arial"/>
                <w:sz w:val="22"/>
                <w:szCs w:val="22"/>
              </w:rPr>
              <w:t>Praha - Suchdol</w:t>
            </w:r>
            <w:proofErr w:type="gramEnd"/>
          </w:p>
        </w:tc>
      </w:tr>
      <w:tr w:rsidR="00BC43DE" w14:paraId="7CBB3B8F" w14:textId="77777777">
        <w:tc>
          <w:tcPr>
            <w:tcW w:w="230" w:type="dxa"/>
            <w:shd w:val="clear" w:color="auto" w:fill="auto"/>
          </w:tcPr>
          <w:p w14:paraId="7CBB3B8C" w14:textId="77777777" w:rsidR="00BC43DE" w:rsidRDefault="00BC43DE">
            <w:pPr>
              <w:pStyle w:val="Obsahtabulky"/>
              <w:snapToGrid w:val="0"/>
              <w:jc w:val="left"/>
              <w:rPr>
                <w:rFonts w:ascii="Arial" w:hAnsi="Arial" w:cs="Times New Roman"/>
                <w:sz w:val="22"/>
                <w:szCs w:val="22"/>
              </w:rPr>
            </w:pPr>
          </w:p>
        </w:tc>
        <w:tc>
          <w:tcPr>
            <w:tcW w:w="1978" w:type="dxa"/>
            <w:shd w:val="clear" w:color="auto" w:fill="auto"/>
          </w:tcPr>
          <w:p w14:paraId="7CBB3B8D" w14:textId="77777777" w:rsidR="00BC43DE" w:rsidRDefault="005220A5">
            <w:pPr>
              <w:pStyle w:val="Zkladntext"/>
              <w:widowControl w:val="0"/>
              <w:jc w:val="left"/>
              <w:rPr>
                <w:rFonts w:ascii="Arial" w:hAnsi="Arial"/>
              </w:rPr>
            </w:pPr>
            <w:r>
              <w:rPr>
                <w:rFonts w:ascii="Arial" w:hAnsi="Arial"/>
                <w:sz w:val="22"/>
                <w:szCs w:val="22"/>
              </w:rPr>
              <w:t>IČ:</w:t>
            </w:r>
          </w:p>
        </w:tc>
        <w:tc>
          <w:tcPr>
            <w:tcW w:w="7430" w:type="dxa"/>
            <w:shd w:val="clear" w:color="auto" w:fill="auto"/>
          </w:tcPr>
          <w:p w14:paraId="7CBB3B8E" w14:textId="77777777" w:rsidR="00BC43DE" w:rsidRDefault="005220A5">
            <w:pPr>
              <w:pStyle w:val="Zkladntext"/>
              <w:widowControl w:val="0"/>
              <w:jc w:val="left"/>
              <w:rPr>
                <w:rFonts w:ascii="Arial" w:hAnsi="Arial"/>
                <w:sz w:val="22"/>
                <w:szCs w:val="22"/>
              </w:rPr>
            </w:pPr>
            <w:r>
              <w:rPr>
                <w:rFonts w:ascii="Arial" w:hAnsi="Arial"/>
                <w:sz w:val="22"/>
                <w:szCs w:val="22"/>
              </w:rPr>
              <w:t>60460709</w:t>
            </w:r>
          </w:p>
        </w:tc>
      </w:tr>
      <w:tr w:rsidR="00BC43DE" w14:paraId="7CBB3B93" w14:textId="77777777">
        <w:trPr>
          <w:trHeight w:val="292"/>
        </w:trPr>
        <w:tc>
          <w:tcPr>
            <w:tcW w:w="230" w:type="dxa"/>
            <w:shd w:val="clear" w:color="auto" w:fill="auto"/>
          </w:tcPr>
          <w:p w14:paraId="7CBB3B90" w14:textId="77777777" w:rsidR="00BC43DE" w:rsidRDefault="00BC43DE">
            <w:pPr>
              <w:pStyle w:val="Obsahtabulky"/>
              <w:snapToGrid w:val="0"/>
              <w:jc w:val="left"/>
              <w:rPr>
                <w:rFonts w:ascii="Arial" w:hAnsi="Arial"/>
                <w:sz w:val="22"/>
                <w:szCs w:val="22"/>
              </w:rPr>
            </w:pPr>
          </w:p>
        </w:tc>
        <w:tc>
          <w:tcPr>
            <w:tcW w:w="1978" w:type="dxa"/>
            <w:shd w:val="clear" w:color="auto" w:fill="auto"/>
          </w:tcPr>
          <w:p w14:paraId="7CBB3B91" w14:textId="77777777" w:rsidR="00BC43DE" w:rsidRDefault="005220A5">
            <w:pPr>
              <w:pStyle w:val="Zkladntext"/>
              <w:widowControl w:val="0"/>
              <w:jc w:val="left"/>
              <w:rPr>
                <w:rFonts w:ascii="Arial" w:hAnsi="Arial"/>
              </w:rPr>
            </w:pPr>
            <w:r>
              <w:rPr>
                <w:rFonts w:ascii="Arial" w:hAnsi="Arial"/>
                <w:sz w:val="22"/>
                <w:szCs w:val="22"/>
              </w:rPr>
              <w:t>DIČ:</w:t>
            </w:r>
          </w:p>
        </w:tc>
        <w:tc>
          <w:tcPr>
            <w:tcW w:w="7430" w:type="dxa"/>
            <w:shd w:val="clear" w:color="auto" w:fill="auto"/>
          </w:tcPr>
          <w:p w14:paraId="7CBB3B92" w14:textId="77777777" w:rsidR="00BC43DE" w:rsidRDefault="005220A5">
            <w:pPr>
              <w:pStyle w:val="Zkladntext"/>
              <w:widowControl w:val="0"/>
              <w:jc w:val="left"/>
              <w:rPr>
                <w:rFonts w:ascii="Arial" w:hAnsi="Arial"/>
                <w:sz w:val="22"/>
                <w:szCs w:val="22"/>
              </w:rPr>
            </w:pPr>
            <w:r>
              <w:rPr>
                <w:rFonts w:ascii="Arial" w:hAnsi="Arial"/>
                <w:sz w:val="22"/>
                <w:szCs w:val="22"/>
              </w:rPr>
              <w:t>CZ60460709</w:t>
            </w:r>
          </w:p>
        </w:tc>
      </w:tr>
      <w:tr w:rsidR="00BC43DE" w14:paraId="7CBB3B97" w14:textId="77777777">
        <w:trPr>
          <w:trHeight w:val="270"/>
        </w:trPr>
        <w:tc>
          <w:tcPr>
            <w:tcW w:w="230" w:type="dxa"/>
            <w:shd w:val="clear" w:color="auto" w:fill="auto"/>
          </w:tcPr>
          <w:p w14:paraId="7CBB3B94" w14:textId="77777777" w:rsidR="00BC43DE" w:rsidRDefault="00BC43DE">
            <w:pPr>
              <w:pStyle w:val="Obsahtabulky"/>
              <w:snapToGrid w:val="0"/>
              <w:jc w:val="left"/>
              <w:rPr>
                <w:rFonts w:ascii="Arial" w:hAnsi="Arial" w:cs="Times New Roman"/>
                <w:sz w:val="22"/>
                <w:szCs w:val="22"/>
              </w:rPr>
            </w:pPr>
          </w:p>
        </w:tc>
        <w:tc>
          <w:tcPr>
            <w:tcW w:w="1978" w:type="dxa"/>
            <w:shd w:val="clear" w:color="auto" w:fill="auto"/>
          </w:tcPr>
          <w:p w14:paraId="7CBB3B95" w14:textId="77777777" w:rsidR="00BC43DE" w:rsidRDefault="005220A5">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14:paraId="7CBB3B96" w14:textId="77777777" w:rsidR="00BC43DE" w:rsidRDefault="005220A5">
            <w:pPr>
              <w:pStyle w:val="Zkladntext"/>
              <w:widowControl w:val="0"/>
              <w:jc w:val="left"/>
            </w:pPr>
            <w:r>
              <w:rPr>
                <w:rFonts w:ascii="Arial" w:hAnsi="Arial"/>
                <w:sz w:val="22"/>
                <w:szCs w:val="22"/>
              </w:rPr>
              <w:t xml:space="preserve">Ing. Jakubem </w:t>
            </w:r>
            <w:proofErr w:type="spellStart"/>
            <w:r>
              <w:rPr>
                <w:rFonts w:ascii="Arial" w:hAnsi="Arial"/>
                <w:sz w:val="22"/>
                <w:szCs w:val="22"/>
              </w:rPr>
              <w:t>Kleindienstem</w:t>
            </w:r>
            <w:proofErr w:type="spellEnd"/>
            <w:r>
              <w:rPr>
                <w:rFonts w:ascii="Arial" w:hAnsi="Arial"/>
                <w:sz w:val="22"/>
                <w:szCs w:val="22"/>
              </w:rPr>
              <w:t>, kvestorem</w:t>
            </w:r>
          </w:p>
        </w:tc>
      </w:tr>
    </w:tbl>
    <w:p w14:paraId="7CBB3B98" w14:textId="77777777" w:rsidR="00BC43DE" w:rsidRDefault="005220A5">
      <w:pPr>
        <w:spacing w:before="198" w:after="170"/>
        <w:jc w:val="left"/>
        <w:rPr>
          <w:rFonts w:ascii="Arial" w:hAnsi="Arial"/>
        </w:rPr>
      </w:pPr>
      <w:bookmarkStart w:id="0" w:name="__DdeLink__972_2108632355"/>
      <w:r>
        <w:rPr>
          <w:rFonts w:ascii="Arial" w:hAnsi="Arial"/>
          <w:sz w:val="22"/>
          <w:szCs w:val="22"/>
        </w:rPr>
        <w:t>(dále jen „objednatel“)</w:t>
      </w:r>
      <w:bookmarkEnd w:id="0"/>
    </w:p>
    <w:p w14:paraId="7CBB3B99" w14:textId="77777777" w:rsidR="00BC43DE" w:rsidRDefault="005220A5">
      <w:pPr>
        <w:spacing w:before="113" w:after="198"/>
        <w:jc w:val="left"/>
        <w:rPr>
          <w:rFonts w:ascii="Arial" w:hAnsi="Arial"/>
        </w:rPr>
      </w:pPr>
      <w:r>
        <w:rPr>
          <w:rFonts w:ascii="Arial" w:hAnsi="Arial"/>
          <w:sz w:val="22"/>
          <w:szCs w:val="22"/>
        </w:rPr>
        <w:t>a</w:t>
      </w:r>
    </w:p>
    <w:tbl>
      <w:tblPr>
        <w:tblW w:w="9638" w:type="dxa"/>
        <w:tblLayout w:type="fixed"/>
        <w:tblCellMar>
          <w:left w:w="0" w:type="dxa"/>
          <w:right w:w="0" w:type="dxa"/>
        </w:tblCellMar>
        <w:tblLook w:val="04A0" w:firstRow="1" w:lastRow="0" w:firstColumn="1" w:lastColumn="0" w:noHBand="0" w:noVBand="1"/>
      </w:tblPr>
      <w:tblGrid>
        <w:gridCol w:w="230"/>
        <w:gridCol w:w="1978"/>
        <w:gridCol w:w="7430"/>
      </w:tblGrid>
      <w:tr w:rsidR="00BC43DE" w14:paraId="7CBB3B9D" w14:textId="77777777">
        <w:tc>
          <w:tcPr>
            <w:tcW w:w="230" w:type="dxa"/>
            <w:shd w:val="clear" w:color="auto" w:fill="auto"/>
          </w:tcPr>
          <w:p w14:paraId="7CBB3B9A" w14:textId="77777777" w:rsidR="00BC43DE" w:rsidRDefault="005220A5">
            <w:pPr>
              <w:pStyle w:val="Zkladntext"/>
              <w:widowControl w:val="0"/>
              <w:jc w:val="left"/>
              <w:rPr>
                <w:rFonts w:ascii="Arial" w:hAnsi="Arial"/>
              </w:rPr>
            </w:pPr>
            <w:r>
              <w:rPr>
                <w:rFonts w:ascii="Arial" w:hAnsi="Arial"/>
                <w:sz w:val="22"/>
                <w:szCs w:val="22"/>
              </w:rPr>
              <w:t>2.</w:t>
            </w:r>
          </w:p>
        </w:tc>
        <w:tc>
          <w:tcPr>
            <w:tcW w:w="1978" w:type="dxa"/>
            <w:shd w:val="clear" w:color="auto" w:fill="auto"/>
          </w:tcPr>
          <w:p w14:paraId="7CBB3B9B" w14:textId="77777777" w:rsidR="00BC43DE" w:rsidRDefault="005220A5">
            <w:pPr>
              <w:pStyle w:val="Zkladntext"/>
              <w:widowControl w:val="0"/>
              <w:jc w:val="left"/>
              <w:rPr>
                <w:rFonts w:ascii="Arial" w:hAnsi="Arial"/>
              </w:rPr>
            </w:pPr>
            <w:r>
              <w:rPr>
                <w:rFonts w:ascii="Arial" w:hAnsi="Arial"/>
                <w:sz w:val="22"/>
                <w:szCs w:val="22"/>
              </w:rPr>
              <w:t>Auditor:</w:t>
            </w:r>
          </w:p>
        </w:tc>
        <w:tc>
          <w:tcPr>
            <w:tcW w:w="7430" w:type="dxa"/>
            <w:shd w:val="clear" w:color="auto" w:fill="auto"/>
          </w:tcPr>
          <w:p w14:paraId="7CBB3B9C" w14:textId="77777777" w:rsidR="00BC43DE" w:rsidRDefault="005220A5">
            <w:pPr>
              <w:pStyle w:val="Zkladntext"/>
              <w:widowControl w:val="0"/>
              <w:jc w:val="left"/>
              <w:rPr>
                <w:rFonts w:ascii="Arial" w:hAnsi="Arial"/>
              </w:rPr>
            </w:pPr>
            <w:r>
              <w:rPr>
                <w:rFonts w:ascii="Arial" w:hAnsi="Arial"/>
                <w:b/>
                <w:bCs/>
                <w:sz w:val="22"/>
                <w:szCs w:val="22"/>
              </w:rPr>
              <w:t>22HLAV s.r.o.</w:t>
            </w:r>
          </w:p>
        </w:tc>
      </w:tr>
      <w:tr w:rsidR="00BC43DE" w14:paraId="7CBB3BA1" w14:textId="77777777">
        <w:tc>
          <w:tcPr>
            <w:tcW w:w="230" w:type="dxa"/>
            <w:shd w:val="clear" w:color="auto" w:fill="auto"/>
          </w:tcPr>
          <w:p w14:paraId="7CBB3B9E" w14:textId="77777777" w:rsidR="00BC43DE" w:rsidRDefault="00BC43DE">
            <w:pPr>
              <w:pStyle w:val="Zkladntext"/>
              <w:widowControl w:val="0"/>
              <w:jc w:val="left"/>
              <w:rPr>
                <w:rFonts w:ascii="Arial" w:hAnsi="Arial"/>
                <w:sz w:val="22"/>
                <w:szCs w:val="22"/>
              </w:rPr>
            </w:pPr>
          </w:p>
        </w:tc>
        <w:tc>
          <w:tcPr>
            <w:tcW w:w="1978" w:type="dxa"/>
            <w:shd w:val="clear" w:color="auto" w:fill="auto"/>
          </w:tcPr>
          <w:p w14:paraId="7CBB3B9F" w14:textId="77777777" w:rsidR="00BC43DE" w:rsidRDefault="005220A5">
            <w:pPr>
              <w:pStyle w:val="Zkladntext"/>
              <w:widowControl w:val="0"/>
              <w:jc w:val="left"/>
              <w:rPr>
                <w:rFonts w:ascii="Arial" w:hAnsi="Arial"/>
              </w:rPr>
            </w:pPr>
            <w:r>
              <w:rPr>
                <w:rFonts w:ascii="Arial" w:hAnsi="Arial"/>
                <w:sz w:val="22"/>
                <w:szCs w:val="22"/>
              </w:rPr>
              <w:t>Sídlo:</w:t>
            </w:r>
          </w:p>
        </w:tc>
        <w:tc>
          <w:tcPr>
            <w:tcW w:w="7430" w:type="dxa"/>
            <w:shd w:val="clear" w:color="auto" w:fill="auto"/>
          </w:tcPr>
          <w:p w14:paraId="7CBB3BA0" w14:textId="77777777" w:rsidR="00BC43DE" w:rsidRDefault="005220A5">
            <w:pPr>
              <w:pStyle w:val="Zkladntext"/>
              <w:widowControl w:val="0"/>
              <w:jc w:val="left"/>
              <w:rPr>
                <w:rFonts w:ascii="Arial" w:hAnsi="Arial"/>
              </w:rPr>
            </w:pPr>
            <w:r>
              <w:rPr>
                <w:rFonts w:ascii="Arial" w:hAnsi="Arial"/>
                <w:sz w:val="22"/>
                <w:szCs w:val="22"/>
              </w:rPr>
              <w:t>Všebořická 82/2, 400 01 Ústí nad Labem</w:t>
            </w:r>
          </w:p>
        </w:tc>
      </w:tr>
      <w:tr w:rsidR="00BC43DE" w14:paraId="7CBB3BA5" w14:textId="77777777">
        <w:tc>
          <w:tcPr>
            <w:tcW w:w="230" w:type="dxa"/>
            <w:shd w:val="clear" w:color="auto" w:fill="auto"/>
          </w:tcPr>
          <w:p w14:paraId="7CBB3BA2" w14:textId="77777777" w:rsidR="00BC43DE" w:rsidRDefault="00BC43DE">
            <w:pPr>
              <w:pStyle w:val="Zkladntext"/>
              <w:widowControl w:val="0"/>
              <w:jc w:val="left"/>
              <w:rPr>
                <w:rFonts w:ascii="Arial" w:hAnsi="Arial"/>
                <w:sz w:val="22"/>
                <w:szCs w:val="22"/>
              </w:rPr>
            </w:pPr>
          </w:p>
        </w:tc>
        <w:tc>
          <w:tcPr>
            <w:tcW w:w="1978" w:type="dxa"/>
            <w:shd w:val="clear" w:color="auto" w:fill="auto"/>
          </w:tcPr>
          <w:p w14:paraId="7CBB3BA3" w14:textId="77777777" w:rsidR="00BC43DE" w:rsidRDefault="005220A5">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14:paraId="7CBB3BA4" w14:textId="77777777" w:rsidR="00BC43DE" w:rsidRDefault="005220A5">
            <w:pPr>
              <w:pStyle w:val="Zkladntext"/>
              <w:widowControl w:val="0"/>
              <w:jc w:val="left"/>
              <w:rPr>
                <w:rFonts w:ascii="Arial" w:hAnsi="Arial"/>
              </w:rPr>
            </w:pPr>
            <w:r>
              <w:rPr>
                <w:rFonts w:ascii="Arial" w:hAnsi="Arial"/>
                <w:sz w:val="22"/>
                <w:szCs w:val="22"/>
              </w:rPr>
              <w:t>Všebořická 82/2, 400 01 Ústí nad Labem</w:t>
            </w:r>
          </w:p>
        </w:tc>
      </w:tr>
      <w:tr w:rsidR="00BC43DE" w14:paraId="7CBB3BA9" w14:textId="77777777">
        <w:tc>
          <w:tcPr>
            <w:tcW w:w="230" w:type="dxa"/>
            <w:shd w:val="clear" w:color="auto" w:fill="auto"/>
          </w:tcPr>
          <w:p w14:paraId="7CBB3BA6" w14:textId="77777777" w:rsidR="00BC43DE" w:rsidRDefault="00BC43DE">
            <w:pPr>
              <w:pStyle w:val="Zkladntext"/>
              <w:widowControl w:val="0"/>
              <w:jc w:val="left"/>
              <w:rPr>
                <w:rFonts w:ascii="Arial" w:hAnsi="Arial"/>
                <w:sz w:val="22"/>
                <w:szCs w:val="22"/>
              </w:rPr>
            </w:pPr>
          </w:p>
        </w:tc>
        <w:tc>
          <w:tcPr>
            <w:tcW w:w="1978" w:type="dxa"/>
            <w:shd w:val="clear" w:color="auto" w:fill="auto"/>
          </w:tcPr>
          <w:p w14:paraId="7CBB3BA7" w14:textId="77777777" w:rsidR="00BC43DE" w:rsidRDefault="005220A5">
            <w:pPr>
              <w:pStyle w:val="Zkladntext"/>
              <w:widowControl w:val="0"/>
              <w:jc w:val="left"/>
              <w:rPr>
                <w:rFonts w:ascii="Arial" w:hAnsi="Arial"/>
              </w:rPr>
            </w:pPr>
            <w:r>
              <w:rPr>
                <w:rFonts w:ascii="Arial" w:hAnsi="Arial"/>
                <w:sz w:val="22"/>
                <w:szCs w:val="22"/>
              </w:rPr>
              <w:t>IČ:</w:t>
            </w:r>
          </w:p>
        </w:tc>
        <w:tc>
          <w:tcPr>
            <w:tcW w:w="7430" w:type="dxa"/>
            <w:shd w:val="clear" w:color="auto" w:fill="auto"/>
          </w:tcPr>
          <w:p w14:paraId="7CBB3BA8" w14:textId="77777777" w:rsidR="00BC43DE" w:rsidRDefault="005220A5">
            <w:pPr>
              <w:pStyle w:val="Zkladntext"/>
              <w:widowControl w:val="0"/>
              <w:jc w:val="left"/>
              <w:rPr>
                <w:rFonts w:ascii="Arial" w:hAnsi="Arial"/>
              </w:rPr>
            </w:pPr>
            <w:r>
              <w:rPr>
                <w:rFonts w:ascii="Arial" w:hAnsi="Arial"/>
                <w:sz w:val="22"/>
                <w:szCs w:val="22"/>
              </w:rPr>
              <w:t>64052907</w:t>
            </w:r>
          </w:p>
        </w:tc>
      </w:tr>
      <w:tr w:rsidR="00BC43DE" w14:paraId="7CBB3BAD" w14:textId="77777777">
        <w:tc>
          <w:tcPr>
            <w:tcW w:w="230" w:type="dxa"/>
            <w:shd w:val="clear" w:color="auto" w:fill="auto"/>
          </w:tcPr>
          <w:p w14:paraId="7CBB3BAA" w14:textId="77777777" w:rsidR="00BC43DE" w:rsidRDefault="00BC43DE">
            <w:pPr>
              <w:pStyle w:val="Zkladntext"/>
              <w:widowControl w:val="0"/>
              <w:jc w:val="left"/>
              <w:rPr>
                <w:rFonts w:ascii="Arial" w:hAnsi="Arial"/>
                <w:sz w:val="22"/>
                <w:szCs w:val="22"/>
              </w:rPr>
            </w:pPr>
          </w:p>
        </w:tc>
        <w:tc>
          <w:tcPr>
            <w:tcW w:w="1978" w:type="dxa"/>
            <w:shd w:val="clear" w:color="auto" w:fill="auto"/>
          </w:tcPr>
          <w:p w14:paraId="7CBB3BAB" w14:textId="77777777" w:rsidR="00BC43DE" w:rsidRDefault="005220A5">
            <w:pPr>
              <w:pStyle w:val="Zkladntext"/>
              <w:widowControl w:val="0"/>
              <w:jc w:val="left"/>
              <w:rPr>
                <w:rFonts w:ascii="Arial" w:hAnsi="Arial"/>
              </w:rPr>
            </w:pPr>
            <w:bookmarkStart w:id="1" w:name="__DdeLink__10808_898180489"/>
            <w:r>
              <w:rPr>
                <w:rFonts w:ascii="Arial" w:hAnsi="Arial"/>
                <w:sz w:val="22"/>
                <w:szCs w:val="22"/>
              </w:rPr>
              <w:t>DIČ:</w:t>
            </w:r>
            <w:bookmarkEnd w:id="1"/>
          </w:p>
        </w:tc>
        <w:tc>
          <w:tcPr>
            <w:tcW w:w="7430" w:type="dxa"/>
            <w:shd w:val="clear" w:color="auto" w:fill="auto"/>
          </w:tcPr>
          <w:p w14:paraId="7CBB3BAC" w14:textId="77777777" w:rsidR="00BC43DE" w:rsidRDefault="005220A5">
            <w:pPr>
              <w:pStyle w:val="Zkladntext"/>
              <w:widowControl w:val="0"/>
              <w:jc w:val="left"/>
              <w:rPr>
                <w:rFonts w:ascii="Arial" w:hAnsi="Arial"/>
              </w:rPr>
            </w:pPr>
            <w:r>
              <w:rPr>
                <w:rFonts w:ascii="Arial" w:hAnsi="Arial"/>
                <w:sz w:val="22"/>
                <w:szCs w:val="22"/>
              </w:rPr>
              <w:t>CZ64052907</w:t>
            </w:r>
          </w:p>
        </w:tc>
      </w:tr>
      <w:tr w:rsidR="00BC43DE" w14:paraId="7CBB3BB1" w14:textId="77777777">
        <w:trPr>
          <w:trHeight w:val="292"/>
        </w:trPr>
        <w:tc>
          <w:tcPr>
            <w:tcW w:w="230" w:type="dxa"/>
            <w:shd w:val="clear" w:color="auto" w:fill="auto"/>
          </w:tcPr>
          <w:p w14:paraId="7CBB3BAE" w14:textId="77777777" w:rsidR="00BC43DE" w:rsidRDefault="00BC43DE">
            <w:pPr>
              <w:pStyle w:val="Zkladntext"/>
              <w:widowControl w:val="0"/>
              <w:jc w:val="left"/>
              <w:rPr>
                <w:rFonts w:ascii="Arial" w:hAnsi="Arial"/>
                <w:sz w:val="22"/>
                <w:szCs w:val="22"/>
              </w:rPr>
            </w:pPr>
          </w:p>
        </w:tc>
        <w:tc>
          <w:tcPr>
            <w:tcW w:w="1978" w:type="dxa"/>
            <w:shd w:val="clear" w:color="auto" w:fill="auto"/>
          </w:tcPr>
          <w:p w14:paraId="7CBB3BAF" w14:textId="77777777" w:rsidR="00BC43DE" w:rsidRDefault="005220A5">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14:paraId="7CBB3BB0" w14:textId="77777777" w:rsidR="00BC43DE" w:rsidRDefault="005220A5">
            <w:pPr>
              <w:pStyle w:val="Zkladntext"/>
              <w:widowControl w:val="0"/>
              <w:jc w:val="left"/>
              <w:rPr>
                <w:rFonts w:ascii="Arial" w:hAnsi="Arial"/>
              </w:rPr>
            </w:pPr>
            <w:r>
              <w:rPr>
                <w:rFonts w:ascii="Arial" w:hAnsi="Arial"/>
                <w:sz w:val="22"/>
                <w:szCs w:val="22"/>
              </w:rPr>
              <w:t>C 10016 vedená u Krajského soudu v Ústí nad Labem</w:t>
            </w:r>
          </w:p>
        </w:tc>
      </w:tr>
      <w:tr w:rsidR="00BC43DE" w14:paraId="7CBB3BB5" w14:textId="77777777">
        <w:trPr>
          <w:trHeight w:val="292"/>
        </w:trPr>
        <w:tc>
          <w:tcPr>
            <w:tcW w:w="230" w:type="dxa"/>
            <w:shd w:val="clear" w:color="auto" w:fill="auto"/>
          </w:tcPr>
          <w:p w14:paraId="7CBB3BB2" w14:textId="77777777" w:rsidR="00BC43DE" w:rsidRDefault="00BC43DE">
            <w:pPr>
              <w:pStyle w:val="Zkladntext"/>
              <w:widowControl w:val="0"/>
              <w:jc w:val="left"/>
              <w:rPr>
                <w:rFonts w:ascii="Arial" w:hAnsi="Arial"/>
                <w:sz w:val="22"/>
                <w:szCs w:val="22"/>
              </w:rPr>
            </w:pPr>
          </w:p>
        </w:tc>
        <w:tc>
          <w:tcPr>
            <w:tcW w:w="1978" w:type="dxa"/>
            <w:shd w:val="clear" w:color="auto" w:fill="auto"/>
          </w:tcPr>
          <w:p w14:paraId="7CBB3BB3" w14:textId="77777777" w:rsidR="00BC43DE" w:rsidRDefault="005220A5">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14:paraId="7CBB3BB4" w14:textId="77777777" w:rsidR="00BC43DE" w:rsidRDefault="005220A5">
            <w:pPr>
              <w:pStyle w:val="Zkladntext"/>
              <w:widowControl w:val="0"/>
              <w:jc w:val="left"/>
              <w:rPr>
                <w:rFonts w:ascii="Arial" w:hAnsi="Arial"/>
              </w:rPr>
            </w:pPr>
            <w:r>
              <w:rPr>
                <w:rFonts w:ascii="Arial" w:hAnsi="Arial"/>
                <w:sz w:val="22"/>
                <w:szCs w:val="22"/>
              </w:rPr>
              <w:t xml:space="preserve">Ing. Miroslavou </w:t>
            </w:r>
            <w:proofErr w:type="spellStart"/>
            <w:r>
              <w:rPr>
                <w:rFonts w:ascii="Arial" w:hAnsi="Arial"/>
                <w:sz w:val="22"/>
                <w:szCs w:val="22"/>
              </w:rPr>
              <w:t>Nebuželskou</w:t>
            </w:r>
            <w:proofErr w:type="spellEnd"/>
            <w:r>
              <w:rPr>
                <w:rFonts w:ascii="Arial" w:hAnsi="Arial"/>
                <w:sz w:val="22"/>
                <w:szCs w:val="22"/>
              </w:rPr>
              <w:t>, jednatelkou společnosti</w:t>
            </w:r>
          </w:p>
        </w:tc>
      </w:tr>
    </w:tbl>
    <w:p w14:paraId="7CBB3BB6" w14:textId="77777777" w:rsidR="00BC43DE" w:rsidRDefault="005220A5">
      <w:pPr>
        <w:spacing w:before="198"/>
        <w:jc w:val="left"/>
        <w:rPr>
          <w:rFonts w:ascii="Arial" w:hAnsi="Arial"/>
        </w:rPr>
      </w:pPr>
      <w:r>
        <w:rPr>
          <w:rFonts w:ascii="Arial" w:hAnsi="Arial"/>
          <w:sz w:val="22"/>
          <w:szCs w:val="22"/>
        </w:rPr>
        <w:t xml:space="preserve">auditorská společnost (evidenční č. KAČR 277), </w:t>
      </w:r>
    </w:p>
    <w:p w14:paraId="7CBB3BB7" w14:textId="77777777" w:rsidR="00BC43DE" w:rsidRDefault="005220A5">
      <w:pPr>
        <w:spacing w:before="198" w:after="170"/>
        <w:jc w:val="left"/>
        <w:rPr>
          <w:rFonts w:ascii="Arial" w:hAnsi="Arial"/>
        </w:rPr>
      </w:pPr>
      <w:r>
        <w:rPr>
          <w:rFonts w:ascii="Arial" w:hAnsi="Arial"/>
          <w:sz w:val="22"/>
          <w:szCs w:val="22"/>
        </w:rPr>
        <w:t>(dále jen „auditor“).</w:t>
      </w:r>
    </w:p>
    <w:p w14:paraId="7CBB3BB8" w14:textId="77777777" w:rsidR="00BC43DE" w:rsidRDefault="005220A5">
      <w:pPr>
        <w:spacing w:before="170"/>
        <w:jc w:val="left"/>
        <w:rPr>
          <w:rFonts w:ascii="Arial" w:hAnsi="Arial"/>
        </w:rPr>
      </w:pPr>
      <w:r>
        <w:rPr>
          <w:rFonts w:ascii="Arial" w:hAnsi="Arial"/>
          <w:sz w:val="22"/>
          <w:szCs w:val="22"/>
        </w:rPr>
        <w:t>(auditor a objednatel jsou dále označovány jako „strany“)</w:t>
      </w:r>
    </w:p>
    <w:p w14:paraId="7CBB3BB9" w14:textId="77777777" w:rsidR="00BC43DE" w:rsidRDefault="005220A5">
      <w:pPr>
        <w:pStyle w:val="Nadpis1"/>
        <w:numPr>
          <w:ilvl w:val="0"/>
          <w:numId w:val="0"/>
        </w:numPr>
        <w:jc w:val="left"/>
        <w:rPr>
          <w:rFonts w:ascii="Arial" w:hAnsi="Arial"/>
        </w:rPr>
      </w:pPr>
      <w:r>
        <w:rPr>
          <w:rFonts w:ascii="Arial" w:hAnsi="Arial"/>
          <w:sz w:val="22"/>
          <w:szCs w:val="22"/>
        </w:rPr>
        <w:t>I. Předmět smlouvy</w:t>
      </w:r>
    </w:p>
    <w:p w14:paraId="7CBB3BBA" w14:textId="77777777" w:rsidR="00BC43DE" w:rsidRDefault="005220A5">
      <w:pPr>
        <w:numPr>
          <w:ilvl w:val="0"/>
          <w:numId w:val="2"/>
        </w:numPr>
        <w:rPr>
          <w:rFonts w:ascii="Arial" w:hAnsi="Arial"/>
        </w:rPr>
      </w:pPr>
      <w:r>
        <w:rPr>
          <w:rFonts w:ascii="Arial" w:eastAsia="Times New Roman" w:hAnsi="Arial" w:cs="Times New Roman"/>
          <w:color w:val="000000"/>
          <w:sz w:val="22"/>
          <w:szCs w:val="22"/>
        </w:rPr>
        <w:t>Auditor se zavazuje provést pro objednatele audity účetní závěrky sestavené k 31.12.2023</w:t>
      </w:r>
      <w:r>
        <w:rPr>
          <w:rFonts w:ascii="Arial" w:eastAsia="Times New Roman" w:hAnsi="Arial" w:cs="Times New Roman"/>
          <w:color w:val="000000"/>
          <w:sz w:val="22"/>
          <w:szCs w:val="22"/>
        </w:rPr>
        <w:br/>
        <w:t>a účetní závěrky sestavené k 31.12.2024 (dále jen „rozvahový den“) včetně vyjádření k výroční zprávě, které objednatel vypracuje v souladu s p</w:t>
      </w:r>
      <w:r>
        <w:rPr>
          <w:rFonts w:ascii="Arial" w:eastAsia="Times New Roman" w:hAnsi="Arial" w:cs="Times New Roman"/>
          <w:sz w:val="22"/>
          <w:szCs w:val="22"/>
        </w:rPr>
        <w:t xml:space="preserve">ředpisy platnými v České republice. Auditor zpracuje a </w:t>
      </w:r>
      <w:proofErr w:type="gramStart"/>
      <w:r>
        <w:rPr>
          <w:rFonts w:ascii="Arial" w:eastAsia="Times New Roman" w:hAnsi="Arial" w:cs="Times New Roman"/>
          <w:sz w:val="22"/>
          <w:szCs w:val="22"/>
        </w:rPr>
        <w:t>předloží</w:t>
      </w:r>
      <w:proofErr w:type="gramEnd"/>
      <w:r>
        <w:rPr>
          <w:rFonts w:ascii="Arial" w:eastAsia="Times New Roman" w:hAnsi="Arial" w:cs="Times New Roman"/>
          <w:sz w:val="22"/>
          <w:szCs w:val="22"/>
        </w:rPr>
        <w:t xml:space="preserve"> objednateli Zprávu nezávislého auditora o ověření účetní závěrky (dále jen „zpráva auditora“). Zpráva auditora bude zpracována v souladu se zákonem č. 93/2009 Sb., o auditorech, v platném znění a profesními standardy Komory auditorů České republiky (dále jen „KAČR“), tj. Mezinárodními auditorskými standardy a souvisejícími aplikačními doložkami a platnými směrnicemi KAČR. </w:t>
      </w:r>
    </w:p>
    <w:p w14:paraId="7CBB3BBB" w14:textId="77777777" w:rsidR="00BC43DE" w:rsidRDefault="005220A5">
      <w:pPr>
        <w:pStyle w:val="Nadpis1"/>
        <w:numPr>
          <w:ilvl w:val="0"/>
          <w:numId w:val="4"/>
        </w:numPr>
        <w:jc w:val="both"/>
        <w:rPr>
          <w:rFonts w:ascii="Arial" w:hAnsi="Arial"/>
        </w:rPr>
      </w:pPr>
      <w:r>
        <w:rPr>
          <w:rFonts w:ascii="Arial" w:hAnsi="Arial"/>
          <w:sz w:val="22"/>
          <w:szCs w:val="22"/>
        </w:rPr>
        <w:t>II. Rozsah prací a odpovědnost auditora</w:t>
      </w:r>
    </w:p>
    <w:p w14:paraId="7CBB3BBC" w14:textId="77777777" w:rsidR="00BC43DE" w:rsidRDefault="005220A5">
      <w:pPr>
        <w:numPr>
          <w:ilvl w:val="0"/>
          <w:numId w:val="5"/>
        </w:numPr>
        <w:spacing w:after="120"/>
        <w:rPr>
          <w:rFonts w:ascii="Arial" w:hAnsi="Arial"/>
        </w:rPr>
      </w:pPr>
      <w:r>
        <w:rPr>
          <w:rFonts w:ascii="Arial" w:hAnsi="Arial"/>
          <w:sz w:val="22"/>
          <w:szCs w:val="22"/>
        </w:rPr>
        <w:t>Audity budou provedeny v souladu se zákonem o auditorech a standardy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KAČR auditor prohlašuje, že je na objednavateli nezávislý a splnil i další etické povinnosti vyplývající z příslušných obecně závazných předpisů.</w:t>
      </w:r>
    </w:p>
    <w:p w14:paraId="7CBB3BBD" w14:textId="77777777" w:rsidR="00BC43DE" w:rsidRDefault="005220A5">
      <w:pPr>
        <w:numPr>
          <w:ilvl w:val="0"/>
          <w:numId w:val="5"/>
        </w:numPr>
        <w:spacing w:after="120"/>
        <w:rPr>
          <w:rFonts w:ascii="Arial" w:hAnsi="Arial"/>
        </w:rPr>
      </w:pPr>
      <w:r>
        <w:rPr>
          <w:rFonts w:ascii="Arial" w:hAnsi="Arial"/>
          <w:sz w:val="22"/>
          <w:szCs w:val="22"/>
        </w:rPr>
        <w:t>Při provádění auditu v souladu s výše uvedenými předpisy je povinností auditora uplatňovat během celého auditu odborný úsudek a zachovávat profesní skepticismus. Audity budou zaměřeny zejména na to zda:</w:t>
      </w:r>
    </w:p>
    <w:p w14:paraId="7CBB3BBE" w14:textId="77777777" w:rsidR="00BC43DE" w:rsidRDefault="005220A5">
      <w:pPr>
        <w:pStyle w:val="Zatekslovn1"/>
        <w:numPr>
          <w:ilvl w:val="0"/>
          <w:numId w:val="3"/>
        </w:numPr>
        <w:ind w:hanging="363"/>
        <w:rPr>
          <w:rFonts w:ascii="Arial" w:hAnsi="Arial"/>
        </w:rPr>
      </w:pPr>
      <w:r>
        <w:rPr>
          <w:rFonts w:ascii="Arial" w:hAnsi="Arial"/>
          <w:sz w:val="22"/>
          <w:szCs w:val="22"/>
        </w:rPr>
        <w:lastRenderedPageBreak/>
        <w:t>údaje v účetní závěrce věrně zobrazují stav majetku a závazků, obchodní jmění, finanční situaci a výsledek hospodařeni účetní jednotky,</w:t>
      </w:r>
    </w:p>
    <w:p w14:paraId="7CBB3BBF" w14:textId="77777777" w:rsidR="00BC43DE" w:rsidRDefault="005220A5">
      <w:pPr>
        <w:pStyle w:val="Zatekslovn1"/>
        <w:numPr>
          <w:ilvl w:val="0"/>
          <w:numId w:val="3"/>
        </w:numPr>
        <w:ind w:hanging="363"/>
        <w:rPr>
          <w:rFonts w:ascii="Arial" w:hAnsi="Arial"/>
        </w:rPr>
      </w:pPr>
      <w:r>
        <w:rPr>
          <w:rFonts w:ascii="Arial" w:hAnsi="Arial"/>
          <w:sz w:val="22"/>
          <w:szCs w:val="22"/>
        </w:rPr>
        <w:t>účetnictví je vedeno úplně, průkazným způsobem, správně a v souladu s platnými předpisy a doporučeními,</w:t>
      </w:r>
    </w:p>
    <w:p w14:paraId="7CBB3BC0" w14:textId="77777777" w:rsidR="00BC43DE" w:rsidRDefault="005220A5">
      <w:pPr>
        <w:pStyle w:val="Zatekslovn1"/>
        <w:numPr>
          <w:ilvl w:val="0"/>
          <w:numId w:val="3"/>
        </w:numPr>
        <w:ind w:hanging="363"/>
        <w:rPr>
          <w:rFonts w:ascii="Arial" w:hAnsi="Arial"/>
        </w:rPr>
      </w:pPr>
      <w:r>
        <w:rPr>
          <w:rFonts w:ascii="Arial" w:hAnsi="Arial"/>
          <w:sz w:val="22"/>
          <w:szCs w:val="22"/>
        </w:rPr>
        <w:t>údaje v zahajovací rozvaze a závažné hospodářské operace uskutečněné účetní jednotkou v průběhu účetního období, za něž se účetní závěrka ověřuje, byly správně zachyceny a prezentovány,</w:t>
      </w:r>
    </w:p>
    <w:p w14:paraId="7CBB3BC1" w14:textId="77777777" w:rsidR="00BC43DE" w:rsidRDefault="005220A5">
      <w:pPr>
        <w:pStyle w:val="Zatekslovn1"/>
        <w:numPr>
          <w:ilvl w:val="0"/>
          <w:numId w:val="3"/>
        </w:numPr>
        <w:ind w:hanging="363"/>
        <w:rPr>
          <w:rFonts w:ascii="Arial" w:hAnsi="Arial"/>
        </w:rPr>
      </w:pPr>
      <w:r>
        <w:rPr>
          <w:rFonts w:ascii="Arial" w:hAnsi="Arial"/>
          <w:sz w:val="22"/>
          <w:szCs w:val="22"/>
        </w:rPr>
        <w:t>roční účetní výkazy byly zpracovány dle platných pravidel se zaměřením na jejich kompletnost a správnost a jsou předkládány v předepsaném formátu,</w:t>
      </w:r>
    </w:p>
    <w:p w14:paraId="7CBB3BC2" w14:textId="77777777" w:rsidR="00BC43DE" w:rsidRDefault="005220A5">
      <w:pPr>
        <w:pStyle w:val="Zatekslovn1"/>
        <w:numPr>
          <w:ilvl w:val="0"/>
          <w:numId w:val="3"/>
        </w:numPr>
        <w:ind w:hanging="363"/>
        <w:rPr>
          <w:rFonts w:ascii="Arial" w:hAnsi="Arial"/>
        </w:rPr>
      </w:pPr>
      <w:r>
        <w:rPr>
          <w:rFonts w:ascii="Arial" w:hAnsi="Arial"/>
          <w:sz w:val="22"/>
          <w:szCs w:val="22"/>
        </w:rPr>
        <w:t>údaje uvedené ve výroční zprávě o hospodaření jsou v souladu s účetní závěrkou a </w:t>
      </w:r>
      <w:proofErr w:type="gramStart"/>
      <w:r>
        <w:rPr>
          <w:rFonts w:ascii="Arial" w:hAnsi="Arial"/>
          <w:sz w:val="22"/>
          <w:szCs w:val="22"/>
        </w:rPr>
        <w:t>neliší</w:t>
      </w:r>
      <w:proofErr w:type="gramEnd"/>
      <w:r>
        <w:rPr>
          <w:rFonts w:ascii="Arial" w:hAnsi="Arial"/>
          <w:sz w:val="22"/>
          <w:szCs w:val="22"/>
        </w:rPr>
        <w:t xml:space="preserve"> se od ostatních ověřovaných informací. </w:t>
      </w:r>
    </w:p>
    <w:p w14:paraId="7CBB3BC3" w14:textId="77777777" w:rsidR="00BC43DE" w:rsidRDefault="005220A5">
      <w:pPr>
        <w:numPr>
          <w:ilvl w:val="0"/>
          <w:numId w:val="6"/>
        </w:numPr>
        <w:spacing w:after="120"/>
        <w:rPr>
          <w:rFonts w:ascii="Arial" w:hAnsi="Arial"/>
        </w:rPr>
      </w:pPr>
      <w:r>
        <w:rPr>
          <w:rFonts w:ascii="Arial" w:hAnsi="Arial"/>
          <w:sz w:val="22"/>
          <w:szCs w:val="22"/>
        </w:rP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14:paraId="7CBB3BC4" w14:textId="77777777" w:rsidR="00BC43DE" w:rsidRDefault="005220A5">
      <w:pPr>
        <w:numPr>
          <w:ilvl w:val="0"/>
          <w:numId w:val="6"/>
        </w:numPr>
        <w:spacing w:after="120"/>
        <w:rPr>
          <w:rFonts w:ascii="Arial" w:hAnsi="Arial"/>
        </w:rPr>
      </w:pPr>
      <w:r>
        <w:rPr>
          <w:rFonts w:ascii="Arial" w:hAnsi="Arial"/>
          <w:sz w:val="22"/>
          <w:szCs w:val="22"/>
        </w:rPr>
        <w:t xml:space="preserve">Auditor má za povinnost naplánovat své práce v takovém rozsahu, aby získal dostatečné ujištění, že údaje podrobené přezkoumání nebo auditu neobsahují významné nesrovnalosti vyplývající z porušení zákona. </w:t>
      </w:r>
    </w:p>
    <w:p w14:paraId="7CBB3BC5" w14:textId="77777777" w:rsidR="00BC43DE" w:rsidRDefault="005220A5">
      <w:pPr>
        <w:numPr>
          <w:ilvl w:val="0"/>
          <w:numId w:val="6"/>
        </w:numPr>
        <w:spacing w:after="120"/>
        <w:rPr>
          <w:rFonts w:ascii="Arial" w:hAnsi="Arial"/>
        </w:rPr>
      </w:pPr>
      <w:r>
        <w:rPr>
          <w:rFonts w:ascii="Arial" w:hAnsi="Arial"/>
          <w:sz w:val="22"/>
          <w:szCs w:val="22"/>
        </w:rP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dle potřeb uvedeny ve zprávě pro vedení účetní jednotky. </w:t>
      </w:r>
    </w:p>
    <w:p w14:paraId="7CBB3BC6" w14:textId="77777777" w:rsidR="00BC43DE" w:rsidRDefault="005220A5">
      <w:pPr>
        <w:numPr>
          <w:ilvl w:val="0"/>
          <w:numId w:val="6"/>
        </w:numPr>
        <w:spacing w:after="120"/>
        <w:rPr>
          <w:rFonts w:ascii="Arial" w:hAnsi="Arial"/>
        </w:rPr>
      </w:pPr>
      <w:r>
        <w:rPr>
          <w:rFonts w:ascii="Arial" w:hAnsi="Arial"/>
          <w:sz w:val="22"/>
          <w:szCs w:val="22"/>
        </w:rPr>
        <w:t>Auditor bude plnit podmínky této smlouvy distančně ve svých prostorách, případně dle dohody i v prostorách objednatele.</w:t>
      </w:r>
    </w:p>
    <w:p w14:paraId="7CBB3BC7" w14:textId="77777777" w:rsidR="00BC43DE" w:rsidRDefault="005220A5">
      <w:pPr>
        <w:numPr>
          <w:ilvl w:val="0"/>
          <w:numId w:val="6"/>
        </w:numPr>
        <w:spacing w:after="120"/>
        <w:rPr>
          <w:rFonts w:ascii="Arial" w:hAnsi="Arial"/>
        </w:rPr>
      </w:pPr>
      <w:r>
        <w:rPr>
          <w:rFonts w:ascii="Arial" w:hAnsi="Arial"/>
          <w:sz w:val="22"/>
          <w:szCs w:val="22"/>
        </w:rPr>
        <w:t>V případě uzavření smlouvy před rozvahovým dnem provede auditor první část auditu v období před rozvahovým dnem (dále jen „</w:t>
      </w:r>
      <w:proofErr w:type="spellStart"/>
      <w:r>
        <w:rPr>
          <w:rFonts w:ascii="Arial" w:hAnsi="Arial"/>
          <w:sz w:val="22"/>
          <w:szCs w:val="22"/>
        </w:rPr>
        <w:t>předaudit</w:t>
      </w:r>
      <w:proofErr w:type="spellEnd"/>
      <w:r>
        <w:rPr>
          <w:rFonts w:ascii="Arial" w:hAnsi="Arial"/>
          <w:sz w:val="22"/>
          <w:szCs w:val="22"/>
        </w:rPr>
        <w:t>“). Tato část auditu zahrnuje především zjišťovací a analytické postupy a následnou přípravu strategie a plánu auditu a dle potřeb též testy nákladů, výnosů, popř. jiných oblastí účetnictví.</w:t>
      </w:r>
    </w:p>
    <w:p w14:paraId="7CBB3BC8" w14:textId="77777777" w:rsidR="00BC43DE" w:rsidRDefault="005220A5">
      <w:pPr>
        <w:numPr>
          <w:ilvl w:val="0"/>
          <w:numId w:val="6"/>
        </w:numPr>
        <w:spacing w:after="120"/>
        <w:rPr>
          <w:rFonts w:ascii="Arial" w:hAnsi="Arial"/>
        </w:rPr>
      </w:pPr>
      <w:r>
        <w:rPr>
          <w:rFonts w:ascii="Arial" w:hAnsi="Arial"/>
          <w:sz w:val="22"/>
          <w:szCs w:val="22"/>
        </w:rPr>
        <w:t xml:space="preserve">Auditor vydá závěrečnou zprávu auditora, ve které </w:t>
      </w:r>
      <w:proofErr w:type="gramStart"/>
      <w:r>
        <w:rPr>
          <w:rFonts w:ascii="Arial" w:hAnsi="Arial"/>
          <w:sz w:val="22"/>
          <w:szCs w:val="22"/>
        </w:rPr>
        <w:t>vyjádří</w:t>
      </w:r>
      <w:proofErr w:type="gramEnd"/>
      <w:r>
        <w:rPr>
          <w:rFonts w:ascii="Arial" w:hAnsi="Arial"/>
          <w:sz w:val="22"/>
          <w:szCs w:val="22"/>
        </w:rPr>
        <w:t xml:space="preserve"> svůj názor na účetní závěrku v souladu se statutárními předpisy. </w:t>
      </w:r>
    </w:p>
    <w:p w14:paraId="7CBB3BC9" w14:textId="77777777" w:rsidR="00BC43DE" w:rsidRDefault="005220A5">
      <w:pPr>
        <w:numPr>
          <w:ilvl w:val="0"/>
          <w:numId w:val="6"/>
        </w:numPr>
        <w:spacing w:after="120"/>
        <w:rPr>
          <w:rFonts w:ascii="Arial" w:hAnsi="Arial"/>
        </w:rPr>
      </w:pPr>
      <w:r>
        <w:rPr>
          <w:rFonts w:ascii="Arial" w:hAnsi="Arial"/>
          <w:sz w:val="22"/>
          <w:szCs w:val="22"/>
        </w:rPr>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14:paraId="7CBB3BCA" w14:textId="77777777" w:rsidR="00BC43DE" w:rsidRDefault="005220A5">
      <w:pPr>
        <w:numPr>
          <w:ilvl w:val="0"/>
          <w:numId w:val="6"/>
        </w:numPr>
        <w:spacing w:after="120"/>
        <w:rPr>
          <w:rFonts w:ascii="Arial" w:hAnsi="Arial"/>
        </w:rPr>
      </w:pPr>
      <w:r>
        <w:rPr>
          <w:rFonts w:ascii="Arial" w:hAnsi="Arial"/>
          <w:sz w:val="22"/>
          <w:szCs w:val="22"/>
        </w:rPr>
        <w:t xml:space="preserve">Auditor má právo uvést ve své zprávě auditora také omezení rozsahu ověření, pokud nebyl schopen z objektivních důvodů nebo z viny účetní jednotky ověřit některé podstatné údaje. </w:t>
      </w:r>
    </w:p>
    <w:p w14:paraId="7CBB3BCB" w14:textId="77777777" w:rsidR="00BC43DE" w:rsidRDefault="005220A5">
      <w:pPr>
        <w:numPr>
          <w:ilvl w:val="0"/>
          <w:numId w:val="6"/>
        </w:numPr>
        <w:spacing w:after="120"/>
        <w:rPr>
          <w:rFonts w:ascii="Arial" w:hAnsi="Arial"/>
        </w:rPr>
      </w:pPr>
      <w:r>
        <w:rPr>
          <w:rFonts w:ascii="Arial" w:hAnsi="Arial"/>
          <w:sz w:val="22"/>
          <w:szCs w:val="22"/>
        </w:rP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r>
        <w:br w:type="page"/>
      </w:r>
    </w:p>
    <w:p w14:paraId="7CBB3BCC" w14:textId="77777777" w:rsidR="00BC43DE" w:rsidRDefault="005220A5">
      <w:pPr>
        <w:pStyle w:val="Nadpis1"/>
        <w:numPr>
          <w:ilvl w:val="0"/>
          <w:numId w:val="0"/>
        </w:numPr>
        <w:jc w:val="both"/>
        <w:rPr>
          <w:rFonts w:ascii="Arial" w:hAnsi="Arial"/>
        </w:rPr>
      </w:pPr>
      <w:r>
        <w:rPr>
          <w:rFonts w:ascii="Arial" w:hAnsi="Arial"/>
          <w:sz w:val="22"/>
          <w:szCs w:val="22"/>
        </w:rPr>
        <w:lastRenderedPageBreak/>
        <w:t>III. Odpovědnost objednatele</w:t>
      </w:r>
    </w:p>
    <w:p w14:paraId="7CBB3BCD" w14:textId="77777777" w:rsidR="00BC43DE" w:rsidRDefault="005220A5">
      <w:pPr>
        <w:numPr>
          <w:ilvl w:val="0"/>
          <w:numId w:val="7"/>
        </w:numPr>
        <w:spacing w:after="120"/>
        <w:rPr>
          <w:rFonts w:ascii="Arial" w:hAnsi="Arial"/>
        </w:rPr>
      </w:pPr>
      <w:r>
        <w:rPr>
          <w:rFonts w:ascii="Arial" w:hAnsi="Arial"/>
          <w:sz w:val="22"/>
          <w:szCs w:val="22"/>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14:paraId="7CBB3BCE" w14:textId="77777777" w:rsidR="00BC43DE" w:rsidRDefault="005220A5">
      <w:pPr>
        <w:numPr>
          <w:ilvl w:val="0"/>
          <w:numId w:val="7"/>
        </w:numPr>
        <w:spacing w:after="120"/>
        <w:rPr>
          <w:rFonts w:ascii="Arial" w:hAnsi="Arial"/>
        </w:rPr>
      </w:pPr>
      <w:r>
        <w:rPr>
          <w:rFonts w:ascii="Arial" w:hAnsi="Arial"/>
          <w:sz w:val="22"/>
          <w:szCs w:val="22"/>
        </w:rP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14:paraId="7CBB3BCF" w14:textId="77777777" w:rsidR="00BC43DE" w:rsidRDefault="005220A5">
      <w:pPr>
        <w:numPr>
          <w:ilvl w:val="0"/>
          <w:numId w:val="7"/>
        </w:numPr>
        <w:spacing w:after="120"/>
        <w:rPr>
          <w:rFonts w:ascii="Arial" w:hAnsi="Arial"/>
        </w:rPr>
      </w:pPr>
      <w:r>
        <w:rPr>
          <w:rFonts w:ascii="Arial" w:hAnsi="Arial"/>
          <w:sz w:val="22"/>
          <w:szCs w:val="22"/>
        </w:rPr>
        <w:t>Objednatel zajistí auditorovi volný přístup do prostor organizace a k veškerým aktivům organizace k ověření fyzické existence účetně vykazovaných hodnot, které jsou předmětem auditu. Zejména je o</w:t>
      </w:r>
      <w:r>
        <w:rPr>
          <w:rFonts w:ascii="Arial" w:hAnsi="Arial"/>
          <w:color w:val="222222"/>
          <w:sz w:val="22"/>
          <w:szCs w:val="22"/>
        </w:rPr>
        <w:t>bjednatel povinen umožnit účast auditora při provádění fyzických inventur majetku objednatele. </w:t>
      </w:r>
      <w:r>
        <w:rPr>
          <w:rFonts w:ascii="Arial" w:hAnsi="Arial"/>
          <w:color w:val="000000"/>
          <w:sz w:val="22"/>
          <w:szCs w:val="22"/>
        </w:rPr>
        <w:t>V případě potřeby, zejména v tom případě, kdy auditor nemohl být přítomen provedení fyzických inventur, zajistí objednatel na žádost auditora provedení mimořádné inventarizace, a to způsobem a v rozsahu vyžádaném auditorem.</w:t>
      </w:r>
    </w:p>
    <w:p w14:paraId="7CBB3BD0" w14:textId="77777777" w:rsidR="00BC43DE" w:rsidRDefault="005220A5">
      <w:pPr>
        <w:numPr>
          <w:ilvl w:val="0"/>
          <w:numId w:val="7"/>
        </w:numPr>
        <w:spacing w:after="119"/>
        <w:rPr>
          <w:rFonts w:ascii="Arial" w:hAnsi="Arial"/>
        </w:rPr>
      </w:pPr>
      <w:r>
        <w:rPr>
          <w:rFonts w:ascii="Arial" w:hAnsi="Arial"/>
          <w:sz w:val="22"/>
          <w:szCs w:val="22"/>
        </w:rPr>
        <w:t>Auditor má oprávnění požadovat vysvětlení, a to i v písemné formě, pokud to, podle jeho názoru, povaha problému vyžaduje.</w:t>
      </w:r>
    </w:p>
    <w:p w14:paraId="7CBB3BD1" w14:textId="77777777" w:rsidR="00BC43DE" w:rsidRDefault="005220A5">
      <w:pPr>
        <w:numPr>
          <w:ilvl w:val="0"/>
          <w:numId w:val="7"/>
        </w:numPr>
        <w:spacing w:after="119"/>
        <w:rPr>
          <w:rFonts w:ascii="Arial" w:hAnsi="Arial"/>
        </w:rPr>
      </w:pPr>
      <w:r>
        <w:rPr>
          <w:rFonts w:ascii="Arial" w:hAnsi="Arial"/>
          <w:sz w:val="22"/>
          <w:szCs w:val="22"/>
        </w:rPr>
        <w:t xml:space="preserve">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w:t>
      </w:r>
      <w:proofErr w:type="gramStart"/>
      <w:r>
        <w:rPr>
          <w:rFonts w:ascii="Arial" w:hAnsi="Arial"/>
          <w:sz w:val="22"/>
          <w:szCs w:val="22"/>
        </w:rPr>
        <w:t>poruší</w:t>
      </w:r>
      <w:proofErr w:type="gramEnd"/>
      <w:r>
        <w:rPr>
          <w:rFonts w:ascii="Arial" w:hAnsi="Arial"/>
          <w:sz w:val="22"/>
          <w:szCs w:val="22"/>
        </w:rPr>
        <w:t xml:space="preserve"> toto ustanovení smlouvy, náleží auditorovi smluvní pokuta ve výši 1 000 000 Kč.</w:t>
      </w:r>
    </w:p>
    <w:p w14:paraId="7CBB3BD2" w14:textId="77777777" w:rsidR="00BC43DE" w:rsidRDefault="005220A5">
      <w:pPr>
        <w:pStyle w:val="Nadpis1"/>
        <w:numPr>
          <w:ilvl w:val="0"/>
          <w:numId w:val="0"/>
        </w:numPr>
        <w:jc w:val="both"/>
        <w:rPr>
          <w:rFonts w:ascii="Arial" w:hAnsi="Arial"/>
        </w:rPr>
      </w:pPr>
      <w:r>
        <w:rPr>
          <w:rFonts w:ascii="Arial" w:hAnsi="Arial"/>
          <w:sz w:val="22"/>
          <w:szCs w:val="22"/>
        </w:rPr>
        <w:t>IV. Cena a platební podmínky</w:t>
      </w:r>
    </w:p>
    <w:p w14:paraId="7CBB3BD3" w14:textId="77777777" w:rsidR="00BC43DE" w:rsidRDefault="005220A5">
      <w:pPr>
        <w:numPr>
          <w:ilvl w:val="0"/>
          <w:numId w:val="8"/>
        </w:numPr>
        <w:spacing w:after="119"/>
        <w:rPr>
          <w:rFonts w:ascii="Arial" w:hAnsi="Arial"/>
        </w:rPr>
      </w:pPr>
      <w:r>
        <w:rPr>
          <w:rFonts w:ascii="Arial" w:hAnsi="Arial"/>
          <w:sz w:val="22"/>
          <w:szCs w:val="22"/>
        </w:rPr>
        <w:t xml:space="preserve">Auditorovi náleží za činnost vymezenou touto smlouvou finanční odměna v celkové výši </w:t>
      </w:r>
      <w:r>
        <w:rPr>
          <w:rFonts w:ascii="Arial" w:hAnsi="Arial"/>
          <w:b/>
          <w:bCs/>
          <w:sz w:val="22"/>
          <w:szCs w:val="22"/>
        </w:rPr>
        <w:t>950 000</w:t>
      </w:r>
      <w:r>
        <w:rPr>
          <w:rFonts w:ascii="Arial" w:hAnsi="Arial"/>
          <w:sz w:val="22"/>
          <w:szCs w:val="22"/>
        </w:rPr>
        <w:t> </w:t>
      </w:r>
      <w:r>
        <w:rPr>
          <w:rFonts w:ascii="Arial" w:hAnsi="Arial"/>
          <w:b/>
          <w:bCs/>
          <w:sz w:val="22"/>
          <w:szCs w:val="22"/>
        </w:rPr>
        <w:t>Kč plus DPH dle platné legislativy, tak že:</w:t>
      </w:r>
    </w:p>
    <w:p w14:paraId="7CBB3BD4" w14:textId="77777777" w:rsidR="00BC43DE" w:rsidRDefault="005220A5">
      <w:pPr>
        <w:numPr>
          <w:ilvl w:val="0"/>
          <w:numId w:val="13"/>
        </w:numPr>
        <w:tabs>
          <w:tab w:val="left" w:pos="390"/>
        </w:tabs>
        <w:spacing w:after="119"/>
      </w:pPr>
      <w:r>
        <w:rPr>
          <w:rFonts w:ascii="Arial" w:hAnsi="Arial"/>
          <w:color w:val="000000"/>
          <w:sz w:val="22"/>
          <w:szCs w:val="22"/>
        </w:rPr>
        <w:t>475 000 Kč plus DPH náleží auditorovi po dokončení auditu účetní závěrky k 31.12.2023 (jako odměna za audit účetní závěrky sestavené k 31.12.2023)</w:t>
      </w:r>
    </w:p>
    <w:p w14:paraId="7CBB3BD5" w14:textId="77777777" w:rsidR="00BC43DE" w:rsidRDefault="005220A5">
      <w:pPr>
        <w:numPr>
          <w:ilvl w:val="0"/>
          <w:numId w:val="13"/>
        </w:numPr>
        <w:tabs>
          <w:tab w:val="left" w:pos="390"/>
        </w:tabs>
        <w:spacing w:after="119"/>
      </w:pPr>
      <w:r>
        <w:rPr>
          <w:rFonts w:ascii="Arial" w:hAnsi="Arial"/>
          <w:color w:val="000000"/>
          <w:sz w:val="22"/>
          <w:szCs w:val="22"/>
        </w:rPr>
        <w:t>475 000 Kč plus DPH náleží auditorovi po dokončení auditu účetní závěrky k 31.12.2024 (jako odměna za audit účetní závěrky sestavené k 31.12.2024)</w:t>
      </w:r>
    </w:p>
    <w:p w14:paraId="7CBB3BD6" w14:textId="77777777" w:rsidR="00BC43DE" w:rsidRDefault="005220A5">
      <w:pPr>
        <w:numPr>
          <w:ilvl w:val="0"/>
          <w:numId w:val="8"/>
        </w:numPr>
        <w:spacing w:after="119"/>
        <w:rPr>
          <w:rFonts w:ascii="Arial" w:hAnsi="Arial"/>
        </w:rPr>
      </w:pPr>
      <w:r>
        <w:rPr>
          <w:rFonts w:ascii="Arial" w:hAnsi="Arial"/>
          <w:sz w:val="22"/>
          <w:szCs w:val="22"/>
        </w:rPr>
        <w:t xml:space="preserve">V případě, že objednatel </w:t>
      </w:r>
      <w:proofErr w:type="gramStart"/>
      <w:r>
        <w:rPr>
          <w:rFonts w:ascii="Arial" w:hAnsi="Arial"/>
          <w:sz w:val="22"/>
          <w:szCs w:val="22"/>
        </w:rPr>
        <w:t>nepředloží</w:t>
      </w:r>
      <w:proofErr w:type="gramEnd"/>
      <w:r>
        <w:rPr>
          <w:rFonts w:ascii="Arial" w:hAnsi="Arial"/>
          <w:sz w:val="22"/>
          <w:szCs w:val="22"/>
        </w:rPr>
        <w:t xml:space="preserve"> všechny požadované poklady pro audity v elektronické podobě, cena uvedená v bodě IV.1. se navyšuje o 4.000 Kč plus DPH za každý jednotlivý audit účetní závěrky.</w:t>
      </w:r>
    </w:p>
    <w:p w14:paraId="7CBB3BD7" w14:textId="77777777" w:rsidR="00BC43DE" w:rsidRDefault="005220A5">
      <w:pPr>
        <w:numPr>
          <w:ilvl w:val="0"/>
          <w:numId w:val="8"/>
        </w:numPr>
        <w:spacing w:after="119"/>
        <w:rPr>
          <w:rFonts w:ascii="Arial" w:hAnsi="Arial"/>
        </w:rPr>
      </w:pPr>
      <w:r>
        <w:rPr>
          <w:rFonts w:ascii="Arial" w:hAnsi="Arial"/>
          <w:sz w:val="22"/>
          <w:szCs w:val="22"/>
        </w:rPr>
        <w:t xml:space="preserve">V případě, že objednatel nepředloží obratovou předvahu (sestavu s počátečními a konečnými zůstatky analytických účtů a jejich obraty MD a D) a účetní deník ve formátu </w:t>
      </w:r>
      <w:proofErr w:type="spellStart"/>
      <w:r>
        <w:rPr>
          <w:rFonts w:ascii="Arial" w:hAnsi="Arial"/>
          <w:sz w:val="22"/>
          <w:szCs w:val="22"/>
        </w:rPr>
        <w:t>xls</w:t>
      </w:r>
      <w:proofErr w:type="spellEnd"/>
      <w:r>
        <w:rPr>
          <w:rFonts w:ascii="Arial" w:hAnsi="Arial"/>
          <w:sz w:val="22"/>
          <w:szCs w:val="22"/>
        </w:rPr>
        <w:t xml:space="preserve">, </w:t>
      </w:r>
      <w:proofErr w:type="spellStart"/>
      <w:r>
        <w:rPr>
          <w:rFonts w:ascii="Arial" w:hAnsi="Arial"/>
          <w:sz w:val="22"/>
          <w:szCs w:val="22"/>
        </w:rPr>
        <w:t>xlsx</w:t>
      </w:r>
      <w:proofErr w:type="spellEnd"/>
      <w:r>
        <w:rPr>
          <w:rFonts w:ascii="Arial" w:hAnsi="Arial"/>
          <w:sz w:val="22"/>
          <w:szCs w:val="22"/>
        </w:rPr>
        <w:t xml:space="preserve"> nebo obdobném datově zpracovatelném formátu, cena uvedená v bodě IV.1. se navyšuje o </w:t>
      </w:r>
      <w:proofErr w:type="gramStart"/>
      <w:r>
        <w:rPr>
          <w:rFonts w:ascii="Arial" w:hAnsi="Arial"/>
          <w:sz w:val="22"/>
          <w:szCs w:val="22"/>
        </w:rPr>
        <w:t>10%</w:t>
      </w:r>
      <w:proofErr w:type="gramEnd"/>
      <w:r>
        <w:rPr>
          <w:rFonts w:ascii="Arial" w:hAnsi="Arial"/>
          <w:sz w:val="22"/>
          <w:szCs w:val="22"/>
        </w:rPr>
        <w:t xml:space="preserve"> z této ceny.</w:t>
      </w:r>
    </w:p>
    <w:p w14:paraId="7CBB3BD8" w14:textId="77777777" w:rsidR="00BC43DE" w:rsidRDefault="005220A5">
      <w:pPr>
        <w:numPr>
          <w:ilvl w:val="0"/>
          <w:numId w:val="8"/>
        </w:numPr>
        <w:spacing w:after="119"/>
        <w:rPr>
          <w:rFonts w:ascii="Arial" w:hAnsi="Arial"/>
        </w:rPr>
      </w:pPr>
      <w:r>
        <w:rPr>
          <w:rFonts w:ascii="Arial" w:hAnsi="Arial"/>
          <w:sz w:val="22"/>
          <w:szCs w:val="22"/>
        </w:rPr>
        <w:t>Odměna byla propočtena s přihlédnutím k časovému rozsahu práce, její odborné úrovni a odpovědnosti. Odměna je stanovena jako konečná a zahrnuje veškeré práce, které auditor musí provést a náklady, které musí vynaložit, aby mohl odpovědně vydat zprávu auditora.</w:t>
      </w:r>
    </w:p>
    <w:p w14:paraId="7CBB3BD9" w14:textId="77777777" w:rsidR="00BC43DE" w:rsidRDefault="005220A5">
      <w:pPr>
        <w:numPr>
          <w:ilvl w:val="0"/>
          <w:numId w:val="8"/>
        </w:numPr>
        <w:spacing w:after="119"/>
        <w:rPr>
          <w:rFonts w:ascii="Arial" w:hAnsi="Arial"/>
        </w:rPr>
      </w:pPr>
      <w:r>
        <w:rPr>
          <w:rFonts w:ascii="Arial" w:hAnsi="Arial"/>
          <w:sz w:val="22"/>
          <w:szCs w:val="22"/>
        </w:rPr>
        <w:t>Finanční odměna dle bodu IV.1. je splatná ve čtyřech částkách:</w:t>
      </w:r>
    </w:p>
    <w:p w14:paraId="7CBB3BDA" w14:textId="77777777" w:rsidR="00BC43DE" w:rsidRDefault="005220A5">
      <w:pPr>
        <w:numPr>
          <w:ilvl w:val="0"/>
          <w:numId w:val="14"/>
        </w:numPr>
        <w:spacing w:after="119"/>
      </w:pPr>
      <w:r>
        <w:rPr>
          <w:rFonts w:ascii="Arial" w:hAnsi="Arial"/>
          <w:b/>
          <w:bCs/>
          <w:sz w:val="22"/>
          <w:szCs w:val="22"/>
        </w:rPr>
        <w:t>166 250 Kč plus DPH</w:t>
      </w:r>
      <w:r>
        <w:rPr>
          <w:rFonts w:ascii="Arial" w:hAnsi="Arial"/>
          <w:sz w:val="22"/>
          <w:szCs w:val="22"/>
        </w:rPr>
        <w:t xml:space="preserve"> po provedení </w:t>
      </w:r>
      <w:proofErr w:type="spellStart"/>
      <w:r>
        <w:rPr>
          <w:rFonts w:ascii="Arial" w:hAnsi="Arial"/>
          <w:sz w:val="22"/>
          <w:szCs w:val="22"/>
        </w:rPr>
        <w:t>předauditu</w:t>
      </w:r>
      <w:proofErr w:type="spellEnd"/>
      <w:r>
        <w:rPr>
          <w:rFonts w:ascii="Arial" w:hAnsi="Arial"/>
          <w:sz w:val="22"/>
          <w:szCs w:val="22"/>
        </w:rPr>
        <w:t xml:space="preserve"> účetní závěrky k 31.12.2023, nejpozději však do rozvahového dne,</w:t>
      </w:r>
    </w:p>
    <w:p w14:paraId="7CBB3BDB" w14:textId="77777777" w:rsidR="00BC43DE" w:rsidRDefault="005220A5">
      <w:pPr>
        <w:numPr>
          <w:ilvl w:val="0"/>
          <w:numId w:val="14"/>
        </w:numPr>
        <w:spacing w:after="119"/>
      </w:pPr>
      <w:r>
        <w:rPr>
          <w:rFonts w:ascii="Arial" w:hAnsi="Arial"/>
          <w:b/>
          <w:bCs/>
          <w:sz w:val="22"/>
          <w:szCs w:val="22"/>
        </w:rPr>
        <w:t xml:space="preserve">308 750 Kč plus DPH </w:t>
      </w:r>
      <w:r>
        <w:rPr>
          <w:rFonts w:ascii="Arial" w:hAnsi="Arial"/>
          <w:sz w:val="22"/>
          <w:szCs w:val="22"/>
        </w:rPr>
        <w:t>po dokončení auditu účetní závěrky k 31.12.2023.</w:t>
      </w:r>
    </w:p>
    <w:p w14:paraId="7CBB3BDC" w14:textId="77777777" w:rsidR="00BC43DE" w:rsidRDefault="005220A5">
      <w:pPr>
        <w:numPr>
          <w:ilvl w:val="0"/>
          <w:numId w:val="14"/>
        </w:numPr>
        <w:spacing w:after="119"/>
      </w:pPr>
      <w:r>
        <w:rPr>
          <w:rFonts w:ascii="Arial" w:hAnsi="Arial"/>
          <w:b/>
          <w:bCs/>
          <w:sz w:val="22"/>
          <w:szCs w:val="22"/>
        </w:rPr>
        <w:t>166 250 Kč plus DPH</w:t>
      </w:r>
      <w:r>
        <w:rPr>
          <w:rFonts w:ascii="Arial" w:hAnsi="Arial"/>
          <w:sz w:val="22"/>
          <w:szCs w:val="22"/>
        </w:rPr>
        <w:t xml:space="preserve"> po provedení </w:t>
      </w:r>
      <w:proofErr w:type="spellStart"/>
      <w:r>
        <w:rPr>
          <w:rFonts w:ascii="Arial" w:hAnsi="Arial"/>
          <w:sz w:val="22"/>
          <w:szCs w:val="22"/>
        </w:rPr>
        <w:t>předauditu</w:t>
      </w:r>
      <w:proofErr w:type="spellEnd"/>
      <w:r>
        <w:rPr>
          <w:rFonts w:ascii="Arial" w:hAnsi="Arial"/>
          <w:sz w:val="22"/>
          <w:szCs w:val="22"/>
        </w:rPr>
        <w:t xml:space="preserve"> účetní závěrky k 31.12.2024, nejpozději však do rozvahového dne,</w:t>
      </w:r>
    </w:p>
    <w:p w14:paraId="7CBB3BDD" w14:textId="77777777" w:rsidR="00BC43DE" w:rsidRDefault="005220A5">
      <w:pPr>
        <w:numPr>
          <w:ilvl w:val="0"/>
          <w:numId w:val="14"/>
        </w:numPr>
        <w:spacing w:after="119"/>
        <w:rPr>
          <w:rFonts w:ascii="Arial" w:hAnsi="Arial"/>
        </w:rPr>
      </w:pPr>
      <w:r>
        <w:rPr>
          <w:rFonts w:ascii="Arial" w:hAnsi="Arial"/>
          <w:b/>
          <w:bCs/>
          <w:sz w:val="22"/>
          <w:szCs w:val="22"/>
        </w:rPr>
        <w:lastRenderedPageBreak/>
        <w:t xml:space="preserve">308 750 Kč plus DPH </w:t>
      </w:r>
      <w:r>
        <w:rPr>
          <w:rFonts w:ascii="Arial" w:hAnsi="Arial"/>
          <w:sz w:val="22"/>
          <w:szCs w:val="22"/>
        </w:rPr>
        <w:t>po dokončení auditu účetní závěrky k 31.12.2024.</w:t>
      </w:r>
    </w:p>
    <w:p w14:paraId="7CBB3BDE" w14:textId="77777777" w:rsidR="00BC43DE" w:rsidRDefault="005220A5">
      <w:pPr>
        <w:numPr>
          <w:ilvl w:val="0"/>
          <w:numId w:val="8"/>
        </w:numPr>
        <w:spacing w:after="119"/>
        <w:rPr>
          <w:rFonts w:ascii="Arial" w:hAnsi="Arial"/>
        </w:rPr>
      </w:pPr>
      <w:r>
        <w:rPr>
          <w:rFonts w:ascii="Arial" w:hAnsi="Arial"/>
          <w:sz w:val="22"/>
          <w:szCs w:val="22"/>
        </w:rPr>
        <w:t>Odměna je splatná na základě daňového dokladu (faktury) vystaveného auditorem. Splatnost faktury činí 30 dnů ode dne jejího obdržení objednatelem. Úrok z prodlení v placení faktur se stanovuje ve výši 0,02 % z fakturované částky za každý den prodlení.</w:t>
      </w:r>
    </w:p>
    <w:p w14:paraId="7CBB3BDF" w14:textId="77777777" w:rsidR="00BC43DE" w:rsidRDefault="005220A5">
      <w:pPr>
        <w:pStyle w:val="Nadpis1"/>
        <w:numPr>
          <w:ilvl w:val="0"/>
          <w:numId w:val="0"/>
        </w:numPr>
        <w:jc w:val="both"/>
        <w:rPr>
          <w:rFonts w:ascii="Arial" w:hAnsi="Arial"/>
        </w:rPr>
      </w:pPr>
      <w:r>
        <w:rPr>
          <w:rFonts w:ascii="Arial" w:hAnsi="Arial"/>
          <w:sz w:val="22"/>
          <w:szCs w:val="22"/>
        </w:rPr>
        <w:t>V. Termíny provedení auditu</w:t>
      </w:r>
    </w:p>
    <w:p w14:paraId="7CBB3BE0" w14:textId="77777777" w:rsidR="00BC43DE" w:rsidRDefault="005220A5">
      <w:pPr>
        <w:numPr>
          <w:ilvl w:val="0"/>
          <w:numId w:val="9"/>
        </w:numPr>
        <w:spacing w:after="120"/>
      </w:pPr>
      <w:r>
        <w:rPr>
          <w:rFonts w:ascii="Arial" w:eastAsia="Times New Roman" w:hAnsi="Arial" w:cs="Times New Roman"/>
          <w:sz w:val="22"/>
          <w:szCs w:val="22"/>
        </w:rPr>
        <w:t xml:space="preserve">Auditor předloží zprávu auditora do </w:t>
      </w:r>
      <w:proofErr w:type="gramStart"/>
      <w:r>
        <w:rPr>
          <w:rFonts w:ascii="Arial" w:eastAsia="Times New Roman" w:hAnsi="Arial" w:cs="Times New Roman"/>
          <w:sz w:val="22"/>
          <w:szCs w:val="22"/>
        </w:rPr>
        <w:t>30ti</w:t>
      </w:r>
      <w:proofErr w:type="gramEnd"/>
      <w:r>
        <w:rPr>
          <w:rFonts w:ascii="Arial" w:eastAsia="Times New Roman" w:hAnsi="Arial" w:cs="Times New Roman"/>
          <w:sz w:val="22"/>
          <w:szCs w:val="22"/>
        </w:rPr>
        <w:t xml:space="preserve"> kalendářních dnů ode dne předložení konečné účetní závěrky sestavené k rozvahovému dni, případně v termínu dle vzájemné dohody.</w:t>
      </w:r>
    </w:p>
    <w:p w14:paraId="7CBB3BE1" w14:textId="77777777" w:rsidR="00BC43DE" w:rsidRDefault="005220A5">
      <w:pPr>
        <w:numPr>
          <w:ilvl w:val="0"/>
          <w:numId w:val="9"/>
        </w:numPr>
        <w:spacing w:after="120"/>
      </w:pPr>
      <w:r>
        <w:rPr>
          <w:rFonts w:ascii="Arial" w:hAnsi="Arial"/>
          <w:sz w:val="22"/>
          <w:szCs w:val="22"/>
        </w:rPr>
        <w:t xml:space="preserve">Auditor dohodne s objednatelem po podpisu této smlouvy harmonogram auditu. Po zahájení auditu </w:t>
      </w:r>
      <w:proofErr w:type="gramStart"/>
      <w:r>
        <w:rPr>
          <w:rFonts w:ascii="Arial" w:hAnsi="Arial"/>
          <w:sz w:val="22"/>
          <w:szCs w:val="22"/>
        </w:rPr>
        <w:t>předloží</w:t>
      </w:r>
      <w:proofErr w:type="gramEnd"/>
      <w:r>
        <w:rPr>
          <w:rFonts w:ascii="Arial" w:hAnsi="Arial"/>
          <w:sz w:val="22"/>
          <w:szCs w:val="22"/>
        </w:rPr>
        <w:t xml:space="preserve"> auditor objednateli seznam požadovaných podkladů, který následně dle potřeb v průběhu auditu doplňuje. Pokud objednatel nepředloží požadované podklady v dohodnutém termínu, může auditor s ohledem na zpoždění v předložení podkladů upravit harmonogram auditu včetně termínu předložení zprávy </w:t>
      </w:r>
      <w:proofErr w:type="gramStart"/>
      <w:r>
        <w:rPr>
          <w:rFonts w:ascii="Arial" w:hAnsi="Arial"/>
          <w:sz w:val="22"/>
          <w:szCs w:val="22"/>
        </w:rPr>
        <w:t>auditora .</w:t>
      </w:r>
      <w:proofErr w:type="gramEnd"/>
    </w:p>
    <w:p w14:paraId="7CBB3BE2" w14:textId="77777777" w:rsidR="00BC43DE" w:rsidRDefault="005220A5">
      <w:pPr>
        <w:numPr>
          <w:ilvl w:val="0"/>
          <w:numId w:val="9"/>
        </w:numPr>
        <w:spacing w:after="120"/>
        <w:rPr>
          <w:rFonts w:ascii="Arial" w:hAnsi="Arial"/>
        </w:rPr>
      </w:pPr>
      <w:r>
        <w:rPr>
          <w:rFonts w:ascii="Arial" w:hAnsi="Arial"/>
          <w:sz w:val="22"/>
          <w:szCs w:val="22"/>
        </w:rPr>
        <w:t>Objednatel může v průběhu auditu vznést kdykoliv dotaz k problematice se vztahem k účetní závěrce.</w:t>
      </w:r>
    </w:p>
    <w:p w14:paraId="7CBB3BE3" w14:textId="77777777" w:rsidR="00BC43DE" w:rsidRDefault="005220A5">
      <w:pPr>
        <w:numPr>
          <w:ilvl w:val="0"/>
          <w:numId w:val="9"/>
        </w:numPr>
        <w:spacing w:after="120"/>
        <w:rPr>
          <w:rFonts w:ascii="Arial" w:hAnsi="Arial"/>
        </w:rPr>
      </w:pPr>
      <w:r>
        <w:rPr>
          <w:rFonts w:ascii="Arial" w:eastAsia="Times New Roman" w:hAnsi="Arial" w:cs="Times New Roman"/>
          <w:sz w:val="22"/>
          <w:szCs w:val="22"/>
        </w:rPr>
        <w:t>Zpráva auditora bude vyhotovena a předána objednateli v elektronické podobě opatřené zaručeným podpisem auditora.</w:t>
      </w:r>
    </w:p>
    <w:p w14:paraId="7CBB3BE4" w14:textId="77777777" w:rsidR="00BC43DE" w:rsidRDefault="005220A5">
      <w:pPr>
        <w:numPr>
          <w:ilvl w:val="0"/>
          <w:numId w:val="9"/>
        </w:numPr>
        <w:spacing w:after="120"/>
        <w:rPr>
          <w:rFonts w:ascii="Arial" w:hAnsi="Arial"/>
        </w:rPr>
      </w:pPr>
      <w:r>
        <w:rPr>
          <w:rFonts w:ascii="Arial" w:eastAsia="Times New Roman" w:hAnsi="Arial" w:cs="Times New Roman"/>
          <w:sz w:val="22"/>
          <w:szCs w:val="22"/>
        </w:rPr>
        <w:t>V případě nedodržení termínu provedení každého jednotlivého auditu a předání řádně zhotovené zprávy auditora vinou auditora, v případě nepřevzetí zprávy auditora ze strany objednatele z důvodů vad způsobených auditorem nebo v případě prodlení auditora s odstraněním těchto vad je auditor povinen uhradit objednateli smluvní pokutu ve výši 0,1 % z ceny dle čl. IV této smlouvy za každý, byť i započatý, kalendářní den prodlení.</w:t>
      </w:r>
    </w:p>
    <w:p w14:paraId="7CBB3BE5" w14:textId="77777777" w:rsidR="00BC43DE" w:rsidRDefault="005220A5">
      <w:pPr>
        <w:pStyle w:val="Nadpis1"/>
        <w:numPr>
          <w:ilvl w:val="0"/>
          <w:numId w:val="0"/>
        </w:numPr>
        <w:jc w:val="both"/>
        <w:rPr>
          <w:rFonts w:ascii="Arial" w:hAnsi="Arial"/>
        </w:rPr>
      </w:pPr>
      <w:r>
        <w:rPr>
          <w:rFonts w:ascii="Arial" w:hAnsi="Arial"/>
          <w:sz w:val="22"/>
          <w:szCs w:val="22"/>
        </w:rPr>
        <w:t>VI. Ochrana osobních údajů</w:t>
      </w:r>
    </w:p>
    <w:p w14:paraId="7CBB3BE6" w14:textId="77777777" w:rsidR="00BC43DE" w:rsidRDefault="005220A5">
      <w:pPr>
        <w:numPr>
          <w:ilvl w:val="0"/>
          <w:numId w:val="10"/>
        </w:numPr>
        <w:rPr>
          <w:rFonts w:ascii="Arial" w:hAnsi="Arial"/>
        </w:rPr>
      </w:pPr>
      <w:r>
        <w:rPr>
          <w:rFonts w:ascii="Arial" w:eastAsia="Times New Roman" w:hAnsi="Arial" w:cs="Times New Roman"/>
          <w:sz w:val="22"/>
          <w:szCs w:val="22"/>
        </w:rPr>
        <w:t>Přijde-li auditor při plnění svých povinností podle této smlouvy do styku s osobními údaji, zavazuje se te</w:t>
      </w:r>
      <w:r>
        <w:rPr>
          <w:rFonts w:ascii="Arial" w:eastAsia="Times New Roman" w:hAnsi="Arial" w:cs="Times New Roman"/>
          <w:color w:val="000000"/>
          <w:sz w:val="22"/>
          <w:szCs w:val="22"/>
        </w:rPr>
        <w:t>nto při zpracování osobních údajů dodržovat veškeré platné a účinné právní předpisy, zejména nařízení Evropského parlamentu a Rady (EU) č. 2016/679 o ochraně fyzických osob v souvislosti se zpracováním osobních údajů a o volném pohybu těchto údajů a o zrušení směrnice 95/46/ES (dále jen „Obecné nařízení“).</w:t>
      </w:r>
    </w:p>
    <w:p w14:paraId="7CBB3BE7" w14:textId="77777777" w:rsidR="00BC43DE" w:rsidRDefault="005220A5">
      <w:pPr>
        <w:numPr>
          <w:ilvl w:val="0"/>
          <w:numId w:val="10"/>
        </w:numPr>
        <w:rPr>
          <w:rFonts w:ascii="Arial" w:hAnsi="Arial"/>
        </w:rPr>
      </w:pPr>
      <w:r>
        <w:rPr>
          <w:rFonts w:ascii="Arial" w:eastAsia="Times New Roman" w:hAnsi="Arial" w:cs="Times New Roman"/>
          <w:sz w:val="22"/>
          <w:szCs w:val="22"/>
        </w:rPr>
        <w:t>Auditor získává osobní údaje na vyžádání od objednatele. Od jejich předání jsou osobní údaje součástí spisu auditora, jehož je auditor správcem.</w:t>
      </w:r>
    </w:p>
    <w:p w14:paraId="7CBB3BE8" w14:textId="77777777" w:rsidR="00BC43DE" w:rsidRDefault="005220A5">
      <w:pPr>
        <w:numPr>
          <w:ilvl w:val="0"/>
          <w:numId w:val="10"/>
        </w:numPr>
        <w:rPr>
          <w:rFonts w:ascii="Arial" w:hAnsi="Arial"/>
        </w:rPr>
      </w:pPr>
      <w:r>
        <w:rPr>
          <w:rFonts w:ascii="Arial" w:eastAsia="Times New Roman" w:hAnsi="Arial" w:cs="Times New Roman"/>
          <w:sz w:val="22"/>
          <w:szCs w:val="22"/>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14:paraId="7CBB3BE9" w14:textId="77777777" w:rsidR="00BC43DE" w:rsidRDefault="005220A5">
      <w:pPr>
        <w:numPr>
          <w:ilvl w:val="0"/>
          <w:numId w:val="10"/>
        </w:numPr>
        <w:spacing w:after="120"/>
        <w:rPr>
          <w:rFonts w:ascii="Arial" w:hAnsi="Arial"/>
        </w:rPr>
      </w:pPr>
      <w:r>
        <w:rPr>
          <w:rFonts w:ascii="Arial" w:eastAsia="Times New Roman" w:hAnsi="Arial" w:cs="Times New Roman"/>
          <w:sz w:val="22"/>
          <w:szCs w:val="22"/>
        </w:rPr>
        <w:t>Auditor se dále zavazuje udržovat veškeré informace zjištěné při plnění této smlouvy v tajnosti, nezveřejňovat je ve vztahu k třetím osobám. Povinnost mlčenlivosti trvá i po skončení účinnosti této smlouvy.</w:t>
      </w:r>
      <w:r>
        <w:rPr>
          <w:rFonts w:ascii="Arial" w:eastAsia="Times New Roman" w:hAnsi="Arial" w:cs="Times New Roman"/>
          <w:b/>
          <w:sz w:val="22"/>
          <w:szCs w:val="22"/>
        </w:rPr>
        <w:t xml:space="preserve"> </w:t>
      </w:r>
    </w:p>
    <w:p w14:paraId="7CBB3BEA" w14:textId="77777777" w:rsidR="00BC43DE" w:rsidRDefault="005220A5">
      <w:pPr>
        <w:pStyle w:val="Nadpis1"/>
        <w:numPr>
          <w:ilvl w:val="0"/>
          <w:numId w:val="0"/>
        </w:numPr>
        <w:jc w:val="both"/>
        <w:rPr>
          <w:rFonts w:ascii="Arial" w:hAnsi="Arial"/>
        </w:rPr>
      </w:pPr>
      <w:r>
        <w:rPr>
          <w:rFonts w:ascii="Arial" w:hAnsi="Arial"/>
          <w:sz w:val="22"/>
          <w:szCs w:val="22"/>
        </w:rPr>
        <w:t>VII. Odstoupení od smlouvy</w:t>
      </w:r>
    </w:p>
    <w:p w14:paraId="7CBB3BEB" w14:textId="77777777" w:rsidR="00BC43DE" w:rsidRDefault="005220A5">
      <w:pPr>
        <w:numPr>
          <w:ilvl w:val="0"/>
          <w:numId w:val="11"/>
        </w:numPr>
        <w:spacing w:after="119"/>
        <w:rPr>
          <w:rFonts w:ascii="Arial" w:hAnsi="Arial"/>
        </w:rPr>
      </w:pPr>
      <w:r>
        <w:rPr>
          <w:rFonts w:ascii="Arial" w:hAnsi="Arial"/>
          <w:sz w:val="22"/>
          <w:szCs w:val="22"/>
        </w:rPr>
        <w:t xml:space="preserve">Auditor je oprávněn od této smlouvy odstoupit, pokud objednatel závažným způsobem </w:t>
      </w:r>
      <w:proofErr w:type="gramStart"/>
      <w:r>
        <w:rPr>
          <w:rFonts w:ascii="Arial" w:hAnsi="Arial"/>
          <w:sz w:val="22"/>
          <w:szCs w:val="22"/>
        </w:rPr>
        <w:t>poruší</w:t>
      </w:r>
      <w:proofErr w:type="gramEnd"/>
      <w:r>
        <w:rPr>
          <w:rFonts w:ascii="Arial" w:hAnsi="Arial"/>
          <w:sz w:val="22"/>
          <w:szCs w:val="22"/>
        </w:rPr>
        <w:t xml:space="preserve"> své povinnosti uvedené v bodě III této smlouvy a nesplní je ani v přiměřené dodatečně stanovené lhůtě. Auditor má též právo v tomto případě vydat zprávu se záporným výrokem, popřípadě výrok </w:t>
      </w:r>
      <w:proofErr w:type="gramStart"/>
      <w:r>
        <w:rPr>
          <w:rFonts w:ascii="Arial" w:hAnsi="Arial"/>
          <w:sz w:val="22"/>
          <w:szCs w:val="22"/>
        </w:rPr>
        <w:t>odmítnout</w:t>
      </w:r>
      <w:proofErr w:type="gramEnd"/>
      <w:r>
        <w:rPr>
          <w:rFonts w:ascii="Arial" w:hAnsi="Arial"/>
          <w:sz w:val="22"/>
          <w:szCs w:val="22"/>
        </w:rPr>
        <w:t xml:space="preserve"> a to bez vlivu na závazek objednatele uhradit smluvní poměrnou část smluvní ceny dle článku IV. této smlouvy.</w:t>
      </w:r>
    </w:p>
    <w:p w14:paraId="7CBB3BEC" w14:textId="77777777" w:rsidR="00BC43DE" w:rsidRDefault="005220A5">
      <w:pPr>
        <w:numPr>
          <w:ilvl w:val="0"/>
          <w:numId w:val="11"/>
        </w:numPr>
        <w:spacing w:after="119"/>
        <w:rPr>
          <w:rFonts w:ascii="Arial" w:hAnsi="Arial"/>
        </w:rPr>
      </w:pPr>
      <w:r>
        <w:rPr>
          <w:rFonts w:ascii="Arial" w:hAnsi="Arial"/>
          <w:sz w:val="22"/>
          <w:szCs w:val="22"/>
        </w:rPr>
        <w:t>Objednatel je oprávněn od smlouvy odstoupit, neprovádí-li auditor povinný audit v souladu s právními předpisy, vnitřními předpisy KAČR nebo etickým kodexem. Rozdílnost názorů na účetní řešení nelze považovat za důvod pro ukončení smluvního vztahu.</w:t>
      </w:r>
    </w:p>
    <w:p w14:paraId="7CBB3BED" w14:textId="77777777" w:rsidR="00BC43DE" w:rsidRDefault="005220A5">
      <w:pPr>
        <w:numPr>
          <w:ilvl w:val="0"/>
          <w:numId w:val="11"/>
        </w:numPr>
        <w:spacing w:after="119"/>
        <w:rPr>
          <w:rFonts w:ascii="Arial" w:hAnsi="Arial"/>
        </w:rPr>
      </w:pPr>
      <w:r>
        <w:rPr>
          <w:rFonts w:ascii="Arial" w:hAnsi="Arial"/>
          <w:sz w:val="22"/>
          <w:szCs w:val="22"/>
        </w:rPr>
        <w:lastRenderedPageBreak/>
        <w:t>Pokud v důsledku odstoupení od smlouvy vznikne druhé smluvní straně škoda, je poškozená strana oprávněna požadovat náhradu takto vzniklé škody.</w:t>
      </w:r>
    </w:p>
    <w:p w14:paraId="7CBB3BEE" w14:textId="77777777" w:rsidR="00BC43DE" w:rsidRDefault="005220A5">
      <w:pPr>
        <w:numPr>
          <w:ilvl w:val="0"/>
          <w:numId w:val="11"/>
        </w:numPr>
        <w:spacing w:after="119"/>
        <w:rPr>
          <w:rFonts w:ascii="Arial" w:hAnsi="Arial"/>
        </w:rPr>
      </w:pPr>
      <w:r>
        <w:rPr>
          <w:rFonts w:ascii="Arial" w:hAnsi="Arial"/>
          <w:sz w:val="22"/>
          <w:szCs w:val="22"/>
        </w:rPr>
        <w:t>V případě, že objednatel je subjektem veřejného zájmu odstoupení od smlouvy o povinném auditu oznámí smluvní strana, která od smlouvy odstoupila, neprodleně Radě pro veřejný dohled nad auditem, a to včetně řádného uvedení důvodů.</w:t>
      </w:r>
    </w:p>
    <w:p w14:paraId="7CBB3BEF" w14:textId="77777777" w:rsidR="00BC43DE" w:rsidRDefault="005220A5">
      <w:pPr>
        <w:pStyle w:val="Nadpis1"/>
        <w:numPr>
          <w:ilvl w:val="0"/>
          <w:numId w:val="0"/>
        </w:numPr>
        <w:jc w:val="both"/>
        <w:rPr>
          <w:rFonts w:ascii="Arial" w:hAnsi="Arial"/>
        </w:rPr>
      </w:pPr>
      <w:r>
        <w:rPr>
          <w:rFonts w:ascii="Arial" w:hAnsi="Arial"/>
          <w:sz w:val="22"/>
          <w:szCs w:val="22"/>
        </w:rPr>
        <w:t>VIII. Závěrečná ustanovení</w:t>
      </w:r>
    </w:p>
    <w:p w14:paraId="7CBB3BF0" w14:textId="77777777" w:rsidR="00BC43DE" w:rsidRDefault="005220A5">
      <w:pPr>
        <w:numPr>
          <w:ilvl w:val="0"/>
          <w:numId w:val="12"/>
        </w:numPr>
        <w:tabs>
          <w:tab w:val="left" w:pos="566"/>
        </w:tabs>
        <w:spacing w:after="119"/>
        <w:rPr>
          <w:rFonts w:ascii="Arial" w:hAnsi="Arial"/>
        </w:rPr>
      </w:pPr>
      <w:r>
        <w:rPr>
          <w:rFonts w:ascii="Arial" w:eastAsia="Times New Roman" w:hAnsi="Arial" w:cs="Times New Roman"/>
          <w:sz w:val="22"/>
          <w:szCs w:val="22"/>
        </w:rPr>
        <w:t xml:space="preserve">Tato smlouva je vyhotovena v elektronické podobě v českém jazyce, přičemž obě smluvní strany </w:t>
      </w:r>
      <w:proofErr w:type="gramStart"/>
      <w:r>
        <w:rPr>
          <w:rFonts w:ascii="Arial" w:eastAsia="Times New Roman" w:hAnsi="Arial" w:cs="Times New Roman"/>
          <w:sz w:val="22"/>
          <w:szCs w:val="22"/>
        </w:rPr>
        <w:t>obdrží</w:t>
      </w:r>
      <w:proofErr w:type="gramEnd"/>
      <w:r>
        <w:rPr>
          <w:rFonts w:ascii="Arial" w:eastAsia="Times New Roman" w:hAnsi="Arial" w:cs="Times New Roman"/>
          <w:sz w:val="22"/>
          <w:szCs w:val="22"/>
        </w:rPr>
        <w:t xml:space="preserve"> její elektronický originál opatřený elektronickými podpisy. Případné další jazykové verze mají pouze informativní povahu. V případě, že tato smlouva z jakéhokoli důvodu nebude vyhotovena v elektronické, ale v papírové podobě, </w:t>
      </w:r>
      <w:proofErr w:type="gramStart"/>
      <w:r>
        <w:rPr>
          <w:rFonts w:ascii="Arial" w:eastAsia="Times New Roman" w:hAnsi="Arial" w:cs="Times New Roman"/>
          <w:sz w:val="22"/>
          <w:szCs w:val="22"/>
        </w:rPr>
        <w:t>obdrží</w:t>
      </w:r>
      <w:proofErr w:type="gramEnd"/>
      <w:r>
        <w:rPr>
          <w:rFonts w:ascii="Arial" w:eastAsia="Times New Roman" w:hAnsi="Arial" w:cs="Times New Roman"/>
          <w:sz w:val="22"/>
          <w:szCs w:val="22"/>
        </w:rPr>
        <w:t xml:space="preserve"> po jednom vyhotovení každá smluvní strana, přičemž obě vyhotovení mají platnost originálu.</w:t>
      </w:r>
    </w:p>
    <w:p w14:paraId="7CBB3BF1" w14:textId="77777777" w:rsidR="00BC43DE" w:rsidRDefault="005220A5">
      <w:pPr>
        <w:numPr>
          <w:ilvl w:val="0"/>
          <w:numId w:val="12"/>
        </w:numPr>
        <w:tabs>
          <w:tab w:val="left" w:pos="566"/>
        </w:tabs>
        <w:spacing w:after="119"/>
        <w:rPr>
          <w:rFonts w:ascii="Arial" w:hAnsi="Arial"/>
        </w:rPr>
      </w:pPr>
      <w:r>
        <w:rPr>
          <w:rFonts w:ascii="Arial" w:eastAsia="Times New Roman" w:hAnsi="Arial" w:cs="Times New Roman"/>
          <w:sz w:val="22"/>
          <w:szCs w:val="22"/>
        </w:rPr>
        <w:t>Jakékoliv změny nebo dodatky této smlouvy musí být vypracovány písemně ve stejném počtu vyhotovení jako vlastní smlouva.</w:t>
      </w:r>
    </w:p>
    <w:p w14:paraId="7CBB3BF2" w14:textId="77777777" w:rsidR="00BC43DE" w:rsidRDefault="005220A5">
      <w:pPr>
        <w:numPr>
          <w:ilvl w:val="0"/>
          <w:numId w:val="12"/>
        </w:numPr>
        <w:tabs>
          <w:tab w:val="left" w:pos="566"/>
        </w:tabs>
        <w:spacing w:after="119"/>
        <w:rPr>
          <w:rFonts w:ascii="Arial" w:hAnsi="Arial"/>
        </w:rPr>
      </w:pPr>
      <w:r>
        <w:rPr>
          <w:rFonts w:ascii="Arial" w:eastAsia="Times New Roman" w:hAnsi="Arial" w:cs="Times New Roman"/>
          <w:sz w:val="22"/>
          <w:szCs w:val="22"/>
        </w:rPr>
        <w:t>Auditor bezvýhradně souhlasí se zveřejněním plného znění smlouvy tak, aby tato smlouva mohla být předmětem poskytnuté informace ve smyslu zákona č. 106/1999 Sb., o svobodném přístupu k informacím, ve znění pozdějších předpisů. Auditor rovněž souhlasí se uveřejněním plného znění smlouvy dle zákona č. 340/2015 Sb., o zvláštních podmínkách účinnosti některých smluv, uveřejňování těchto smluv a o registru smluv (zákon o registru smluv), ve znění pozdějších předpisů (dále jen „zákon o registru smluv“) a dle § 219 zákona č. 134/2016 Sb., o zadávání veřejných zakázek, ve znění pozdějších předpisů.</w:t>
      </w:r>
    </w:p>
    <w:p w14:paraId="7CBB3BF3" w14:textId="77777777" w:rsidR="00BC43DE" w:rsidRDefault="005220A5">
      <w:pPr>
        <w:numPr>
          <w:ilvl w:val="0"/>
          <w:numId w:val="12"/>
        </w:numPr>
        <w:tabs>
          <w:tab w:val="left" w:pos="566"/>
        </w:tabs>
        <w:spacing w:after="119"/>
        <w:rPr>
          <w:rFonts w:ascii="Arial" w:hAnsi="Arial"/>
        </w:rPr>
      </w:pPr>
      <w:r>
        <w:rPr>
          <w:rFonts w:ascii="Arial" w:eastAsia="Times New Roman" w:hAnsi="Arial" w:cs="Times New Roman"/>
          <w:sz w:val="22"/>
          <w:szCs w:val="22"/>
        </w:rPr>
        <w:t>Tato smlouva nabývá platnosti dnem podpisu smlouvy oprávněnými zástupci obou smluvních stran a účinnosti v souladu se zákonem č. 340/2015 Sb., o zvláštních podmínkách účinnosti některých smluv, uveřejňování těchto smluv a o registru smluv (zákon o registru smluv), ve znění pozdějších předpisů.</w:t>
      </w:r>
    </w:p>
    <w:p w14:paraId="7CBB3BF4" w14:textId="7BDCC8C1" w:rsidR="00BC43DE" w:rsidRDefault="005220A5">
      <w:pPr>
        <w:numPr>
          <w:ilvl w:val="0"/>
          <w:numId w:val="12"/>
        </w:numPr>
        <w:tabs>
          <w:tab w:val="left" w:pos="566"/>
        </w:tabs>
        <w:spacing w:after="397"/>
        <w:rPr>
          <w:rFonts w:ascii="Arial" w:hAnsi="Arial"/>
        </w:rPr>
      </w:pPr>
      <w:r>
        <w:rPr>
          <w:rFonts w:ascii="Arial" w:eastAsia="Times New Roman" w:hAnsi="Arial" w:cs="Times New Roman"/>
          <w:sz w:val="22"/>
          <w:szCs w:val="22"/>
        </w:rPr>
        <w:t>Účastníci této smlouvy prohlašují, že souhlasí s jejím obsahem, že tato byla sepsána na základě pravdivých údajů, jejich pravé a svobodné vůle a nebyla ujednána v tísni ani za jinak jednostranně nevýhodných podmínek. Na důkaz toho připojují své podpisy.</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BC43DE" w14:paraId="7CBB3BF7" w14:textId="77777777">
        <w:tc>
          <w:tcPr>
            <w:tcW w:w="4819" w:type="dxa"/>
            <w:shd w:val="clear" w:color="auto" w:fill="auto"/>
          </w:tcPr>
          <w:p w14:paraId="7CBB3BF5" w14:textId="77777777" w:rsidR="00BC43DE" w:rsidRDefault="005220A5">
            <w:pPr>
              <w:widowControl w:val="0"/>
              <w:snapToGrid w:val="0"/>
              <w:jc w:val="left"/>
              <w:rPr>
                <w:rFonts w:ascii="Arial" w:hAnsi="Arial"/>
              </w:rPr>
            </w:pPr>
            <w:r>
              <w:rPr>
                <w:rFonts w:ascii="Arial" w:eastAsia="Times New Roman" w:hAnsi="Arial" w:cs="Times New Roman"/>
                <w:sz w:val="22"/>
                <w:szCs w:val="22"/>
                <w:lang w:bidi="ar-SA"/>
              </w:rPr>
              <w:t>Dne</w:t>
            </w:r>
          </w:p>
        </w:tc>
        <w:tc>
          <w:tcPr>
            <w:tcW w:w="4818" w:type="dxa"/>
            <w:shd w:val="clear" w:color="auto" w:fill="auto"/>
          </w:tcPr>
          <w:p w14:paraId="7CBB3BF6" w14:textId="77777777" w:rsidR="00BC43DE" w:rsidRDefault="005220A5">
            <w:pPr>
              <w:widowControl w:val="0"/>
              <w:snapToGrid w:val="0"/>
              <w:jc w:val="left"/>
              <w:rPr>
                <w:rFonts w:ascii="Arial" w:hAnsi="Arial"/>
              </w:rPr>
            </w:pPr>
            <w:r>
              <w:rPr>
                <w:rFonts w:ascii="Arial" w:eastAsia="Times New Roman" w:hAnsi="Arial" w:cs="Times New Roman"/>
                <w:sz w:val="22"/>
                <w:szCs w:val="22"/>
                <w:lang w:bidi="ar-SA"/>
              </w:rPr>
              <w:t>Dne</w:t>
            </w:r>
          </w:p>
        </w:tc>
      </w:tr>
      <w:tr w:rsidR="00BC43DE" w14:paraId="7CBB3BFA" w14:textId="77777777">
        <w:tc>
          <w:tcPr>
            <w:tcW w:w="4819" w:type="dxa"/>
            <w:shd w:val="clear" w:color="auto" w:fill="auto"/>
          </w:tcPr>
          <w:p w14:paraId="7CBB3BF8" w14:textId="77777777" w:rsidR="00BC43DE" w:rsidRDefault="005220A5">
            <w:pPr>
              <w:widowControl w:val="0"/>
              <w:spacing w:before="850"/>
              <w:jc w:val="left"/>
              <w:rPr>
                <w:rFonts w:ascii="Arial" w:hAnsi="Arial"/>
              </w:rPr>
            </w:pPr>
            <w:r>
              <w:rPr>
                <w:rFonts w:ascii="Arial" w:eastAsia="Times New Roman" w:hAnsi="Arial" w:cs="Times New Roman"/>
                <w:sz w:val="22"/>
                <w:szCs w:val="22"/>
                <w:lang w:bidi="ar-SA"/>
              </w:rPr>
              <w:t>____________________________</w:t>
            </w:r>
          </w:p>
        </w:tc>
        <w:tc>
          <w:tcPr>
            <w:tcW w:w="4818" w:type="dxa"/>
            <w:shd w:val="clear" w:color="auto" w:fill="auto"/>
          </w:tcPr>
          <w:p w14:paraId="7CBB3BF9" w14:textId="77777777" w:rsidR="00BC43DE" w:rsidRDefault="005220A5">
            <w:pPr>
              <w:widowControl w:val="0"/>
              <w:spacing w:before="850"/>
              <w:jc w:val="left"/>
              <w:rPr>
                <w:rFonts w:ascii="Arial" w:hAnsi="Arial"/>
              </w:rPr>
            </w:pPr>
            <w:r>
              <w:rPr>
                <w:rFonts w:ascii="Arial" w:eastAsia="Times New Roman" w:hAnsi="Arial" w:cs="Times New Roman"/>
                <w:sz w:val="22"/>
                <w:szCs w:val="22"/>
                <w:lang w:bidi="ar-SA"/>
              </w:rPr>
              <w:t>____________________________</w:t>
            </w:r>
          </w:p>
        </w:tc>
      </w:tr>
      <w:tr w:rsidR="00BC43DE" w14:paraId="7CBB3BFF" w14:textId="77777777">
        <w:tc>
          <w:tcPr>
            <w:tcW w:w="4819" w:type="dxa"/>
            <w:shd w:val="clear" w:color="auto" w:fill="auto"/>
          </w:tcPr>
          <w:p w14:paraId="7CBB3BFB" w14:textId="77777777" w:rsidR="00BC43DE" w:rsidRDefault="005220A5">
            <w:pPr>
              <w:pStyle w:val="Zkladntext"/>
              <w:widowControl w:val="0"/>
              <w:jc w:val="left"/>
              <w:rPr>
                <w:rFonts w:ascii="Arial" w:hAnsi="Arial"/>
              </w:rPr>
            </w:pPr>
            <w:r>
              <w:rPr>
                <w:rFonts w:ascii="Arial" w:hAnsi="Arial"/>
                <w:sz w:val="22"/>
                <w:szCs w:val="22"/>
              </w:rPr>
              <w:t>Auditor</w:t>
            </w:r>
          </w:p>
          <w:p w14:paraId="7CBB3BFC" w14:textId="77777777" w:rsidR="00BC43DE" w:rsidRDefault="005220A5">
            <w:pPr>
              <w:pStyle w:val="Zkladntext"/>
              <w:widowControl w:val="0"/>
              <w:jc w:val="left"/>
              <w:rPr>
                <w:rFonts w:ascii="Arial" w:hAnsi="Arial"/>
              </w:rPr>
            </w:pPr>
            <w:bookmarkStart w:id="2" w:name="__DdeLink__6086_898180489"/>
            <w:r>
              <w:rPr>
                <w:rFonts w:ascii="Arial" w:hAnsi="Arial"/>
                <w:sz w:val="22"/>
                <w:szCs w:val="22"/>
              </w:rPr>
              <w:t xml:space="preserve">Ing. Miroslava </w:t>
            </w:r>
            <w:proofErr w:type="spellStart"/>
            <w:r>
              <w:rPr>
                <w:rFonts w:ascii="Arial" w:hAnsi="Arial"/>
                <w:sz w:val="22"/>
                <w:szCs w:val="22"/>
              </w:rPr>
              <w:t>Nebuželská</w:t>
            </w:r>
            <w:proofErr w:type="spellEnd"/>
            <w:r>
              <w:rPr>
                <w:rFonts w:ascii="Arial" w:hAnsi="Arial"/>
                <w:sz w:val="22"/>
                <w:szCs w:val="22"/>
              </w:rPr>
              <w:t>, jednatelka společnosti</w:t>
            </w:r>
            <w:bookmarkEnd w:id="2"/>
          </w:p>
        </w:tc>
        <w:tc>
          <w:tcPr>
            <w:tcW w:w="4818" w:type="dxa"/>
            <w:shd w:val="clear" w:color="auto" w:fill="auto"/>
          </w:tcPr>
          <w:p w14:paraId="7CBB3BFD" w14:textId="77777777" w:rsidR="00BC43DE" w:rsidRDefault="005220A5">
            <w:pPr>
              <w:pStyle w:val="Zkladntext"/>
              <w:widowControl w:val="0"/>
              <w:jc w:val="left"/>
              <w:rPr>
                <w:rFonts w:ascii="Arial" w:hAnsi="Arial"/>
              </w:rPr>
            </w:pPr>
            <w:r>
              <w:rPr>
                <w:rFonts w:ascii="Arial" w:hAnsi="Arial"/>
                <w:sz w:val="22"/>
                <w:szCs w:val="22"/>
              </w:rPr>
              <w:t>Objednatel</w:t>
            </w:r>
          </w:p>
          <w:p w14:paraId="7CBB3BFE" w14:textId="77777777" w:rsidR="00BC43DE" w:rsidRDefault="005220A5">
            <w:pPr>
              <w:pStyle w:val="Zkladntext"/>
              <w:widowControl w:val="0"/>
              <w:snapToGrid w:val="0"/>
              <w:jc w:val="left"/>
              <w:rPr>
                <w:rFonts w:ascii="Arial" w:eastAsia="Times New Roman" w:hAnsi="Arial" w:cs="Times New Roman"/>
                <w:sz w:val="22"/>
                <w:szCs w:val="22"/>
              </w:rPr>
            </w:pPr>
            <w:r>
              <w:rPr>
                <w:rFonts w:ascii="Arial" w:eastAsia="Times New Roman" w:hAnsi="Arial" w:cs="Times New Roman"/>
                <w:sz w:val="22"/>
                <w:szCs w:val="22"/>
              </w:rPr>
              <w:t>Ing. Jakub Kleindienst, kvestor</w:t>
            </w:r>
          </w:p>
        </w:tc>
      </w:tr>
    </w:tbl>
    <w:p w14:paraId="7CBB3C00" w14:textId="77777777" w:rsidR="00BC43DE" w:rsidRDefault="00BC43DE">
      <w:pPr>
        <w:tabs>
          <w:tab w:val="left" w:pos="566"/>
        </w:tabs>
        <w:spacing w:after="119"/>
        <w:jc w:val="left"/>
        <w:rPr>
          <w:rFonts w:ascii="Arial" w:hAnsi="Arial"/>
        </w:rPr>
      </w:pPr>
    </w:p>
    <w:sectPr w:rsidR="00BC43DE">
      <w:headerReference w:type="default" r:id="rId9"/>
      <w:footerReference w:type="default" r:id="rId10"/>
      <w:pgSz w:w="11906" w:h="16838"/>
      <w:pgMar w:top="1134" w:right="1134" w:bottom="1386" w:left="1134" w:header="0" w:footer="85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5C42" w14:textId="77777777" w:rsidR="00C70E57" w:rsidRDefault="00C70E57">
      <w:pPr>
        <w:spacing w:after="0"/>
      </w:pPr>
      <w:r>
        <w:separator/>
      </w:r>
    </w:p>
  </w:endnote>
  <w:endnote w:type="continuationSeparator" w:id="0">
    <w:p w14:paraId="32F00EC0" w14:textId="77777777" w:rsidR="00C70E57" w:rsidRDefault="00C70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ans">
    <w:altName w:val="Arial"/>
    <w:charset w:val="EE"/>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3C01" w14:textId="77777777" w:rsidR="00BC43DE" w:rsidRDefault="005220A5">
    <w:pPr>
      <w:pStyle w:val="Zpat"/>
      <w:jc w:val="right"/>
      <w:rPr>
        <w:sz w:val="16"/>
        <w:szCs w:val="16"/>
      </w:rP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5</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Pr>
        <w:rFonts w:ascii="Arial" w:hAnsi="Arial"/>
        <w:sz w:val="16"/>
        <w:szCs w:val="16"/>
      </w:rPr>
      <w:t>5</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7295" w14:textId="77777777" w:rsidR="00C70E57" w:rsidRDefault="00C70E57">
      <w:pPr>
        <w:spacing w:after="0"/>
      </w:pPr>
      <w:r>
        <w:separator/>
      </w:r>
    </w:p>
  </w:footnote>
  <w:footnote w:type="continuationSeparator" w:id="0">
    <w:p w14:paraId="7B9B0FB9" w14:textId="77777777" w:rsidR="00C70E57" w:rsidRDefault="00C70E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41E5" w14:textId="77777777" w:rsidR="0018256B" w:rsidRDefault="0018256B" w:rsidP="0018256B">
    <w:pPr>
      <w:pStyle w:val="Zhlav"/>
      <w:jc w:val="right"/>
    </w:pPr>
  </w:p>
  <w:p w14:paraId="73FC02B0" w14:textId="77777777" w:rsidR="0018256B" w:rsidRDefault="0018256B" w:rsidP="0018256B">
    <w:pPr>
      <w:pStyle w:val="Zhlav"/>
      <w:jc w:val="right"/>
    </w:pPr>
  </w:p>
  <w:p w14:paraId="1770F35D" w14:textId="5B30A377" w:rsidR="0018256B" w:rsidRDefault="0018256B" w:rsidP="0018256B">
    <w:pPr>
      <w:pStyle w:val="Zhlav"/>
      <w:jc w:val="right"/>
    </w:pPr>
    <w:r>
      <w:t>PO1239/2023</w:t>
    </w:r>
  </w:p>
  <w:p w14:paraId="07BBDCA6" w14:textId="77777777" w:rsidR="00192523" w:rsidRDefault="001925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D1A"/>
    <w:multiLevelType w:val="multilevel"/>
    <w:tmpl w:val="321A9F2A"/>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F33B61"/>
    <w:multiLevelType w:val="multilevel"/>
    <w:tmpl w:val="713A3ABC"/>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B2634E"/>
    <w:multiLevelType w:val="multilevel"/>
    <w:tmpl w:val="E1308622"/>
    <w:lvl w:ilvl="0">
      <w:start w:val="1"/>
      <w:numFmt w:val="decimal"/>
      <w:lvlText w:val="%1."/>
      <w:lvlJc w:val="left"/>
      <w:pPr>
        <w:tabs>
          <w:tab w:val="num" w:pos="363"/>
        </w:tabs>
        <w:ind w:left="363" w:hanging="363"/>
      </w:pPr>
      <w:rPr>
        <w:rFonts w:ascii="Times New Roman" w:hAnsi="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4896072"/>
    <w:multiLevelType w:val="multilevel"/>
    <w:tmpl w:val="92F8A12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D476CE"/>
    <w:multiLevelType w:val="multilevel"/>
    <w:tmpl w:val="2C66A8B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35E5585C"/>
    <w:multiLevelType w:val="multilevel"/>
    <w:tmpl w:val="F68E5D60"/>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0565384"/>
    <w:multiLevelType w:val="multilevel"/>
    <w:tmpl w:val="7E169642"/>
    <w:lvl w:ilvl="0">
      <w:start w:val="1"/>
      <w:numFmt w:val="decimal"/>
      <w:lvlText w:val="%1."/>
      <w:lvlJc w:val="left"/>
      <w:pPr>
        <w:tabs>
          <w:tab w:val="num" w:pos="363"/>
        </w:tabs>
        <w:ind w:left="363" w:hanging="363"/>
      </w:pPr>
      <w:rPr>
        <w:rFonts w:ascii="Times New Roman" w:eastAsia="Times New Roman" w:hAnsi="Times New Roman" w:cs="Times New Roman"/>
        <w:b w:val="0"/>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0F23C77"/>
    <w:multiLevelType w:val="multilevel"/>
    <w:tmpl w:val="C3DECABC"/>
    <w:lvl w:ilvl="0">
      <w:start w:val="1"/>
      <w:numFmt w:val="bullet"/>
      <w:lvlText w:val=""/>
      <w:lvlJc w:val="left"/>
      <w:pPr>
        <w:tabs>
          <w:tab w:val="num" w:pos="1110"/>
        </w:tabs>
        <w:ind w:left="1110" w:hanging="360"/>
      </w:pPr>
      <w:rPr>
        <w:rFonts w:ascii="Symbol" w:hAnsi="Symbol" w:cs="Symbol" w:hint="default"/>
      </w:rPr>
    </w:lvl>
    <w:lvl w:ilvl="1">
      <w:start w:val="1"/>
      <w:numFmt w:val="bullet"/>
      <w:lvlText w:val="◦"/>
      <w:lvlJc w:val="left"/>
      <w:pPr>
        <w:tabs>
          <w:tab w:val="num" w:pos="1470"/>
        </w:tabs>
        <w:ind w:left="1470" w:hanging="360"/>
      </w:pPr>
      <w:rPr>
        <w:rFonts w:ascii="OpenSymbol" w:hAnsi="OpenSymbol" w:cs="OpenSymbol" w:hint="default"/>
      </w:rPr>
    </w:lvl>
    <w:lvl w:ilvl="2">
      <w:start w:val="1"/>
      <w:numFmt w:val="bullet"/>
      <w:lvlText w:val="▪"/>
      <w:lvlJc w:val="left"/>
      <w:pPr>
        <w:tabs>
          <w:tab w:val="num" w:pos="1830"/>
        </w:tabs>
        <w:ind w:left="1830" w:hanging="360"/>
      </w:pPr>
      <w:rPr>
        <w:rFonts w:ascii="OpenSymbol" w:hAnsi="OpenSymbol" w:cs="OpenSymbol" w:hint="default"/>
      </w:rPr>
    </w:lvl>
    <w:lvl w:ilvl="3">
      <w:start w:val="1"/>
      <w:numFmt w:val="bullet"/>
      <w:lvlText w:val=""/>
      <w:lvlJc w:val="left"/>
      <w:pPr>
        <w:tabs>
          <w:tab w:val="num" w:pos="2190"/>
        </w:tabs>
        <w:ind w:left="2190" w:hanging="360"/>
      </w:pPr>
      <w:rPr>
        <w:rFonts w:ascii="Symbol" w:hAnsi="Symbol" w:cs="Symbol" w:hint="default"/>
      </w:rPr>
    </w:lvl>
    <w:lvl w:ilvl="4">
      <w:start w:val="1"/>
      <w:numFmt w:val="bullet"/>
      <w:lvlText w:val="◦"/>
      <w:lvlJc w:val="left"/>
      <w:pPr>
        <w:tabs>
          <w:tab w:val="num" w:pos="2550"/>
        </w:tabs>
        <w:ind w:left="2550" w:hanging="360"/>
      </w:pPr>
      <w:rPr>
        <w:rFonts w:ascii="OpenSymbol" w:hAnsi="OpenSymbol" w:cs="OpenSymbol" w:hint="default"/>
      </w:rPr>
    </w:lvl>
    <w:lvl w:ilvl="5">
      <w:start w:val="1"/>
      <w:numFmt w:val="bullet"/>
      <w:lvlText w:val="▪"/>
      <w:lvlJc w:val="left"/>
      <w:pPr>
        <w:tabs>
          <w:tab w:val="num" w:pos="2910"/>
        </w:tabs>
        <w:ind w:left="2910" w:hanging="360"/>
      </w:pPr>
      <w:rPr>
        <w:rFonts w:ascii="OpenSymbol" w:hAnsi="OpenSymbol" w:cs="OpenSymbol" w:hint="default"/>
      </w:rPr>
    </w:lvl>
    <w:lvl w:ilvl="6">
      <w:start w:val="1"/>
      <w:numFmt w:val="bullet"/>
      <w:lvlText w:val=""/>
      <w:lvlJc w:val="left"/>
      <w:pPr>
        <w:tabs>
          <w:tab w:val="num" w:pos="3270"/>
        </w:tabs>
        <w:ind w:left="3270" w:hanging="360"/>
      </w:pPr>
      <w:rPr>
        <w:rFonts w:ascii="Symbol" w:hAnsi="Symbol" w:cs="Symbol" w:hint="default"/>
      </w:rPr>
    </w:lvl>
    <w:lvl w:ilvl="7">
      <w:start w:val="1"/>
      <w:numFmt w:val="bullet"/>
      <w:lvlText w:val="◦"/>
      <w:lvlJc w:val="left"/>
      <w:pPr>
        <w:tabs>
          <w:tab w:val="num" w:pos="3630"/>
        </w:tabs>
        <w:ind w:left="3630" w:hanging="360"/>
      </w:pPr>
      <w:rPr>
        <w:rFonts w:ascii="OpenSymbol" w:hAnsi="OpenSymbol" w:cs="OpenSymbol" w:hint="default"/>
      </w:rPr>
    </w:lvl>
    <w:lvl w:ilvl="8">
      <w:start w:val="1"/>
      <w:numFmt w:val="bullet"/>
      <w:lvlText w:val="▪"/>
      <w:lvlJc w:val="left"/>
      <w:pPr>
        <w:tabs>
          <w:tab w:val="num" w:pos="3990"/>
        </w:tabs>
        <w:ind w:left="3990" w:hanging="360"/>
      </w:pPr>
      <w:rPr>
        <w:rFonts w:ascii="OpenSymbol" w:hAnsi="OpenSymbol" w:cs="OpenSymbol" w:hint="default"/>
      </w:rPr>
    </w:lvl>
  </w:abstractNum>
  <w:abstractNum w:abstractNumId="8" w15:restartNumberingAfterBreak="0">
    <w:nsid w:val="52717BAF"/>
    <w:multiLevelType w:val="multilevel"/>
    <w:tmpl w:val="90A470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46E4AFD"/>
    <w:multiLevelType w:val="multilevel"/>
    <w:tmpl w:val="10F4DE1E"/>
    <w:lvl w:ilvl="0">
      <w:start w:val="3"/>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B73248F"/>
    <w:multiLevelType w:val="multilevel"/>
    <w:tmpl w:val="81C84E10"/>
    <w:lvl w:ilvl="0">
      <w:start w:val="1"/>
      <w:numFmt w:val="decimal"/>
      <w:lvlText w:val="%1."/>
      <w:lvlJc w:val="left"/>
      <w:pPr>
        <w:tabs>
          <w:tab w:val="num" w:pos="360"/>
        </w:tabs>
        <w:ind w:left="360" w:hanging="360"/>
      </w:pPr>
      <w:rPr>
        <w:rFonts w:eastAsia="Times New Roman" w:cs="Times New Roman"/>
        <w:b w:val="0"/>
        <w:bCs w:val="0"/>
        <w:sz w:val="24"/>
        <w:szCs w:val="24"/>
        <w:lang w:val="cs-CZ"/>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7257330F"/>
    <w:multiLevelType w:val="multilevel"/>
    <w:tmpl w:val="FD44B97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2" w15:restartNumberingAfterBreak="0">
    <w:nsid w:val="75E532C2"/>
    <w:multiLevelType w:val="multilevel"/>
    <w:tmpl w:val="EC08AF5A"/>
    <w:lvl w:ilvl="0">
      <w:start w:val="1"/>
      <w:numFmt w:val="decimal"/>
      <w:lvlText w:val="%1."/>
      <w:lvlJc w:val="left"/>
      <w:pPr>
        <w:tabs>
          <w:tab w:val="num" w:pos="363"/>
        </w:tabs>
        <w:ind w:left="363" w:hanging="363"/>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CE360C"/>
    <w:multiLevelType w:val="multilevel"/>
    <w:tmpl w:val="56EC23E8"/>
    <w:lvl w:ilvl="0">
      <w:start w:val="1"/>
      <w:numFmt w:val="decimal"/>
      <w:lvlText w:val="%1."/>
      <w:lvlJc w:val="left"/>
      <w:pPr>
        <w:tabs>
          <w:tab w:val="num" w:pos="363"/>
        </w:tabs>
        <w:ind w:left="363" w:hanging="363"/>
      </w:pPr>
      <w:rPr>
        <w:rFonts w:ascii="Arial" w:hAnsi="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F605F5F"/>
    <w:multiLevelType w:val="multilevel"/>
    <w:tmpl w:val="23D884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02298583">
    <w:abstractNumId w:val="5"/>
  </w:num>
  <w:num w:numId="2" w16cid:durableId="626736104">
    <w:abstractNumId w:val="13"/>
  </w:num>
  <w:num w:numId="3" w16cid:durableId="378631266">
    <w:abstractNumId w:val="4"/>
  </w:num>
  <w:num w:numId="4" w16cid:durableId="1326932530">
    <w:abstractNumId w:val="8"/>
  </w:num>
  <w:num w:numId="5" w16cid:durableId="1953243724">
    <w:abstractNumId w:val="0"/>
  </w:num>
  <w:num w:numId="6" w16cid:durableId="259603338">
    <w:abstractNumId w:val="9"/>
  </w:num>
  <w:num w:numId="7" w16cid:durableId="1150288663">
    <w:abstractNumId w:val="2"/>
  </w:num>
  <w:num w:numId="8" w16cid:durableId="1477991012">
    <w:abstractNumId w:val="12"/>
  </w:num>
  <w:num w:numId="9" w16cid:durableId="214968085">
    <w:abstractNumId w:val="1"/>
  </w:num>
  <w:num w:numId="10" w16cid:durableId="405349012">
    <w:abstractNumId w:val="10"/>
  </w:num>
  <w:num w:numId="11" w16cid:durableId="493186970">
    <w:abstractNumId w:val="3"/>
  </w:num>
  <w:num w:numId="12" w16cid:durableId="1771583558">
    <w:abstractNumId w:val="6"/>
  </w:num>
  <w:num w:numId="13" w16cid:durableId="154225175">
    <w:abstractNumId w:val="7"/>
  </w:num>
  <w:num w:numId="14" w16cid:durableId="326858395">
    <w:abstractNumId w:val="11"/>
  </w:num>
  <w:num w:numId="15" w16cid:durableId="618225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43DE"/>
    <w:rsid w:val="0018256B"/>
    <w:rsid w:val="00192523"/>
    <w:rsid w:val="00441313"/>
    <w:rsid w:val="005220A5"/>
    <w:rsid w:val="00B502B2"/>
    <w:rsid w:val="00BC43DE"/>
    <w:rsid w:val="00C70E57"/>
    <w:rsid w:val="00EB31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3B7D"/>
  <w15:docId w15:val="{B51668FA-7435-420B-A181-FD918740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spacing w:after="113"/>
      <w:jc w:val="both"/>
    </w:pPr>
    <w:rPr>
      <w:rFonts w:ascii="Times New Roman" w:hAnsi="Times New Roman"/>
      <w:sz w:val="24"/>
    </w:rPr>
  </w:style>
  <w:style w:type="paragraph" w:styleId="Nadpis1">
    <w:name w:val="heading 1"/>
    <w:basedOn w:val="Normln"/>
    <w:next w:val="Normln"/>
    <w:uiPriority w:val="9"/>
    <w:qFormat/>
    <w:pPr>
      <w:keepNext/>
      <w:numPr>
        <w:numId w:val="1"/>
      </w:numPr>
      <w:spacing w:before="227" w:after="227"/>
      <w:jc w:val="center"/>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qFormat/>
    <w:rPr>
      <w:color w:val="000080"/>
      <w:u w:val="single"/>
    </w:rPr>
  </w:style>
  <w:style w:type="character" w:customStyle="1" w:styleId="WW8Num4z0">
    <w:name w:val="WW8Num4z0"/>
    <w:qFormat/>
    <w:rPr>
      <w:rFonts w:eastAsia="Times New Roman" w:cs="Times New Roman"/>
      <w:sz w:val="24"/>
      <w:szCs w:val="20"/>
      <w:lang w:val="cs-CZ"/>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0">
    <w:name w:val="WW8Num2z0"/>
    <w:qFormat/>
    <w:rPr>
      <w:sz w:val="24"/>
      <w:szCs w:val="24"/>
    </w:rPr>
  </w:style>
  <w:style w:type="character" w:customStyle="1" w:styleId="WW8Num7z0">
    <w:name w:val="WW8Num7z0"/>
    <w:qFormat/>
    <w:rPr>
      <w:rFonts w:eastAsia="Times New Roman" w:cs="Times New Roman"/>
      <w:b w:val="0"/>
      <w:bCs w:val="0"/>
      <w:sz w:val="24"/>
      <w:szCs w:val="20"/>
      <w:lang w:val="cs-CZ"/>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sz w:val="24"/>
      <w:szCs w:val="24"/>
      <w:lang w:val="cs-CZ"/>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eastAsia="Times New Roman" w:cs="Times New Roman"/>
      <w:sz w:val="24"/>
      <w:szCs w:val="20"/>
      <w:lang w:val="cs-CZ"/>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Symbolyproslovn">
    <w:name w:val="Symboly pro číslování"/>
    <w:qFormat/>
    <w:rPr>
      <w:rFonts w:ascii="Arial" w:hAnsi="Arial"/>
      <w:sz w:val="22"/>
      <w:szCs w:val="22"/>
    </w:rPr>
  </w:style>
  <w:style w:type="character" w:customStyle="1" w:styleId="Odrky">
    <w:name w:val="Odrážky"/>
    <w:qFormat/>
    <w:rPr>
      <w:rFonts w:ascii="OpenSymbol" w:eastAsia="OpenSymbol" w:hAnsi="OpenSymbol" w:cs="OpenSymbol"/>
    </w:rPr>
  </w:style>
  <w:style w:type="character" w:styleId="slodku">
    <w:name w:val="line number"/>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rPr>
      <w:rFonts w:cs="Arial Unicode M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customStyle="1" w:styleId="Rejstk">
    <w:name w:val="Rejstřík"/>
    <w:basedOn w:val="Normln"/>
    <w:qFormat/>
    <w:pPr>
      <w:suppressLineNumbers/>
    </w:pPr>
  </w:style>
  <w:style w:type="paragraph" w:customStyle="1" w:styleId="Obsahtabulky">
    <w:name w:val="Obsah tabulky"/>
    <w:basedOn w:val="Normln"/>
    <w:qFormat/>
    <w:pPr>
      <w:widowControl w:val="0"/>
      <w:suppressLineNumbers/>
      <w:spacing w:after="0"/>
      <w:textAlignment w:val="top"/>
    </w:pPr>
  </w:style>
  <w:style w:type="paragraph" w:customStyle="1" w:styleId="Zhlavazpat">
    <w:name w:val="Záhlaví a zápatí"/>
    <w:basedOn w:val="Normln"/>
    <w:qFormat/>
  </w:style>
  <w:style w:type="paragraph" w:customStyle="1" w:styleId="HeaderandFooter">
    <w:name w:val="Header and Footer"/>
    <w:basedOn w:val="Normln"/>
    <w:qFormat/>
  </w:style>
  <w:style w:type="paragraph" w:styleId="Zpat">
    <w:name w:val="footer"/>
    <w:basedOn w:val="Normln"/>
    <w:pPr>
      <w:suppressLineNumbers/>
      <w:tabs>
        <w:tab w:val="center" w:pos="4819"/>
        <w:tab w:val="right" w:pos="9638"/>
      </w:tabs>
    </w:pPr>
  </w:style>
  <w:style w:type="paragraph" w:customStyle="1" w:styleId="Nadpistabulky">
    <w:name w:val="Nadpis tabulky"/>
    <w:basedOn w:val="Obsahtabulky"/>
    <w:qFormat/>
    <w:pPr>
      <w:jc w:val="center"/>
    </w:pPr>
    <w:rPr>
      <w:b/>
      <w:bCs/>
    </w:rPr>
  </w:style>
  <w:style w:type="paragraph" w:customStyle="1" w:styleId="Vlastnrejstk1">
    <w:name w:val="Vlastní rejstřík 1"/>
    <w:basedOn w:val="Rejstk"/>
    <w:qFormat/>
    <w:pPr>
      <w:tabs>
        <w:tab w:val="right" w:leader="dot" w:pos="9638"/>
      </w:tabs>
      <w:spacing w:after="57"/>
      <w:ind w:left="720"/>
    </w:pPr>
  </w:style>
  <w:style w:type="paragraph" w:customStyle="1" w:styleId="Zatekslovn1">
    <w:name w:val="Začátek číslování 1"/>
    <w:basedOn w:val="Seznam"/>
    <w:next w:val="Seznamsodrkami4"/>
    <w:qFormat/>
    <w:pPr>
      <w:spacing w:after="57"/>
      <w:ind w:left="720" w:hanging="363"/>
    </w:pPr>
  </w:style>
  <w:style w:type="paragraph" w:styleId="Seznamsodrkami4">
    <w:name w:val="List Bullet 4"/>
    <w:basedOn w:val="Seznam"/>
    <w:qFormat/>
    <w:pPr>
      <w:spacing w:after="120"/>
      <w:ind w:left="360" w:hanging="360"/>
    </w:pPr>
  </w:style>
  <w:style w:type="numbering" w:customStyle="1" w:styleId="WW8Num4">
    <w:name w:val="WW8Num4"/>
    <w:qFormat/>
  </w:style>
  <w:style w:type="numbering" w:customStyle="1" w:styleId="WW8Num3">
    <w:name w:val="WW8Num3"/>
    <w:qFormat/>
  </w:style>
  <w:style w:type="numbering" w:customStyle="1" w:styleId="WW8Num10">
    <w:name w:val="WW8Num10"/>
    <w:qFormat/>
  </w:style>
  <w:style w:type="numbering" w:customStyle="1" w:styleId="WW8Num5">
    <w:name w:val="WW8Num5"/>
    <w:qFormat/>
  </w:style>
  <w:style w:type="numbering" w:customStyle="1" w:styleId="WW8Num6">
    <w:name w:val="WW8Num6"/>
    <w:qFormat/>
  </w:style>
  <w:style w:type="numbering" w:customStyle="1" w:styleId="WW8Num2">
    <w:name w:val="WW8Num2"/>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1">
    <w:name w:val="WW8Num11"/>
    <w:qFormat/>
  </w:style>
  <w:style w:type="numbering" w:customStyle="1" w:styleId="Seznam1">
    <w:name w:val="Seznam 1"/>
    <w:qFormat/>
  </w:style>
  <w:style w:type="paragraph" w:styleId="Zhlav">
    <w:name w:val="header"/>
    <w:basedOn w:val="Normln"/>
    <w:link w:val="ZhlavChar"/>
    <w:uiPriority w:val="99"/>
    <w:unhideWhenUsed/>
    <w:rsid w:val="00192523"/>
    <w:pPr>
      <w:tabs>
        <w:tab w:val="center" w:pos="4536"/>
        <w:tab w:val="right" w:pos="9072"/>
      </w:tabs>
      <w:spacing w:after="0"/>
    </w:pPr>
    <w:rPr>
      <w:rFonts w:cs="Mangal"/>
      <w:szCs w:val="21"/>
    </w:rPr>
  </w:style>
  <w:style w:type="character" w:customStyle="1" w:styleId="ZhlavChar">
    <w:name w:val="Záhlaví Char"/>
    <w:basedOn w:val="Standardnpsmoodstavce"/>
    <w:link w:val="Zhlav"/>
    <w:uiPriority w:val="99"/>
    <w:rsid w:val="00192523"/>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3B034-1B08-430E-A962-892CDDA55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43160-D1C9-4B83-8D59-C3A9BB472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2087</Words>
  <Characters>12316</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Půlpytlová</dc:creator>
  <dc:description/>
  <cp:lastModifiedBy>Starostová Petra</cp:lastModifiedBy>
  <cp:revision>6</cp:revision>
  <cp:lastPrinted>2023-10-04T07:58:00Z</cp:lastPrinted>
  <dcterms:created xsi:type="dcterms:W3CDTF">2023-10-04T07:57:00Z</dcterms:created>
  <dcterms:modified xsi:type="dcterms:W3CDTF">2023-12-11T09:09:00Z</dcterms:modified>
  <dc:language>cs-CZ</dc:language>
</cp:coreProperties>
</file>