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3B7D" w14:textId="77777777" w:rsidR="00BC43DE" w:rsidRDefault="005220A5">
      <w:pPr>
        <w:spacing w:after="170"/>
        <w:jc w:val="center"/>
        <w:rPr>
          <w:rFonts w:ascii="Arial" w:hAnsi="Arial"/>
        </w:rPr>
      </w:pPr>
      <w:r>
        <w:rPr>
          <w:rFonts w:ascii="Arial" w:hAnsi="Arial"/>
          <w:b/>
          <w:sz w:val="28"/>
          <w:szCs w:val="28"/>
        </w:rPr>
        <w:t>Smlouva o provedení auditu</w:t>
      </w:r>
      <w:r>
        <w:rPr>
          <w:rFonts w:ascii="Arial" w:hAnsi="Arial"/>
          <w:b/>
          <w:sz w:val="28"/>
          <w:szCs w:val="28"/>
        </w:rPr>
        <w:br/>
      </w:r>
      <w:r w:rsidRPr="0018256B">
        <w:rPr>
          <w:rFonts w:ascii="Arial" w:hAnsi="Arial"/>
          <w:bCs/>
          <w:sz w:val="28"/>
          <w:szCs w:val="28"/>
        </w:rPr>
        <w:t>(</w:t>
      </w:r>
      <w:r>
        <w:rPr>
          <w:rFonts w:ascii="Arial" w:hAnsi="Arial"/>
          <w:sz w:val="28"/>
          <w:szCs w:val="28"/>
        </w:rPr>
        <w:t>dále jen</w:t>
      </w:r>
      <w:r w:rsidRPr="0018256B">
        <w:rPr>
          <w:rFonts w:ascii="Arial" w:hAnsi="Arial"/>
          <w:bCs/>
          <w:sz w:val="28"/>
          <w:szCs w:val="28"/>
        </w:rPr>
        <w:t xml:space="preserve"> „</w:t>
      </w:r>
      <w:r>
        <w:rPr>
          <w:rFonts w:ascii="Arial" w:hAnsi="Arial"/>
          <w:b/>
          <w:sz w:val="28"/>
          <w:szCs w:val="28"/>
        </w:rPr>
        <w:t>smlouva</w:t>
      </w:r>
      <w:r w:rsidRPr="0018256B">
        <w:rPr>
          <w:rFonts w:ascii="Arial" w:hAnsi="Arial"/>
          <w:bCs/>
          <w:sz w:val="28"/>
          <w:szCs w:val="28"/>
        </w:rPr>
        <w:t>“)</w:t>
      </w:r>
    </w:p>
    <w:p w14:paraId="7CBB3B7E" w14:textId="77777777" w:rsidR="00BC43DE" w:rsidRDefault="005220A5">
      <w:pPr>
        <w:jc w:val="left"/>
        <w:rPr>
          <w:rFonts w:ascii="Arial" w:hAnsi="Arial"/>
        </w:rPr>
      </w:pPr>
      <w:r>
        <w:rPr>
          <w:rFonts w:ascii="Arial" w:hAnsi="Arial"/>
          <w:sz w:val="22"/>
          <w:szCs w:val="22"/>
        </w:rPr>
        <w:t>uzavřená ve smyslu § 1746, odst. 2 zákona č. 89/2012 Sb., občanského zákoníku, ve znění pozdějších předpisů, a zákona č. 93/2009 Sb., o auditorech, ve znění pozdějších předpisů</w:t>
      </w:r>
    </w:p>
    <w:p w14:paraId="7CBB3B7F" w14:textId="77777777" w:rsidR="00BC43DE" w:rsidRDefault="005220A5">
      <w:pPr>
        <w:spacing w:before="113" w:after="198"/>
        <w:jc w:val="left"/>
        <w:rPr>
          <w:rFonts w:ascii="Arial" w:hAnsi="Arial"/>
        </w:rPr>
      </w:pPr>
      <w:r>
        <w:rPr>
          <w:rFonts w:ascii="Arial" w:hAnsi="Arial"/>
          <w:sz w:val="22"/>
          <w:szCs w:val="22"/>
        </w:rPr>
        <w:t>mezi</w:t>
      </w:r>
    </w:p>
    <w:tbl>
      <w:tblPr>
        <w:tblW w:w="9638" w:type="dxa"/>
        <w:tblLayout w:type="fixed"/>
        <w:tblCellMar>
          <w:left w:w="0" w:type="dxa"/>
          <w:right w:w="0" w:type="dxa"/>
        </w:tblCellMar>
        <w:tblLook w:val="04A0" w:firstRow="1" w:lastRow="0" w:firstColumn="1" w:lastColumn="0" w:noHBand="0" w:noVBand="1"/>
      </w:tblPr>
      <w:tblGrid>
        <w:gridCol w:w="230"/>
        <w:gridCol w:w="1978"/>
        <w:gridCol w:w="7430"/>
      </w:tblGrid>
      <w:tr w:rsidR="00BC43DE" w14:paraId="7CBB3B83" w14:textId="77777777">
        <w:tc>
          <w:tcPr>
            <w:tcW w:w="230" w:type="dxa"/>
            <w:shd w:val="clear" w:color="auto" w:fill="auto"/>
          </w:tcPr>
          <w:p w14:paraId="7CBB3B80" w14:textId="77777777" w:rsidR="00BC43DE" w:rsidRDefault="005220A5">
            <w:pPr>
              <w:pStyle w:val="Obsahtabulky"/>
              <w:snapToGrid w:val="0"/>
              <w:jc w:val="left"/>
              <w:rPr>
                <w:rFonts w:ascii="Arial" w:hAnsi="Arial"/>
              </w:rPr>
            </w:pPr>
            <w:r>
              <w:rPr>
                <w:rFonts w:ascii="Arial" w:hAnsi="Arial"/>
                <w:sz w:val="22"/>
                <w:szCs w:val="22"/>
              </w:rPr>
              <w:t>1.</w:t>
            </w:r>
          </w:p>
        </w:tc>
        <w:tc>
          <w:tcPr>
            <w:tcW w:w="1978" w:type="dxa"/>
            <w:shd w:val="clear" w:color="auto" w:fill="auto"/>
          </w:tcPr>
          <w:p w14:paraId="7CBB3B81" w14:textId="77777777" w:rsidR="00BC43DE" w:rsidRDefault="005220A5">
            <w:pPr>
              <w:pStyle w:val="Zkladntext"/>
              <w:widowControl w:val="0"/>
              <w:jc w:val="left"/>
              <w:rPr>
                <w:rFonts w:ascii="Arial" w:hAnsi="Arial"/>
              </w:rPr>
            </w:pPr>
            <w:r>
              <w:rPr>
                <w:rFonts w:ascii="Arial" w:hAnsi="Arial"/>
                <w:sz w:val="22"/>
                <w:szCs w:val="22"/>
              </w:rPr>
              <w:t>Objednatel:</w:t>
            </w:r>
          </w:p>
        </w:tc>
        <w:tc>
          <w:tcPr>
            <w:tcW w:w="7430" w:type="dxa"/>
            <w:shd w:val="clear" w:color="auto" w:fill="auto"/>
          </w:tcPr>
          <w:p w14:paraId="7CBB3B82" w14:textId="77777777" w:rsidR="00BC43DE" w:rsidRDefault="005220A5">
            <w:pPr>
              <w:pStyle w:val="Zkladntext"/>
              <w:widowControl w:val="0"/>
              <w:jc w:val="left"/>
              <w:rPr>
                <w:rFonts w:ascii="Arial" w:hAnsi="Arial"/>
                <w:b/>
                <w:bCs/>
                <w:sz w:val="22"/>
                <w:szCs w:val="22"/>
              </w:rPr>
            </w:pPr>
            <w:r>
              <w:rPr>
                <w:rFonts w:ascii="Arial" w:hAnsi="Arial"/>
                <w:b/>
                <w:bCs/>
                <w:sz w:val="22"/>
                <w:szCs w:val="22"/>
              </w:rPr>
              <w:t>Česká zemědělská univerzita v Praze</w:t>
            </w:r>
          </w:p>
        </w:tc>
      </w:tr>
      <w:tr w:rsidR="00BC43DE" w14:paraId="7CBB3B87" w14:textId="77777777">
        <w:tc>
          <w:tcPr>
            <w:tcW w:w="230" w:type="dxa"/>
            <w:shd w:val="clear" w:color="auto" w:fill="auto"/>
          </w:tcPr>
          <w:p w14:paraId="7CBB3B84" w14:textId="77777777" w:rsidR="00BC43DE" w:rsidRDefault="00BC43DE">
            <w:pPr>
              <w:pStyle w:val="Obsahtabulky"/>
              <w:snapToGrid w:val="0"/>
              <w:jc w:val="left"/>
              <w:rPr>
                <w:rFonts w:ascii="Arial" w:hAnsi="Arial" w:cs="Times New Roman"/>
                <w:b/>
                <w:bCs/>
                <w:color w:val="000000"/>
                <w:sz w:val="22"/>
                <w:szCs w:val="22"/>
              </w:rPr>
            </w:pPr>
          </w:p>
        </w:tc>
        <w:tc>
          <w:tcPr>
            <w:tcW w:w="1978" w:type="dxa"/>
            <w:shd w:val="clear" w:color="auto" w:fill="auto"/>
          </w:tcPr>
          <w:p w14:paraId="7CBB3B85" w14:textId="77777777" w:rsidR="00BC43DE" w:rsidRDefault="005220A5">
            <w:pPr>
              <w:pStyle w:val="Zkladntext"/>
              <w:widowControl w:val="0"/>
              <w:jc w:val="left"/>
              <w:rPr>
                <w:rFonts w:ascii="Arial" w:hAnsi="Arial"/>
              </w:rPr>
            </w:pPr>
            <w:r>
              <w:rPr>
                <w:rFonts w:ascii="Arial" w:hAnsi="Arial"/>
                <w:sz w:val="22"/>
                <w:szCs w:val="22"/>
              </w:rPr>
              <w:t>Sídlo:</w:t>
            </w:r>
          </w:p>
        </w:tc>
        <w:tc>
          <w:tcPr>
            <w:tcW w:w="7430" w:type="dxa"/>
            <w:shd w:val="clear" w:color="auto" w:fill="auto"/>
          </w:tcPr>
          <w:p w14:paraId="7CBB3B86" w14:textId="77777777" w:rsidR="00BC43DE" w:rsidRDefault="005220A5">
            <w:pPr>
              <w:pStyle w:val="Zkladntext"/>
              <w:widowControl w:val="0"/>
              <w:jc w:val="left"/>
              <w:rPr>
                <w:rFonts w:ascii="Arial" w:hAnsi="Arial"/>
                <w:sz w:val="22"/>
                <w:szCs w:val="22"/>
              </w:rPr>
            </w:pPr>
            <w:r>
              <w:rPr>
                <w:rFonts w:ascii="Arial" w:hAnsi="Arial"/>
                <w:sz w:val="22"/>
                <w:szCs w:val="22"/>
              </w:rPr>
              <w:t xml:space="preserve">Kamýcká 129, 165 00 </w:t>
            </w:r>
            <w:proofErr w:type="gramStart"/>
            <w:r>
              <w:rPr>
                <w:rFonts w:ascii="Arial" w:hAnsi="Arial"/>
                <w:sz w:val="22"/>
                <w:szCs w:val="22"/>
              </w:rPr>
              <w:t>Praha - Suchdol</w:t>
            </w:r>
            <w:proofErr w:type="gramEnd"/>
          </w:p>
        </w:tc>
      </w:tr>
      <w:tr w:rsidR="00BC43DE" w14:paraId="7CBB3B8B" w14:textId="77777777">
        <w:tc>
          <w:tcPr>
            <w:tcW w:w="230" w:type="dxa"/>
            <w:shd w:val="clear" w:color="auto" w:fill="auto"/>
          </w:tcPr>
          <w:p w14:paraId="7CBB3B88" w14:textId="77777777" w:rsidR="00BC43DE" w:rsidRDefault="00BC43DE">
            <w:pPr>
              <w:pStyle w:val="Obsahtabulky"/>
              <w:snapToGrid w:val="0"/>
              <w:jc w:val="left"/>
              <w:rPr>
                <w:rFonts w:ascii="Arial" w:hAnsi="Arial" w:cs="Times New Roman"/>
                <w:sz w:val="22"/>
                <w:szCs w:val="22"/>
              </w:rPr>
            </w:pPr>
          </w:p>
        </w:tc>
        <w:tc>
          <w:tcPr>
            <w:tcW w:w="1978" w:type="dxa"/>
            <w:shd w:val="clear" w:color="auto" w:fill="auto"/>
          </w:tcPr>
          <w:p w14:paraId="7CBB3B89" w14:textId="77777777" w:rsidR="00BC43DE" w:rsidRDefault="005220A5">
            <w:pPr>
              <w:pStyle w:val="Zkladntext"/>
              <w:widowControl w:val="0"/>
              <w:jc w:val="left"/>
              <w:rPr>
                <w:rFonts w:ascii="Arial" w:hAnsi="Arial"/>
              </w:rPr>
            </w:pPr>
            <w:r>
              <w:rPr>
                <w:rFonts w:ascii="Arial" w:hAnsi="Arial"/>
                <w:sz w:val="22"/>
                <w:szCs w:val="22"/>
              </w:rPr>
              <w:t>Doručovací adresa:</w:t>
            </w:r>
          </w:p>
        </w:tc>
        <w:tc>
          <w:tcPr>
            <w:tcW w:w="7430" w:type="dxa"/>
            <w:shd w:val="clear" w:color="auto" w:fill="auto"/>
          </w:tcPr>
          <w:p w14:paraId="7CBB3B8A" w14:textId="77777777" w:rsidR="00BC43DE" w:rsidRDefault="005220A5">
            <w:pPr>
              <w:pStyle w:val="Zkladntext"/>
              <w:widowControl w:val="0"/>
              <w:jc w:val="left"/>
              <w:rPr>
                <w:rFonts w:ascii="Arial" w:hAnsi="Arial"/>
                <w:sz w:val="22"/>
                <w:szCs w:val="22"/>
              </w:rPr>
            </w:pPr>
            <w:r>
              <w:rPr>
                <w:rFonts w:ascii="Arial" w:hAnsi="Arial"/>
                <w:sz w:val="22"/>
                <w:szCs w:val="22"/>
              </w:rPr>
              <w:t xml:space="preserve">Kamýcká 129, 165 00 </w:t>
            </w:r>
            <w:proofErr w:type="gramStart"/>
            <w:r>
              <w:rPr>
                <w:rFonts w:ascii="Arial" w:hAnsi="Arial"/>
                <w:sz w:val="22"/>
                <w:szCs w:val="22"/>
              </w:rPr>
              <w:t>Praha - Suchdol</w:t>
            </w:r>
            <w:proofErr w:type="gramEnd"/>
          </w:p>
        </w:tc>
      </w:tr>
      <w:tr w:rsidR="00BC43DE" w14:paraId="7CBB3B8F" w14:textId="77777777">
        <w:tc>
          <w:tcPr>
            <w:tcW w:w="230" w:type="dxa"/>
            <w:shd w:val="clear" w:color="auto" w:fill="auto"/>
          </w:tcPr>
          <w:p w14:paraId="7CBB3B8C" w14:textId="77777777" w:rsidR="00BC43DE" w:rsidRDefault="00BC43DE">
            <w:pPr>
              <w:pStyle w:val="Obsahtabulky"/>
              <w:snapToGrid w:val="0"/>
              <w:jc w:val="left"/>
              <w:rPr>
                <w:rFonts w:ascii="Arial" w:hAnsi="Arial" w:cs="Times New Roman"/>
                <w:sz w:val="22"/>
                <w:szCs w:val="22"/>
              </w:rPr>
            </w:pPr>
          </w:p>
        </w:tc>
        <w:tc>
          <w:tcPr>
            <w:tcW w:w="1978" w:type="dxa"/>
            <w:shd w:val="clear" w:color="auto" w:fill="auto"/>
          </w:tcPr>
          <w:p w14:paraId="7CBB3B8D" w14:textId="77777777" w:rsidR="00BC43DE" w:rsidRDefault="005220A5">
            <w:pPr>
              <w:pStyle w:val="Zkladntext"/>
              <w:widowControl w:val="0"/>
              <w:jc w:val="left"/>
              <w:rPr>
                <w:rFonts w:ascii="Arial" w:hAnsi="Arial"/>
              </w:rPr>
            </w:pPr>
            <w:r>
              <w:rPr>
                <w:rFonts w:ascii="Arial" w:hAnsi="Arial"/>
                <w:sz w:val="22"/>
                <w:szCs w:val="22"/>
              </w:rPr>
              <w:t>IČ:</w:t>
            </w:r>
          </w:p>
        </w:tc>
        <w:tc>
          <w:tcPr>
            <w:tcW w:w="7430" w:type="dxa"/>
            <w:shd w:val="clear" w:color="auto" w:fill="auto"/>
          </w:tcPr>
          <w:p w14:paraId="7CBB3B8E" w14:textId="77777777" w:rsidR="00BC43DE" w:rsidRDefault="005220A5">
            <w:pPr>
              <w:pStyle w:val="Zkladntext"/>
              <w:widowControl w:val="0"/>
              <w:jc w:val="left"/>
              <w:rPr>
                <w:rFonts w:ascii="Arial" w:hAnsi="Arial"/>
                <w:sz w:val="22"/>
                <w:szCs w:val="22"/>
              </w:rPr>
            </w:pPr>
            <w:r>
              <w:rPr>
                <w:rFonts w:ascii="Arial" w:hAnsi="Arial"/>
                <w:sz w:val="22"/>
                <w:szCs w:val="22"/>
              </w:rPr>
              <w:t>60460709</w:t>
            </w:r>
          </w:p>
        </w:tc>
      </w:tr>
      <w:tr w:rsidR="00BC43DE" w14:paraId="7CBB3B93" w14:textId="77777777">
        <w:trPr>
          <w:trHeight w:val="292"/>
        </w:trPr>
        <w:tc>
          <w:tcPr>
            <w:tcW w:w="230" w:type="dxa"/>
            <w:shd w:val="clear" w:color="auto" w:fill="auto"/>
          </w:tcPr>
          <w:p w14:paraId="7CBB3B90" w14:textId="77777777" w:rsidR="00BC43DE" w:rsidRDefault="00BC43DE">
            <w:pPr>
              <w:pStyle w:val="Obsahtabulky"/>
              <w:snapToGrid w:val="0"/>
              <w:jc w:val="left"/>
              <w:rPr>
                <w:rFonts w:ascii="Arial" w:hAnsi="Arial"/>
                <w:sz w:val="22"/>
                <w:szCs w:val="22"/>
              </w:rPr>
            </w:pPr>
          </w:p>
        </w:tc>
        <w:tc>
          <w:tcPr>
            <w:tcW w:w="1978" w:type="dxa"/>
            <w:shd w:val="clear" w:color="auto" w:fill="auto"/>
          </w:tcPr>
          <w:p w14:paraId="7CBB3B91" w14:textId="77777777" w:rsidR="00BC43DE" w:rsidRDefault="005220A5">
            <w:pPr>
              <w:pStyle w:val="Zkladntext"/>
              <w:widowControl w:val="0"/>
              <w:jc w:val="left"/>
              <w:rPr>
                <w:rFonts w:ascii="Arial" w:hAnsi="Arial"/>
              </w:rPr>
            </w:pPr>
            <w:r>
              <w:rPr>
                <w:rFonts w:ascii="Arial" w:hAnsi="Arial"/>
                <w:sz w:val="22"/>
                <w:szCs w:val="22"/>
              </w:rPr>
              <w:t>DIČ:</w:t>
            </w:r>
          </w:p>
        </w:tc>
        <w:tc>
          <w:tcPr>
            <w:tcW w:w="7430" w:type="dxa"/>
            <w:shd w:val="clear" w:color="auto" w:fill="auto"/>
          </w:tcPr>
          <w:p w14:paraId="7CBB3B92" w14:textId="77777777" w:rsidR="00BC43DE" w:rsidRDefault="005220A5">
            <w:pPr>
              <w:pStyle w:val="Zkladntext"/>
              <w:widowControl w:val="0"/>
              <w:jc w:val="left"/>
              <w:rPr>
                <w:rFonts w:ascii="Arial" w:hAnsi="Arial"/>
                <w:sz w:val="22"/>
                <w:szCs w:val="22"/>
              </w:rPr>
            </w:pPr>
            <w:r>
              <w:rPr>
                <w:rFonts w:ascii="Arial" w:hAnsi="Arial"/>
                <w:sz w:val="22"/>
                <w:szCs w:val="22"/>
              </w:rPr>
              <w:t>CZ60460709</w:t>
            </w:r>
          </w:p>
        </w:tc>
      </w:tr>
      <w:tr w:rsidR="00BC43DE" w14:paraId="7CBB3B97" w14:textId="77777777">
        <w:trPr>
          <w:trHeight w:val="270"/>
        </w:trPr>
        <w:tc>
          <w:tcPr>
            <w:tcW w:w="230" w:type="dxa"/>
            <w:shd w:val="clear" w:color="auto" w:fill="auto"/>
          </w:tcPr>
          <w:p w14:paraId="7CBB3B94" w14:textId="77777777" w:rsidR="00BC43DE" w:rsidRDefault="00BC43DE">
            <w:pPr>
              <w:pStyle w:val="Obsahtabulky"/>
              <w:snapToGrid w:val="0"/>
              <w:jc w:val="left"/>
              <w:rPr>
                <w:rFonts w:ascii="Arial" w:hAnsi="Arial" w:cs="Times New Roman"/>
                <w:sz w:val="22"/>
                <w:szCs w:val="22"/>
              </w:rPr>
            </w:pPr>
          </w:p>
        </w:tc>
        <w:tc>
          <w:tcPr>
            <w:tcW w:w="1978" w:type="dxa"/>
            <w:shd w:val="clear" w:color="auto" w:fill="auto"/>
          </w:tcPr>
          <w:p w14:paraId="7CBB3B95" w14:textId="77777777" w:rsidR="00BC43DE" w:rsidRDefault="005220A5">
            <w:pPr>
              <w:pStyle w:val="Zkladntext"/>
              <w:widowControl w:val="0"/>
              <w:jc w:val="left"/>
              <w:rPr>
                <w:rFonts w:ascii="Arial" w:hAnsi="Arial"/>
              </w:rPr>
            </w:pPr>
            <w:r>
              <w:rPr>
                <w:rFonts w:ascii="Arial" w:hAnsi="Arial"/>
                <w:sz w:val="22"/>
                <w:szCs w:val="22"/>
              </w:rPr>
              <w:t>Zastoupený:</w:t>
            </w:r>
          </w:p>
        </w:tc>
        <w:tc>
          <w:tcPr>
            <w:tcW w:w="7430" w:type="dxa"/>
            <w:shd w:val="clear" w:color="auto" w:fill="auto"/>
          </w:tcPr>
          <w:p w14:paraId="7CBB3B96" w14:textId="77777777" w:rsidR="00BC43DE" w:rsidRDefault="005220A5">
            <w:pPr>
              <w:pStyle w:val="Zkladntext"/>
              <w:widowControl w:val="0"/>
              <w:jc w:val="left"/>
            </w:pPr>
            <w:r>
              <w:rPr>
                <w:rFonts w:ascii="Arial" w:hAnsi="Arial"/>
                <w:sz w:val="22"/>
                <w:szCs w:val="22"/>
              </w:rPr>
              <w:t xml:space="preserve">Ing. Jakubem </w:t>
            </w:r>
            <w:proofErr w:type="spellStart"/>
            <w:r>
              <w:rPr>
                <w:rFonts w:ascii="Arial" w:hAnsi="Arial"/>
                <w:sz w:val="22"/>
                <w:szCs w:val="22"/>
              </w:rPr>
              <w:t>Kleindienstem</w:t>
            </w:r>
            <w:proofErr w:type="spellEnd"/>
            <w:r>
              <w:rPr>
                <w:rFonts w:ascii="Arial" w:hAnsi="Arial"/>
                <w:sz w:val="22"/>
                <w:szCs w:val="22"/>
              </w:rPr>
              <w:t>, kvestorem</w:t>
            </w:r>
          </w:p>
        </w:tc>
      </w:tr>
    </w:tbl>
    <w:p w14:paraId="7CBB3B98" w14:textId="77777777" w:rsidR="00BC43DE" w:rsidRDefault="005220A5">
      <w:pPr>
        <w:spacing w:before="198" w:after="170"/>
        <w:jc w:val="left"/>
        <w:rPr>
          <w:rFonts w:ascii="Arial" w:hAnsi="Arial"/>
        </w:rPr>
      </w:pPr>
      <w:bookmarkStart w:id="0" w:name="__DdeLink__972_2108632355"/>
      <w:r>
        <w:rPr>
          <w:rFonts w:ascii="Arial" w:hAnsi="Arial"/>
          <w:sz w:val="22"/>
          <w:szCs w:val="22"/>
        </w:rPr>
        <w:t>(dále jen „objednatel“)</w:t>
      </w:r>
      <w:bookmarkEnd w:id="0"/>
    </w:p>
    <w:p w14:paraId="7CBB3B99" w14:textId="77777777" w:rsidR="00BC43DE" w:rsidRDefault="005220A5">
      <w:pPr>
        <w:spacing w:before="113" w:after="198"/>
        <w:jc w:val="left"/>
        <w:rPr>
          <w:rFonts w:ascii="Arial" w:hAnsi="Arial"/>
        </w:rPr>
      </w:pPr>
      <w:r>
        <w:rPr>
          <w:rFonts w:ascii="Arial" w:hAnsi="Arial"/>
          <w:sz w:val="22"/>
          <w:szCs w:val="22"/>
        </w:rPr>
        <w:t>a</w:t>
      </w:r>
    </w:p>
    <w:tbl>
      <w:tblPr>
        <w:tblW w:w="9638" w:type="dxa"/>
        <w:tblLayout w:type="fixed"/>
        <w:tblCellMar>
          <w:left w:w="0" w:type="dxa"/>
          <w:right w:w="0" w:type="dxa"/>
        </w:tblCellMar>
        <w:tblLook w:val="04A0" w:firstRow="1" w:lastRow="0" w:firstColumn="1" w:lastColumn="0" w:noHBand="0" w:noVBand="1"/>
      </w:tblPr>
      <w:tblGrid>
        <w:gridCol w:w="230"/>
        <w:gridCol w:w="1978"/>
        <w:gridCol w:w="7430"/>
      </w:tblGrid>
      <w:tr w:rsidR="00BC43DE" w14:paraId="7CBB3B9D" w14:textId="77777777">
        <w:tc>
          <w:tcPr>
            <w:tcW w:w="230" w:type="dxa"/>
            <w:shd w:val="clear" w:color="auto" w:fill="auto"/>
          </w:tcPr>
          <w:p w14:paraId="7CBB3B9A" w14:textId="77777777" w:rsidR="00BC43DE" w:rsidRDefault="005220A5">
            <w:pPr>
              <w:pStyle w:val="Zkladntext"/>
              <w:widowControl w:val="0"/>
              <w:jc w:val="left"/>
              <w:rPr>
                <w:rFonts w:ascii="Arial" w:hAnsi="Arial"/>
              </w:rPr>
            </w:pPr>
            <w:r>
              <w:rPr>
                <w:rFonts w:ascii="Arial" w:hAnsi="Arial"/>
                <w:sz w:val="22"/>
                <w:szCs w:val="22"/>
              </w:rPr>
              <w:t>2.</w:t>
            </w:r>
          </w:p>
        </w:tc>
        <w:tc>
          <w:tcPr>
            <w:tcW w:w="1978" w:type="dxa"/>
            <w:shd w:val="clear" w:color="auto" w:fill="auto"/>
          </w:tcPr>
          <w:p w14:paraId="7CBB3B9B" w14:textId="77777777" w:rsidR="00BC43DE" w:rsidRDefault="005220A5">
            <w:pPr>
              <w:pStyle w:val="Zkladntext"/>
              <w:widowControl w:val="0"/>
              <w:jc w:val="left"/>
              <w:rPr>
                <w:rFonts w:ascii="Arial" w:hAnsi="Arial"/>
              </w:rPr>
            </w:pPr>
            <w:r>
              <w:rPr>
                <w:rFonts w:ascii="Arial" w:hAnsi="Arial"/>
                <w:sz w:val="22"/>
                <w:szCs w:val="22"/>
              </w:rPr>
              <w:t>Auditor:</w:t>
            </w:r>
          </w:p>
        </w:tc>
        <w:tc>
          <w:tcPr>
            <w:tcW w:w="7430" w:type="dxa"/>
            <w:shd w:val="clear" w:color="auto" w:fill="auto"/>
          </w:tcPr>
          <w:p w14:paraId="7CBB3B9C" w14:textId="77777777" w:rsidR="00BC43DE" w:rsidRDefault="005220A5">
            <w:pPr>
              <w:pStyle w:val="Zkladntext"/>
              <w:widowControl w:val="0"/>
              <w:jc w:val="left"/>
              <w:rPr>
                <w:rFonts w:ascii="Arial" w:hAnsi="Arial"/>
              </w:rPr>
            </w:pPr>
            <w:r>
              <w:rPr>
                <w:rFonts w:ascii="Arial" w:hAnsi="Arial"/>
                <w:b/>
                <w:bCs/>
                <w:sz w:val="22"/>
                <w:szCs w:val="22"/>
              </w:rPr>
              <w:t>22HLAV s.r.o.</w:t>
            </w:r>
          </w:p>
        </w:tc>
      </w:tr>
      <w:tr w:rsidR="00BC43DE" w14:paraId="7CBB3BA1" w14:textId="77777777">
        <w:tc>
          <w:tcPr>
            <w:tcW w:w="230" w:type="dxa"/>
            <w:shd w:val="clear" w:color="auto" w:fill="auto"/>
          </w:tcPr>
          <w:p w14:paraId="7CBB3B9E" w14:textId="77777777" w:rsidR="00BC43DE" w:rsidRDefault="00BC43DE">
            <w:pPr>
              <w:pStyle w:val="Zkladntext"/>
              <w:widowControl w:val="0"/>
              <w:jc w:val="left"/>
              <w:rPr>
                <w:rFonts w:ascii="Arial" w:hAnsi="Arial"/>
                <w:sz w:val="22"/>
                <w:szCs w:val="22"/>
              </w:rPr>
            </w:pPr>
          </w:p>
        </w:tc>
        <w:tc>
          <w:tcPr>
            <w:tcW w:w="1978" w:type="dxa"/>
            <w:shd w:val="clear" w:color="auto" w:fill="auto"/>
          </w:tcPr>
          <w:p w14:paraId="7CBB3B9F" w14:textId="77777777" w:rsidR="00BC43DE" w:rsidRDefault="005220A5">
            <w:pPr>
              <w:pStyle w:val="Zkladntext"/>
              <w:widowControl w:val="0"/>
              <w:jc w:val="left"/>
              <w:rPr>
                <w:rFonts w:ascii="Arial" w:hAnsi="Arial"/>
              </w:rPr>
            </w:pPr>
            <w:r>
              <w:rPr>
                <w:rFonts w:ascii="Arial" w:hAnsi="Arial"/>
                <w:sz w:val="22"/>
                <w:szCs w:val="22"/>
              </w:rPr>
              <w:t>Sídlo:</w:t>
            </w:r>
          </w:p>
        </w:tc>
        <w:tc>
          <w:tcPr>
            <w:tcW w:w="7430" w:type="dxa"/>
            <w:shd w:val="clear" w:color="auto" w:fill="auto"/>
          </w:tcPr>
          <w:p w14:paraId="7CBB3BA0" w14:textId="77777777" w:rsidR="00BC43DE" w:rsidRDefault="005220A5">
            <w:pPr>
              <w:pStyle w:val="Zkladntext"/>
              <w:widowControl w:val="0"/>
              <w:jc w:val="left"/>
              <w:rPr>
                <w:rFonts w:ascii="Arial" w:hAnsi="Arial"/>
              </w:rPr>
            </w:pPr>
            <w:r>
              <w:rPr>
                <w:rFonts w:ascii="Arial" w:hAnsi="Arial"/>
                <w:sz w:val="22"/>
                <w:szCs w:val="22"/>
              </w:rPr>
              <w:t>Všebořická 82/2, 400 01 Ústí nad Labem</w:t>
            </w:r>
          </w:p>
        </w:tc>
      </w:tr>
      <w:tr w:rsidR="00BC43DE" w14:paraId="7CBB3BA5" w14:textId="77777777">
        <w:tc>
          <w:tcPr>
            <w:tcW w:w="230" w:type="dxa"/>
            <w:shd w:val="clear" w:color="auto" w:fill="auto"/>
          </w:tcPr>
          <w:p w14:paraId="7CBB3BA2" w14:textId="77777777" w:rsidR="00BC43DE" w:rsidRDefault="00BC43DE">
            <w:pPr>
              <w:pStyle w:val="Zkladntext"/>
              <w:widowControl w:val="0"/>
              <w:jc w:val="left"/>
              <w:rPr>
                <w:rFonts w:ascii="Arial" w:hAnsi="Arial"/>
                <w:sz w:val="22"/>
                <w:szCs w:val="22"/>
              </w:rPr>
            </w:pPr>
          </w:p>
        </w:tc>
        <w:tc>
          <w:tcPr>
            <w:tcW w:w="1978" w:type="dxa"/>
            <w:shd w:val="clear" w:color="auto" w:fill="auto"/>
          </w:tcPr>
          <w:p w14:paraId="7CBB3BA3" w14:textId="77777777" w:rsidR="00BC43DE" w:rsidRDefault="005220A5">
            <w:pPr>
              <w:pStyle w:val="Zkladntext"/>
              <w:widowControl w:val="0"/>
              <w:jc w:val="left"/>
              <w:rPr>
                <w:rFonts w:ascii="Arial" w:hAnsi="Arial"/>
              </w:rPr>
            </w:pPr>
            <w:r>
              <w:rPr>
                <w:rFonts w:ascii="Arial" w:hAnsi="Arial"/>
                <w:sz w:val="22"/>
                <w:szCs w:val="22"/>
              </w:rPr>
              <w:t>Doručovací adresa:</w:t>
            </w:r>
          </w:p>
        </w:tc>
        <w:tc>
          <w:tcPr>
            <w:tcW w:w="7430" w:type="dxa"/>
            <w:shd w:val="clear" w:color="auto" w:fill="auto"/>
          </w:tcPr>
          <w:p w14:paraId="7CBB3BA4" w14:textId="77777777" w:rsidR="00BC43DE" w:rsidRDefault="005220A5">
            <w:pPr>
              <w:pStyle w:val="Zkladntext"/>
              <w:widowControl w:val="0"/>
              <w:jc w:val="left"/>
              <w:rPr>
                <w:rFonts w:ascii="Arial" w:hAnsi="Arial"/>
              </w:rPr>
            </w:pPr>
            <w:r>
              <w:rPr>
                <w:rFonts w:ascii="Arial" w:hAnsi="Arial"/>
                <w:sz w:val="22"/>
                <w:szCs w:val="22"/>
              </w:rPr>
              <w:t>Všebořická 82/2, 400 01 Ústí nad Labem</w:t>
            </w:r>
          </w:p>
        </w:tc>
      </w:tr>
      <w:tr w:rsidR="00BC43DE" w14:paraId="7CBB3BA9" w14:textId="77777777">
        <w:tc>
          <w:tcPr>
            <w:tcW w:w="230" w:type="dxa"/>
            <w:shd w:val="clear" w:color="auto" w:fill="auto"/>
          </w:tcPr>
          <w:p w14:paraId="7CBB3BA6" w14:textId="77777777" w:rsidR="00BC43DE" w:rsidRDefault="00BC43DE">
            <w:pPr>
              <w:pStyle w:val="Zkladntext"/>
              <w:widowControl w:val="0"/>
              <w:jc w:val="left"/>
              <w:rPr>
                <w:rFonts w:ascii="Arial" w:hAnsi="Arial"/>
                <w:sz w:val="22"/>
                <w:szCs w:val="22"/>
              </w:rPr>
            </w:pPr>
          </w:p>
        </w:tc>
        <w:tc>
          <w:tcPr>
            <w:tcW w:w="1978" w:type="dxa"/>
            <w:shd w:val="clear" w:color="auto" w:fill="auto"/>
          </w:tcPr>
          <w:p w14:paraId="7CBB3BA7" w14:textId="77777777" w:rsidR="00BC43DE" w:rsidRDefault="005220A5">
            <w:pPr>
              <w:pStyle w:val="Zkladntext"/>
              <w:widowControl w:val="0"/>
              <w:jc w:val="left"/>
              <w:rPr>
                <w:rFonts w:ascii="Arial" w:hAnsi="Arial"/>
              </w:rPr>
            </w:pPr>
            <w:r>
              <w:rPr>
                <w:rFonts w:ascii="Arial" w:hAnsi="Arial"/>
                <w:sz w:val="22"/>
                <w:szCs w:val="22"/>
              </w:rPr>
              <w:t>IČ:</w:t>
            </w:r>
          </w:p>
        </w:tc>
        <w:tc>
          <w:tcPr>
            <w:tcW w:w="7430" w:type="dxa"/>
            <w:shd w:val="clear" w:color="auto" w:fill="auto"/>
          </w:tcPr>
          <w:p w14:paraId="7CBB3BA8" w14:textId="77777777" w:rsidR="00BC43DE" w:rsidRDefault="005220A5">
            <w:pPr>
              <w:pStyle w:val="Zkladntext"/>
              <w:widowControl w:val="0"/>
              <w:jc w:val="left"/>
              <w:rPr>
                <w:rFonts w:ascii="Arial" w:hAnsi="Arial"/>
              </w:rPr>
            </w:pPr>
            <w:r>
              <w:rPr>
                <w:rFonts w:ascii="Arial" w:hAnsi="Arial"/>
                <w:sz w:val="22"/>
                <w:szCs w:val="22"/>
              </w:rPr>
              <w:t>64052907</w:t>
            </w:r>
          </w:p>
        </w:tc>
      </w:tr>
      <w:tr w:rsidR="00BC43DE" w14:paraId="7CBB3BAD" w14:textId="77777777">
        <w:tc>
          <w:tcPr>
            <w:tcW w:w="230" w:type="dxa"/>
            <w:shd w:val="clear" w:color="auto" w:fill="auto"/>
          </w:tcPr>
          <w:p w14:paraId="7CBB3BAA" w14:textId="77777777" w:rsidR="00BC43DE" w:rsidRDefault="00BC43DE">
            <w:pPr>
              <w:pStyle w:val="Zkladntext"/>
              <w:widowControl w:val="0"/>
              <w:jc w:val="left"/>
              <w:rPr>
                <w:rFonts w:ascii="Arial" w:hAnsi="Arial"/>
                <w:sz w:val="22"/>
                <w:szCs w:val="22"/>
              </w:rPr>
            </w:pPr>
          </w:p>
        </w:tc>
        <w:tc>
          <w:tcPr>
            <w:tcW w:w="1978" w:type="dxa"/>
            <w:shd w:val="clear" w:color="auto" w:fill="auto"/>
          </w:tcPr>
          <w:p w14:paraId="7CBB3BAB" w14:textId="77777777" w:rsidR="00BC43DE" w:rsidRDefault="005220A5">
            <w:pPr>
              <w:pStyle w:val="Zkladntext"/>
              <w:widowControl w:val="0"/>
              <w:jc w:val="left"/>
              <w:rPr>
                <w:rFonts w:ascii="Arial" w:hAnsi="Arial"/>
              </w:rPr>
            </w:pPr>
            <w:bookmarkStart w:id="1" w:name="__DdeLink__10808_898180489"/>
            <w:r>
              <w:rPr>
                <w:rFonts w:ascii="Arial" w:hAnsi="Arial"/>
                <w:sz w:val="22"/>
                <w:szCs w:val="22"/>
              </w:rPr>
              <w:t>DIČ:</w:t>
            </w:r>
            <w:bookmarkEnd w:id="1"/>
          </w:p>
        </w:tc>
        <w:tc>
          <w:tcPr>
            <w:tcW w:w="7430" w:type="dxa"/>
            <w:shd w:val="clear" w:color="auto" w:fill="auto"/>
          </w:tcPr>
          <w:p w14:paraId="7CBB3BAC" w14:textId="77777777" w:rsidR="00BC43DE" w:rsidRDefault="005220A5">
            <w:pPr>
              <w:pStyle w:val="Zkladntext"/>
              <w:widowControl w:val="0"/>
              <w:jc w:val="left"/>
              <w:rPr>
                <w:rFonts w:ascii="Arial" w:hAnsi="Arial"/>
              </w:rPr>
            </w:pPr>
            <w:r>
              <w:rPr>
                <w:rFonts w:ascii="Arial" w:hAnsi="Arial"/>
                <w:sz w:val="22"/>
                <w:szCs w:val="22"/>
              </w:rPr>
              <w:t>CZ64052907</w:t>
            </w:r>
          </w:p>
        </w:tc>
      </w:tr>
      <w:tr w:rsidR="00BC43DE" w14:paraId="7CBB3BB1" w14:textId="77777777">
        <w:trPr>
          <w:trHeight w:val="292"/>
        </w:trPr>
        <w:tc>
          <w:tcPr>
            <w:tcW w:w="230" w:type="dxa"/>
            <w:shd w:val="clear" w:color="auto" w:fill="auto"/>
          </w:tcPr>
          <w:p w14:paraId="7CBB3BAE" w14:textId="77777777" w:rsidR="00BC43DE" w:rsidRDefault="00BC43DE">
            <w:pPr>
              <w:pStyle w:val="Zkladntext"/>
              <w:widowControl w:val="0"/>
              <w:jc w:val="left"/>
              <w:rPr>
                <w:rFonts w:ascii="Arial" w:hAnsi="Arial"/>
                <w:sz w:val="22"/>
                <w:szCs w:val="22"/>
              </w:rPr>
            </w:pPr>
          </w:p>
        </w:tc>
        <w:tc>
          <w:tcPr>
            <w:tcW w:w="1978" w:type="dxa"/>
            <w:shd w:val="clear" w:color="auto" w:fill="auto"/>
          </w:tcPr>
          <w:p w14:paraId="7CBB3BAF" w14:textId="77777777" w:rsidR="00BC43DE" w:rsidRDefault="005220A5">
            <w:pPr>
              <w:pStyle w:val="Zkladntext"/>
              <w:widowControl w:val="0"/>
              <w:jc w:val="left"/>
              <w:rPr>
                <w:rFonts w:ascii="Arial" w:hAnsi="Arial"/>
              </w:rPr>
            </w:pPr>
            <w:r>
              <w:rPr>
                <w:rFonts w:ascii="Arial" w:hAnsi="Arial"/>
                <w:sz w:val="22"/>
                <w:szCs w:val="22"/>
              </w:rPr>
              <w:t>Spisová zn.:</w:t>
            </w:r>
          </w:p>
        </w:tc>
        <w:tc>
          <w:tcPr>
            <w:tcW w:w="7430" w:type="dxa"/>
            <w:shd w:val="clear" w:color="auto" w:fill="auto"/>
          </w:tcPr>
          <w:p w14:paraId="7CBB3BB0" w14:textId="77777777" w:rsidR="00BC43DE" w:rsidRDefault="005220A5">
            <w:pPr>
              <w:pStyle w:val="Zkladntext"/>
              <w:widowControl w:val="0"/>
              <w:jc w:val="left"/>
              <w:rPr>
                <w:rFonts w:ascii="Arial" w:hAnsi="Arial"/>
              </w:rPr>
            </w:pPr>
            <w:r>
              <w:rPr>
                <w:rFonts w:ascii="Arial" w:hAnsi="Arial"/>
                <w:sz w:val="22"/>
                <w:szCs w:val="22"/>
              </w:rPr>
              <w:t>C 10016 vedená u Krajského soudu v Ústí nad Labem</w:t>
            </w:r>
          </w:p>
        </w:tc>
      </w:tr>
      <w:tr w:rsidR="00BC43DE" w14:paraId="7CBB3BB5" w14:textId="77777777">
        <w:trPr>
          <w:trHeight w:val="292"/>
        </w:trPr>
        <w:tc>
          <w:tcPr>
            <w:tcW w:w="230" w:type="dxa"/>
            <w:shd w:val="clear" w:color="auto" w:fill="auto"/>
          </w:tcPr>
          <w:p w14:paraId="7CBB3BB2" w14:textId="77777777" w:rsidR="00BC43DE" w:rsidRDefault="00BC43DE">
            <w:pPr>
              <w:pStyle w:val="Zkladntext"/>
              <w:widowControl w:val="0"/>
              <w:jc w:val="left"/>
              <w:rPr>
                <w:rFonts w:ascii="Arial" w:hAnsi="Arial"/>
                <w:sz w:val="22"/>
                <w:szCs w:val="22"/>
              </w:rPr>
            </w:pPr>
          </w:p>
        </w:tc>
        <w:tc>
          <w:tcPr>
            <w:tcW w:w="1978" w:type="dxa"/>
            <w:shd w:val="clear" w:color="auto" w:fill="auto"/>
          </w:tcPr>
          <w:p w14:paraId="7CBB3BB3" w14:textId="77777777" w:rsidR="00BC43DE" w:rsidRDefault="005220A5">
            <w:pPr>
              <w:pStyle w:val="Zkladntext"/>
              <w:widowControl w:val="0"/>
              <w:jc w:val="left"/>
              <w:rPr>
                <w:rFonts w:ascii="Arial" w:hAnsi="Arial"/>
              </w:rPr>
            </w:pPr>
            <w:r>
              <w:rPr>
                <w:rFonts w:ascii="Arial" w:hAnsi="Arial"/>
                <w:sz w:val="22"/>
                <w:szCs w:val="22"/>
              </w:rPr>
              <w:t>Zastoupený:</w:t>
            </w:r>
          </w:p>
        </w:tc>
        <w:tc>
          <w:tcPr>
            <w:tcW w:w="7430" w:type="dxa"/>
            <w:shd w:val="clear" w:color="auto" w:fill="auto"/>
          </w:tcPr>
          <w:p w14:paraId="7CBB3BB4" w14:textId="77777777" w:rsidR="00BC43DE" w:rsidRDefault="005220A5">
            <w:pPr>
              <w:pStyle w:val="Zkladntext"/>
              <w:widowControl w:val="0"/>
              <w:jc w:val="left"/>
              <w:rPr>
                <w:rFonts w:ascii="Arial" w:hAnsi="Arial"/>
              </w:rPr>
            </w:pPr>
            <w:r>
              <w:rPr>
                <w:rFonts w:ascii="Arial" w:hAnsi="Arial"/>
                <w:sz w:val="22"/>
                <w:szCs w:val="22"/>
              </w:rPr>
              <w:t xml:space="preserve">Ing. Miroslavou </w:t>
            </w:r>
            <w:proofErr w:type="spellStart"/>
            <w:r>
              <w:rPr>
                <w:rFonts w:ascii="Arial" w:hAnsi="Arial"/>
                <w:sz w:val="22"/>
                <w:szCs w:val="22"/>
              </w:rPr>
              <w:t>Nebuželskou</w:t>
            </w:r>
            <w:proofErr w:type="spellEnd"/>
            <w:r>
              <w:rPr>
                <w:rFonts w:ascii="Arial" w:hAnsi="Arial"/>
                <w:sz w:val="22"/>
                <w:szCs w:val="22"/>
              </w:rPr>
              <w:t>, jednatelkou společnosti</w:t>
            </w:r>
          </w:p>
        </w:tc>
      </w:tr>
    </w:tbl>
    <w:p w14:paraId="7CBB3BB6" w14:textId="77777777" w:rsidR="00BC43DE" w:rsidRDefault="005220A5">
      <w:pPr>
        <w:spacing w:before="198"/>
        <w:jc w:val="left"/>
        <w:rPr>
          <w:rFonts w:ascii="Arial" w:hAnsi="Arial"/>
        </w:rPr>
      </w:pPr>
      <w:r>
        <w:rPr>
          <w:rFonts w:ascii="Arial" w:hAnsi="Arial"/>
          <w:sz w:val="22"/>
          <w:szCs w:val="22"/>
        </w:rPr>
        <w:t xml:space="preserve">auditorská společnost (evidenční č. KAČR 277), </w:t>
      </w:r>
    </w:p>
    <w:p w14:paraId="7CBB3BB7" w14:textId="77777777" w:rsidR="00BC43DE" w:rsidRDefault="005220A5">
      <w:pPr>
        <w:spacing w:before="198" w:after="170"/>
        <w:jc w:val="left"/>
        <w:rPr>
          <w:rFonts w:ascii="Arial" w:hAnsi="Arial"/>
        </w:rPr>
      </w:pPr>
      <w:r>
        <w:rPr>
          <w:rFonts w:ascii="Arial" w:hAnsi="Arial"/>
          <w:sz w:val="22"/>
          <w:szCs w:val="22"/>
        </w:rPr>
        <w:t>(dále jen „auditor“).</w:t>
      </w:r>
    </w:p>
    <w:p w14:paraId="7CBB3BB8" w14:textId="77777777" w:rsidR="00BC43DE" w:rsidRDefault="005220A5">
      <w:pPr>
        <w:spacing w:before="170"/>
        <w:jc w:val="left"/>
        <w:rPr>
          <w:rFonts w:ascii="Arial" w:hAnsi="Arial"/>
        </w:rPr>
      </w:pPr>
      <w:r>
        <w:rPr>
          <w:rFonts w:ascii="Arial" w:hAnsi="Arial"/>
          <w:sz w:val="22"/>
          <w:szCs w:val="22"/>
        </w:rPr>
        <w:t>(auditor a objednatel jsou dále označovány jako „strany“)</w:t>
      </w:r>
    </w:p>
    <w:p w14:paraId="7CBB3BB9" w14:textId="77777777" w:rsidR="00BC43DE" w:rsidRDefault="005220A5">
      <w:pPr>
        <w:pStyle w:val="Nadpis1"/>
        <w:numPr>
          <w:ilvl w:val="0"/>
          <w:numId w:val="0"/>
        </w:numPr>
        <w:jc w:val="left"/>
        <w:rPr>
          <w:rFonts w:ascii="Arial" w:hAnsi="Arial"/>
        </w:rPr>
      </w:pPr>
      <w:r>
        <w:rPr>
          <w:rFonts w:ascii="Arial" w:hAnsi="Arial"/>
          <w:sz w:val="22"/>
          <w:szCs w:val="22"/>
        </w:rPr>
        <w:t>I. Předmět smlouvy</w:t>
      </w:r>
    </w:p>
    <w:p w14:paraId="7CBB3BBA" w14:textId="77777777" w:rsidR="00BC43DE" w:rsidRDefault="005220A5">
      <w:pPr>
        <w:numPr>
          <w:ilvl w:val="0"/>
          <w:numId w:val="2"/>
        </w:numPr>
        <w:rPr>
          <w:rFonts w:ascii="Arial" w:hAnsi="Arial"/>
        </w:rPr>
      </w:pPr>
      <w:r>
        <w:rPr>
          <w:rFonts w:ascii="Arial" w:eastAsia="Times New Roman" w:hAnsi="Arial" w:cs="Times New Roman"/>
          <w:color w:val="000000"/>
          <w:sz w:val="22"/>
          <w:szCs w:val="22"/>
        </w:rPr>
        <w:t>Auditor se zavazuje provést pro objednatele audity účetní závěrky sestavené k 31.12.2023</w:t>
      </w:r>
      <w:r>
        <w:rPr>
          <w:rFonts w:ascii="Arial" w:eastAsia="Times New Roman" w:hAnsi="Arial" w:cs="Times New Roman"/>
          <w:color w:val="000000"/>
          <w:sz w:val="22"/>
          <w:szCs w:val="22"/>
        </w:rPr>
        <w:br/>
        <w:t>a účetní závěrky sestavené k 31.12.2024 (dále jen „rozvahový den“) včetně vyjádření k výroční zprávě, které objednatel vypracuje v souladu s p</w:t>
      </w:r>
      <w:r>
        <w:rPr>
          <w:rFonts w:ascii="Arial" w:eastAsia="Times New Roman" w:hAnsi="Arial" w:cs="Times New Roman"/>
          <w:sz w:val="22"/>
          <w:szCs w:val="22"/>
        </w:rPr>
        <w:t xml:space="preserve">ředpisy platnými v České republice. Auditor zpracuje a </w:t>
      </w:r>
      <w:proofErr w:type="gramStart"/>
      <w:r>
        <w:rPr>
          <w:rFonts w:ascii="Arial" w:eastAsia="Times New Roman" w:hAnsi="Arial" w:cs="Times New Roman"/>
          <w:sz w:val="22"/>
          <w:szCs w:val="22"/>
        </w:rPr>
        <w:t>předloží</w:t>
      </w:r>
      <w:proofErr w:type="gramEnd"/>
      <w:r>
        <w:rPr>
          <w:rFonts w:ascii="Arial" w:eastAsia="Times New Roman" w:hAnsi="Arial" w:cs="Times New Roman"/>
          <w:sz w:val="22"/>
          <w:szCs w:val="22"/>
        </w:rPr>
        <w:t xml:space="preserve"> objednateli Zprávu nezávislého auditora o ověření účetní závěrky (dále jen „zpráva auditora“). Zpráva auditora bude zpracována v souladu se zákonem č. 93/2009 Sb., o auditorech, v platném znění a profesními standardy Komory auditorů České republiky (dále jen „KAČR“), tj. Mezinárodními auditorskými standardy a souvisejícími aplikačními doložkami a platnými směrnicemi KAČR. </w:t>
      </w:r>
    </w:p>
    <w:p w14:paraId="7CBB3BBB" w14:textId="77777777" w:rsidR="00BC43DE" w:rsidRDefault="005220A5">
      <w:pPr>
        <w:pStyle w:val="Nadpis1"/>
        <w:numPr>
          <w:ilvl w:val="0"/>
          <w:numId w:val="4"/>
        </w:numPr>
        <w:jc w:val="both"/>
        <w:rPr>
          <w:rFonts w:ascii="Arial" w:hAnsi="Arial"/>
        </w:rPr>
      </w:pPr>
      <w:r>
        <w:rPr>
          <w:rFonts w:ascii="Arial" w:hAnsi="Arial"/>
          <w:sz w:val="22"/>
          <w:szCs w:val="22"/>
        </w:rPr>
        <w:t>II. Rozsah prací a odpovědnost auditora</w:t>
      </w:r>
    </w:p>
    <w:p w14:paraId="7CBB3BBC" w14:textId="77777777" w:rsidR="00BC43DE" w:rsidRDefault="005220A5">
      <w:pPr>
        <w:numPr>
          <w:ilvl w:val="0"/>
          <w:numId w:val="5"/>
        </w:numPr>
        <w:spacing w:after="120"/>
        <w:rPr>
          <w:rFonts w:ascii="Arial" w:hAnsi="Arial"/>
        </w:rPr>
      </w:pPr>
      <w:r>
        <w:rPr>
          <w:rFonts w:ascii="Arial" w:hAnsi="Arial"/>
          <w:sz w:val="22"/>
          <w:szCs w:val="22"/>
        </w:rPr>
        <w:t>Audity budou provedeny v souladu se zákonem o auditorech a standardy KAČR pro audit, kterými jsou mezinárodní standardy pro audit (ISA) případně doplněné a upravené souvisejícími aplikačními doložkami. Cílem auditu je získat přiměřenou jistotu, že účetní závěrka jako celek neobsahuje významnou (materiální) nesprávnost způsobenou podvodem nebo chybou a vydat zprávu auditora obsahující výrok auditora. V souladu se zákonem o auditorech a Etickým kodexem přijatým KAČR auditor prohlašuje, že je na objednavateli nezávislý a splnil i další etické povinnosti vyplývající z příslušných obecně závazných předpisů.</w:t>
      </w:r>
    </w:p>
    <w:p w14:paraId="7CBB3BBD" w14:textId="77777777" w:rsidR="00BC43DE" w:rsidRDefault="005220A5">
      <w:pPr>
        <w:numPr>
          <w:ilvl w:val="0"/>
          <w:numId w:val="5"/>
        </w:numPr>
        <w:spacing w:after="120"/>
        <w:rPr>
          <w:rFonts w:ascii="Arial" w:hAnsi="Arial"/>
        </w:rPr>
      </w:pPr>
      <w:r>
        <w:rPr>
          <w:rFonts w:ascii="Arial" w:hAnsi="Arial"/>
          <w:sz w:val="22"/>
          <w:szCs w:val="22"/>
        </w:rPr>
        <w:t>Při provádění auditu v souladu s výše uvedenými předpisy je povinností auditora uplatňovat během celého auditu odborný úsudek a zachovávat profesní skepticismus. Audity budou zaměřeny zejména na to zda:</w:t>
      </w:r>
    </w:p>
    <w:p w14:paraId="7CBB3BBE" w14:textId="77777777" w:rsidR="00BC43DE" w:rsidRDefault="005220A5">
      <w:pPr>
        <w:pStyle w:val="Zatekslovn1"/>
        <w:numPr>
          <w:ilvl w:val="0"/>
          <w:numId w:val="3"/>
        </w:numPr>
        <w:ind w:hanging="363"/>
        <w:rPr>
          <w:rFonts w:ascii="Arial" w:hAnsi="Arial"/>
        </w:rPr>
      </w:pPr>
      <w:r>
        <w:rPr>
          <w:rFonts w:ascii="Arial" w:hAnsi="Arial"/>
          <w:sz w:val="22"/>
          <w:szCs w:val="22"/>
        </w:rPr>
        <w:lastRenderedPageBreak/>
        <w:t>údaje v účetní závěrce věrně zobrazují stav majetku a závazků, obchodní jmění, finanční situaci a výsledek hospodařeni účetní jednotky,</w:t>
      </w:r>
    </w:p>
    <w:p w14:paraId="7CBB3BBF" w14:textId="77777777" w:rsidR="00BC43DE" w:rsidRDefault="005220A5">
      <w:pPr>
        <w:pStyle w:val="Zatekslovn1"/>
        <w:numPr>
          <w:ilvl w:val="0"/>
          <w:numId w:val="3"/>
        </w:numPr>
        <w:ind w:hanging="363"/>
        <w:rPr>
          <w:rFonts w:ascii="Arial" w:hAnsi="Arial"/>
        </w:rPr>
      </w:pPr>
      <w:r>
        <w:rPr>
          <w:rFonts w:ascii="Arial" w:hAnsi="Arial"/>
          <w:sz w:val="22"/>
          <w:szCs w:val="22"/>
        </w:rPr>
        <w:t>účetnictví je vedeno úplně, průkazným způsobem, správně a v souladu s platnými předpisy a doporučeními,</w:t>
      </w:r>
    </w:p>
    <w:p w14:paraId="7CBB3BC0" w14:textId="77777777" w:rsidR="00BC43DE" w:rsidRDefault="005220A5">
      <w:pPr>
        <w:pStyle w:val="Zatekslovn1"/>
        <w:numPr>
          <w:ilvl w:val="0"/>
          <w:numId w:val="3"/>
        </w:numPr>
        <w:ind w:hanging="363"/>
        <w:rPr>
          <w:rFonts w:ascii="Arial" w:hAnsi="Arial"/>
        </w:rPr>
      </w:pPr>
      <w:r>
        <w:rPr>
          <w:rFonts w:ascii="Arial" w:hAnsi="Arial"/>
          <w:sz w:val="22"/>
          <w:szCs w:val="22"/>
        </w:rPr>
        <w:t>údaje v zahajovací rozvaze a závažné hospodářské operace uskutečněné účetní jednotkou v průběhu účetního období, za něž se účetní závěrka ověřuje, byly správně zachyceny a prezentovány,</w:t>
      </w:r>
    </w:p>
    <w:p w14:paraId="7CBB3BC1" w14:textId="77777777" w:rsidR="00BC43DE" w:rsidRDefault="005220A5">
      <w:pPr>
        <w:pStyle w:val="Zatekslovn1"/>
        <w:numPr>
          <w:ilvl w:val="0"/>
          <w:numId w:val="3"/>
        </w:numPr>
        <w:ind w:hanging="363"/>
        <w:rPr>
          <w:rFonts w:ascii="Arial" w:hAnsi="Arial"/>
        </w:rPr>
      </w:pPr>
      <w:r>
        <w:rPr>
          <w:rFonts w:ascii="Arial" w:hAnsi="Arial"/>
          <w:sz w:val="22"/>
          <w:szCs w:val="22"/>
        </w:rPr>
        <w:t>roční účetní výkazy byly zpracovány dle platných pravidel se zaměřením na jejich kompletnost a správnost a jsou předkládány v předepsaném formátu,</w:t>
      </w:r>
    </w:p>
    <w:p w14:paraId="7CBB3BC2" w14:textId="77777777" w:rsidR="00BC43DE" w:rsidRDefault="005220A5">
      <w:pPr>
        <w:pStyle w:val="Zatekslovn1"/>
        <w:numPr>
          <w:ilvl w:val="0"/>
          <w:numId w:val="3"/>
        </w:numPr>
        <w:ind w:hanging="363"/>
        <w:rPr>
          <w:rFonts w:ascii="Arial" w:hAnsi="Arial"/>
        </w:rPr>
      </w:pPr>
      <w:r>
        <w:rPr>
          <w:rFonts w:ascii="Arial" w:hAnsi="Arial"/>
          <w:sz w:val="22"/>
          <w:szCs w:val="22"/>
        </w:rPr>
        <w:t>údaje uvedené ve výroční zprávě o hospodaření jsou v souladu s účetní závěrkou a </w:t>
      </w:r>
      <w:proofErr w:type="gramStart"/>
      <w:r>
        <w:rPr>
          <w:rFonts w:ascii="Arial" w:hAnsi="Arial"/>
          <w:sz w:val="22"/>
          <w:szCs w:val="22"/>
        </w:rPr>
        <w:t>neliší</w:t>
      </w:r>
      <w:proofErr w:type="gramEnd"/>
      <w:r>
        <w:rPr>
          <w:rFonts w:ascii="Arial" w:hAnsi="Arial"/>
          <w:sz w:val="22"/>
          <w:szCs w:val="22"/>
        </w:rPr>
        <w:t xml:space="preserve"> se od ostatních ověřovaných informací. </w:t>
      </w:r>
    </w:p>
    <w:p w14:paraId="7CBB3BC3" w14:textId="77777777" w:rsidR="00BC43DE" w:rsidRDefault="005220A5">
      <w:pPr>
        <w:numPr>
          <w:ilvl w:val="0"/>
          <w:numId w:val="6"/>
        </w:numPr>
        <w:spacing w:after="120"/>
        <w:rPr>
          <w:rFonts w:ascii="Arial" w:hAnsi="Arial"/>
        </w:rPr>
      </w:pPr>
      <w:r>
        <w:rPr>
          <w:rFonts w:ascii="Arial" w:hAnsi="Arial"/>
          <w:sz w:val="22"/>
          <w:szCs w:val="22"/>
        </w:rPr>
        <w:t xml:space="preserve">Povinností auditora je na základě provedených testů vyjádřit svůj názor na účetní závěrku. Povinností auditora je také navrhnout a provést testy tak, aby v rozumné míře zaručovaly zjištění případných nesrovnalostí, vzniklých nesprávně uvedenými údaji v účetních výkazech. </w:t>
      </w:r>
    </w:p>
    <w:p w14:paraId="7CBB3BC4" w14:textId="77777777" w:rsidR="00BC43DE" w:rsidRDefault="005220A5">
      <w:pPr>
        <w:numPr>
          <w:ilvl w:val="0"/>
          <w:numId w:val="6"/>
        </w:numPr>
        <w:spacing w:after="120"/>
        <w:rPr>
          <w:rFonts w:ascii="Arial" w:hAnsi="Arial"/>
        </w:rPr>
      </w:pPr>
      <w:r>
        <w:rPr>
          <w:rFonts w:ascii="Arial" w:hAnsi="Arial"/>
          <w:sz w:val="22"/>
          <w:szCs w:val="22"/>
        </w:rPr>
        <w:t xml:space="preserve">Auditor má za povinnost naplánovat své práce v takovém rozsahu, aby získal dostatečné ujištění, že údaje podrobené přezkoumání nebo auditu neobsahují významné nesrovnalosti vyplývající z porušení zákona. </w:t>
      </w:r>
    </w:p>
    <w:p w14:paraId="7CBB3BC5" w14:textId="77777777" w:rsidR="00BC43DE" w:rsidRDefault="005220A5">
      <w:pPr>
        <w:numPr>
          <w:ilvl w:val="0"/>
          <w:numId w:val="6"/>
        </w:numPr>
        <w:spacing w:after="120"/>
        <w:rPr>
          <w:rFonts w:ascii="Arial" w:hAnsi="Arial"/>
        </w:rPr>
      </w:pPr>
      <w:r>
        <w:rPr>
          <w:rFonts w:ascii="Arial" w:hAnsi="Arial"/>
          <w:sz w:val="22"/>
          <w:szCs w:val="22"/>
        </w:rPr>
        <w:t xml:space="preserve">V případě, že auditor v průběhu auditu zjistí závažnější nedostatky v kterékoliv ze zkoumaných oblastí, bude o takových nálezech neprodleně informovat vedení účetní jednotky. Ostatní návrhy a doporučení včetně komentáře k použitým postupům v průběhu auditu budou dle potřeb uvedeny ve zprávě pro vedení účetní jednotky. </w:t>
      </w:r>
    </w:p>
    <w:p w14:paraId="7CBB3BC6" w14:textId="77777777" w:rsidR="00BC43DE" w:rsidRDefault="005220A5">
      <w:pPr>
        <w:numPr>
          <w:ilvl w:val="0"/>
          <w:numId w:val="6"/>
        </w:numPr>
        <w:spacing w:after="120"/>
        <w:rPr>
          <w:rFonts w:ascii="Arial" w:hAnsi="Arial"/>
        </w:rPr>
      </w:pPr>
      <w:r>
        <w:rPr>
          <w:rFonts w:ascii="Arial" w:hAnsi="Arial"/>
          <w:sz w:val="22"/>
          <w:szCs w:val="22"/>
        </w:rPr>
        <w:t>Auditor bude plnit podmínky této smlouvy distančně ve svých prostorách, případně dle dohody i v prostorách objednatele.</w:t>
      </w:r>
    </w:p>
    <w:p w14:paraId="7CBB3BC7" w14:textId="77777777" w:rsidR="00BC43DE" w:rsidRDefault="005220A5">
      <w:pPr>
        <w:numPr>
          <w:ilvl w:val="0"/>
          <w:numId w:val="6"/>
        </w:numPr>
        <w:spacing w:after="120"/>
        <w:rPr>
          <w:rFonts w:ascii="Arial" w:hAnsi="Arial"/>
        </w:rPr>
      </w:pPr>
      <w:r>
        <w:rPr>
          <w:rFonts w:ascii="Arial" w:hAnsi="Arial"/>
          <w:sz w:val="22"/>
          <w:szCs w:val="22"/>
        </w:rPr>
        <w:t>V případě uzavření smlouvy před rozvahovým dnem provede auditor první část auditu v období před rozvahovým dnem (dále jen „</w:t>
      </w:r>
      <w:proofErr w:type="spellStart"/>
      <w:r>
        <w:rPr>
          <w:rFonts w:ascii="Arial" w:hAnsi="Arial"/>
          <w:sz w:val="22"/>
          <w:szCs w:val="22"/>
        </w:rPr>
        <w:t>předaudit</w:t>
      </w:r>
      <w:proofErr w:type="spellEnd"/>
      <w:r>
        <w:rPr>
          <w:rFonts w:ascii="Arial" w:hAnsi="Arial"/>
          <w:sz w:val="22"/>
          <w:szCs w:val="22"/>
        </w:rPr>
        <w:t>“). Tato část auditu zahrnuje především zjišťovací a analytické postupy a následnou přípravu strategie a plánu auditu a dle potřeb též testy nákladů, výnosů, popř. jiných oblastí účetnictví.</w:t>
      </w:r>
    </w:p>
    <w:p w14:paraId="7CBB3BC8" w14:textId="77777777" w:rsidR="00BC43DE" w:rsidRDefault="005220A5">
      <w:pPr>
        <w:numPr>
          <w:ilvl w:val="0"/>
          <w:numId w:val="6"/>
        </w:numPr>
        <w:spacing w:after="120"/>
        <w:rPr>
          <w:rFonts w:ascii="Arial" w:hAnsi="Arial"/>
        </w:rPr>
      </w:pPr>
      <w:r>
        <w:rPr>
          <w:rFonts w:ascii="Arial" w:hAnsi="Arial"/>
          <w:sz w:val="22"/>
          <w:szCs w:val="22"/>
        </w:rPr>
        <w:t xml:space="preserve">Auditor vydá závěrečnou zprávu auditora, ve které </w:t>
      </w:r>
      <w:proofErr w:type="gramStart"/>
      <w:r>
        <w:rPr>
          <w:rFonts w:ascii="Arial" w:hAnsi="Arial"/>
          <w:sz w:val="22"/>
          <w:szCs w:val="22"/>
        </w:rPr>
        <w:t>vyjádří</w:t>
      </w:r>
      <w:proofErr w:type="gramEnd"/>
      <w:r>
        <w:rPr>
          <w:rFonts w:ascii="Arial" w:hAnsi="Arial"/>
          <w:sz w:val="22"/>
          <w:szCs w:val="22"/>
        </w:rPr>
        <w:t xml:space="preserve"> svůj názor na účetní závěrku v souladu se statutárními předpisy. </w:t>
      </w:r>
    </w:p>
    <w:p w14:paraId="7CBB3BC9" w14:textId="77777777" w:rsidR="00BC43DE" w:rsidRDefault="005220A5">
      <w:pPr>
        <w:numPr>
          <w:ilvl w:val="0"/>
          <w:numId w:val="6"/>
        </w:numPr>
        <w:spacing w:after="120"/>
        <w:rPr>
          <w:rFonts w:ascii="Arial" w:hAnsi="Arial"/>
        </w:rPr>
      </w:pPr>
      <w:r>
        <w:rPr>
          <w:rFonts w:ascii="Arial" w:hAnsi="Arial"/>
          <w:sz w:val="22"/>
          <w:szCs w:val="22"/>
        </w:rPr>
        <w:t xml:space="preserve">Auditor uvede výhrady, pokud na základě provedených testů identifikuje nesprávnosti, které mohou podstatným způsobem zkreslit údaje vykazované účetní jednotkou nebo pokud vnitřní kontrolní systém účetní jednotky vykazuje významné slabiny, nebo účetnictví není vedeno správně, úplně a průkazně. </w:t>
      </w:r>
    </w:p>
    <w:p w14:paraId="7CBB3BCA" w14:textId="77777777" w:rsidR="00BC43DE" w:rsidRDefault="005220A5">
      <w:pPr>
        <w:numPr>
          <w:ilvl w:val="0"/>
          <w:numId w:val="6"/>
        </w:numPr>
        <w:spacing w:after="120"/>
        <w:rPr>
          <w:rFonts w:ascii="Arial" w:hAnsi="Arial"/>
        </w:rPr>
      </w:pPr>
      <w:r>
        <w:rPr>
          <w:rFonts w:ascii="Arial" w:hAnsi="Arial"/>
          <w:sz w:val="22"/>
          <w:szCs w:val="22"/>
        </w:rPr>
        <w:t xml:space="preserve">Auditor má právo uvést ve své zprávě auditora také omezení rozsahu ověření, pokud nebyl schopen z objektivních důvodů nebo z viny účetní jednotky ověřit některé podstatné údaje. </w:t>
      </w:r>
    </w:p>
    <w:p w14:paraId="7CBB3BCB" w14:textId="77777777" w:rsidR="00BC43DE" w:rsidRDefault="005220A5">
      <w:pPr>
        <w:numPr>
          <w:ilvl w:val="0"/>
          <w:numId w:val="6"/>
        </w:numPr>
        <w:spacing w:after="120"/>
        <w:rPr>
          <w:rFonts w:ascii="Arial" w:hAnsi="Arial"/>
        </w:rPr>
      </w:pPr>
      <w:r>
        <w:rPr>
          <w:rFonts w:ascii="Arial" w:hAnsi="Arial"/>
          <w:sz w:val="22"/>
          <w:szCs w:val="22"/>
        </w:rPr>
        <w:t xml:space="preserve">Auditor je oprávněn vydat i záporný výrok, pokud jsou identifikované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 </w:t>
      </w:r>
      <w:r>
        <w:br w:type="page"/>
      </w:r>
    </w:p>
    <w:p w14:paraId="7CBB3BCC" w14:textId="77777777" w:rsidR="00BC43DE" w:rsidRDefault="005220A5">
      <w:pPr>
        <w:pStyle w:val="Nadpis1"/>
        <w:numPr>
          <w:ilvl w:val="0"/>
          <w:numId w:val="0"/>
        </w:numPr>
        <w:jc w:val="both"/>
        <w:rPr>
          <w:rFonts w:ascii="Arial" w:hAnsi="Arial"/>
        </w:rPr>
      </w:pPr>
      <w:r>
        <w:rPr>
          <w:rFonts w:ascii="Arial" w:hAnsi="Arial"/>
          <w:sz w:val="22"/>
          <w:szCs w:val="22"/>
        </w:rPr>
        <w:lastRenderedPageBreak/>
        <w:t>III. Odpovědnost objednatele</w:t>
      </w:r>
    </w:p>
    <w:p w14:paraId="7CBB3BCD" w14:textId="77777777" w:rsidR="00BC43DE" w:rsidRDefault="005220A5">
      <w:pPr>
        <w:numPr>
          <w:ilvl w:val="0"/>
          <w:numId w:val="7"/>
        </w:numPr>
        <w:spacing w:after="120"/>
        <w:rPr>
          <w:rFonts w:ascii="Arial" w:hAnsi="Arial"/>
        </w:rPr>
      </w:pPr>
      <w:r>
        <w:rPr>
          <w:rFonts w:ascii="Arial" w:hAnsi="Arial"/>
          <w:sz w:val="22"/>
          <w:szCs w:val="22"/>
        </w:rPr>
        <w:t>Objednatel odpovídá za sestavení účetní závěrky podávající věrný a poctivý obraz v souladu s českými účetními předpisy a za takový vnitřní kontrolní systém, který považuje za nezbytný pro sestavení účetní závěrky tak, aby neobsahovala významné (materiální) nesprávnosti způsobené podvodem nebo chybou.</w:t>
      </w:r>
    </w:p>
    <w:p w14:paraId="7CBB3BCE" w14:textId="77777777" w:rsidR="00BC43DE" w:rsidRDefault="005220A5">
      <w:pPr>
        <w:numPr>
          <w:ilvl w:val="0"/>
          <w:numId w:val="7"/>
        </w:numPr>
        <w:spacing w:after="120"/>
        <w:rPr>
          <w:rFonts w:ascii="Arial" w:hAnsi="Arial"/>
        </w:rPr>
      </w:pPr>
      <w:r>
        <w:rPr>
          <w:rFonts w:ascii="Arial" w:hAnsi="Arial"/>
          <w:sz w:val="22"/>
          <w:szCs w:val="22"/>
        </w:rPr>
        <w:t xml:space="preserve">Objednatel se zavazuje zajistit přístup k veškerým informacím, o nichž je vedení známo, že jsou relevantní pro sestavení účetní závěrky, jako např. k záznamům, dokumentaci a dalším podkladům, další informace, které si auditor od vedení pro účely auditu vyžádá, a neomezený přístup k osobám působícím v účetní jednotce, od nichž je podle auditora nutné důkazní informace získat. </w:t>
      </w:r>
    </w:p>
    <w:p w14:paraId="7CBB3BCF" w14:textId="77777777" w:rsidR="00BC43DE" w:rsidRDefault="005220A5">
      <w:pPr>
        <w:numPr>
          <w:ilvl w:val="0"/>
          <w:numId w:val="7"/>
        </w:numPr>
        <w:spacing w:after="120"/>
        <w:rPr>
          <w:rFonts w:ascii="Arial" w:hAnsi="Arial"/>
        </w:rPr>
      </w:pPr>
      <w:r>
        <w:rPr>
          <w:rFonts w:ascii="Arial" w:hAnsi="Arial"/>
          <w:sz w:val="22"/>
          <w:szCs w:val="22"/>
        </w:rPr>
        <w:t>Objednatel zajistí auditorovi volný přístup do prostor organizace a k veškerým aktivům organizace k ověření fyzické existence účetně vykazovaných hodnot, které jsou předmětem auditu. Zejména je o</w:t>
      </w:r>
      <w:r>
        <w:rPr>
          <w:rFonts w:ascii="Arial" w:hAnsi="Arial"/>
          <w:color w:val="222222"/>
          <w:sz w:val="22"/>
          <w:szCs w:val="22"/>
        </w:rPr>
        <w:t>bjednatel povinen umožnit účast auditora při provádění fyzických inventur majetku objednatele. </w:t>
      </w:r>
      <w:r>
        <w:rPr>
          <w:rFonts w:ascii="Arial" w:hAnsi="Arial"/>
          <w:color w:val="000000"/>
          <w:sz w:val="22"/>
          <w:szCs w:val="22"/>
        </w:rPr>
        <w:t>V případě potřeby, zejména v tom případě, kdy auditor nemohl být přítomen provedení fyzických inventur, zajistí objednatel na žádost auditora provedení mimořádné inventarizace, a to způsobem a v rozsahu vyžádaném auditorem.</w:t>
      </w:r>
    </w:p>
    <w:p w14:paraId="7CBB3BD0" w14:textId="77777777" w:rsidR="00BC43DE" w:rsidRDefault="005220A5">
      <w:pPr>
        <w:numPr>
          <w:ilvl w:val="0"/>
          <w:numId w:val="7"/>
        </w:numPr>
        <w:spacing w:after="119"/>
        <w:rPr>
          <w:rFonts w:ascii="Arial" w:hAnsi="Arial"/>
        </w:rPr>
      </w:pPr>
      <w:r>
        <w:rPr>
          <w:rFonts w:ascii="Arial" w:hAnsi="Arial"/>
          <w:sz w:val="22"/>
          <w:szCs w:val="22"/>
        </w:rPr>
        <w:t>Auditor má oprávnění požadovat vysvětlení, a to i v písemné formě, pokud to, podle jeho názoru, povaha problému vyžaduje.</w:t>
      </w:r>
    </w:p>
    <w:p w14:paraId="7CBB3BD1" w14:textId="77777777" w:rsidR="00BC43DE" w:rsidRDefault="005220A5">
      <w:pPr>
        <w:numPr>
          <w:ilvl w:val="0"/>
          <w:numId w:val="7"/>
        </w:numPr>
        <w:spacing w:after="119"/>
        <w:rPr>
          <w:rFonts w:ascii="Arial" w:hAnsi="Arial"/>
        </w:rPr>
      </w:pPr>
      <w:r>
        <w:rPr>
          <w:rFonts w:ascii="Arial" w:hAnsi="Arial"/>
          <w:sz w:val="22"/>
          <w:szCs w:val="22"/>
        </w:rPr>
        <w:t xml:space="preserve">Objednatel je povinen nenavázat bez písemného souhlasu auditora žádnou přímou smluvní spolupráci s pracovníky auditora, zejména s nimi neuzavřít zaměstnanecký poměr, a to v průběhu platnosti této smlouvy nebo během jednoho roku od ukončení platnosti této smlouvy. V případě, že objednatel </w:t>
      </w:r>
      <w:proofErr w:type="gramStart"/>
      <w:r>
        <w:rPr>
          <w:rFonts w:ascii="Arial" w:hAnsi="Arial"/>
          <w:sz w:val="22"/>
          <w:szCs w:val="22"/>
        </w:rPr>
        <w:t>poruší</w:t>
      </w:r>
      <w:proofErr w:type="gramEnd"/>
      <w:r>
        <w:rPr>
          <w:rFonts w:ascii="Arial" w:hAnsi="Arial"/>
          <w:sz w:val="22"/>
          <w:szCs w:val="22"/>
        </w:rPr>
        <w:t xml:space="preserve"> toto ustanovení smlouvy, náleží auditorovi smluvní pokuta ve výši 1 000 000 Kč.</w:t>
      </w:r>
    </w:p>
    <w:p w14:paraId="7CBB3BD2" w14:textId="77777777" w:rsidR="00BC43DE" w:rsidRDefault="005220A5">
      <w:pPr>
        <w:pStyle w:val="Nadpis1"/>
        <w:numPr>
          <w:ilvl w:val="0"/>
          <w:numId w:val="0"/>
        </w:numPr>
        <w:jc w:val="both"/>
        <w:rPr>
          <w:rFonts w:ascii="Arial" w:hAnsi="Arial"/>
        </w:rPr>
      </w:pPr>
      <w:r>
        <w:rPr>
          <w:rFonts w:ascii="Arial" w:hAnsi="Arial"/>
          <w:sz w:val="22"/>
          <w:szCs w:val="22"/>
        </w:rPr>
        <w:t>IV. Cena a platební podmínky</w:t>
      </w:r>
    </w:p>
    <w:p w14:paraId="7CBB3BD3" w14:textId="77777777" w:rsidR="00BC43DE" w:rsidRDefault="005220A5">
      <w:pPr>
        <w:numPr>
          <w:ilvl w:val="0"/>
          <w:numId w:val="8"/>
        </w:numPr>
        <w:spacing w:after="119"/>
        <w:rPr>
          <w:rFonts w:ascii="Arial" w:hAnsi="Arial"/>
        </w:rPr>
      </w:pPr>
      <w:r>
        <w:rPr>
          <w:rFonts w:ascii="Arial" w:hAnsi="Arial"/>
          <w:sz w:val="22"/>
          <w:szCs w:val="22"/>
        </w:rPr>
        <w:t xml:space="preserve">Auditorovi náleží za činnost vymezenou touto smlouvou finanční odměna v celkové výši </w:t>
      </w:r>
      <w:r>
        <w:rPr>
          <w:rFonts w:ascii="Arial" w:hAnsi="Arial"/>
          <w:b/>
          <w:bCs/>
          <w:sz w:val="22"/>
          <w:szCs w:val="22"/>
        </w:rPr>
        <w:t>950 000</w:t>
      </w:r>
      <w:r>
        <w:rPr>
          <w:rFonts w:ascii="Arial" w:hAnsi="Arial"/>
          <w:sz w:val="22"/>
          <w:szCs w:val="22"/>
        </w:rPr>
        <w:t> </w:t>
      </w:r>
      <w:r>
        <w:rPr>
          <w:rFonts w:ascii="Arial" w:hAnsi="Arial"/>
          <w:b/>
          <w:bCs/>
          <w:sz w:val="22"/>
          <w:szCs w:val="22"/>
        </w:rPr>
        <w:t>Kč plus DPH dle platné legislativy, tak že:</w:t>
      </w:r>
    </w:p>
    <w:p w14:paraId="7CBB3BD4" w14:textId="77777777" w:rsidR="00BC43DE" w:rsidRDefault="005220A5">
      <w:pPr>
        <w:numPr>
          <w:ilvl w:val="0"/>
          <w:numId w:val="13"/>
        </w:numPr>
        <w:tabs>
          <w:tab w:val="left" w:pos="390"/>
        </w:tabs>
        <w:spacing w:after="119"/>
      </w:pPr>
      <w:r>
        <w:rPr>
          <w:rFonts w:ascii="Arial" w:hAnsi="Arial"/>
          <w:color w:val="000000"/>
          <w:sz w:val="22"/>
          <w:szCs w:val="22"/>
        </w:rPr>
        <w:t>475 000 Kč plus DPH náleží auditorovi po dokončení auditu účetní závěrky k 31.12.2023 (jako odměna za audit účetní závěrky sestavené k 31.12.2023)</w:t>
      </w:r>
    </w:p>
    <w:p w14:paraId="7CBB3BD5" w14:textId="77777777" w:rsidR="00BC43DE" w:rsidRDefault="005220A5">
      <w:pPr>
        <w:numPr>
          <w:ilvl w:val="0"/>
          <w:numId w:val="13"/>
        </w:numPr>
        <w:tabs>
          <w:tab w:val="left" w:pos="390"/>
        </w:tabs>
        <w:spacing w:after="119"/>
      </w:pPr>
      <w:r>
        <w:rPr>
          <w:rFonts w:ascii="Arial" w:hAnsi="Arial"/>
          <w:color w:val="000000"/>
          <w:sz w:val="22"/>
          <w:szCs w:val="22"/>
        </w:rPr>
        <w:t>475 000 Kč plus DPH náleží auditorovi po dokončení auditu účetní závěrky k 31.12.2024 (jako odměna za audit účetní závěrky sestavené k 31.12.2024)</w:t>
      </w:r>
    </w:p>
    <w:p w14:paraId="7CBB3BD6" w14:textId="77777777" w:rsidR="00BC43DE" w:rsidRDefault="005220A5">
      <w:pPr>
        <w:numPr>
          <w:ilvl w:val="0"/>
          <w:numId w:val="8"/>
        </w:numPr>
        <w:spacing w:after="119"/>
        <w:rPr>
          <w:rFonts w:ascii="Arial" w:hAnsi="Arial"/>
        </w:rPr>
      </w:pPr>
      <w:r>
        <w:rPr>
          <w:rFonts w:ascii="Arial" w:hAnsi="Arial"/>
          <w:sz w:val="22"/>
          <w:szCs w:val="22"/>
        </w:rPr>
        <w:t xml:space="preserve">V případě, že objednatel </w:t>
      </w:r>
      <w:proofErr w:type="gramStart"/>
      <w:r>
        <w:rPr>
          <w:rFonts w:ascii="Arial" w:hAnsi="Arial"/>
          <w:sz w:val="22"/>
          <w:szCs w:val="22"/>
        </w:rPr>
        <w:t>nepředloží</w:t>
      </w:r>
      <w:proofErr w:type="gramEnd"/>
      <w:r>
        <w:rPr>
          <w:rFonts w:ascii="Arial" w:hAnsi="Arial"/>
          <w:sz w:val="22"/>
          <w:szCs w:val="22"/>
        </w:rPr>
        <w:t xml:space="preserve"> všechny požadované poklady pro audity v elektronické podobě, cena uvedená v bodě IV.1. se navyšuje o 4.000 Kč plus DPH za každý jednotlivý audit účetní závěrky.</w:t>
      </w:r>
    </w:p>
    <w:p w14:paraId="7CBB3BD7" w14:textId="77777777" w:rsidR="00BC43DE" w:rsidRDefault="005220A5">
      <w:pPr>
        <w:numPr>
          <w:ilvl w:val="0"/>
          <w:numId w:val="8"/>
        </w:numPr>
        <w:spacing w:after="119"/>
        <w:rPr>
          <w:rFonts w:ascii="Arial" w:hAnsi="Arial"/>
        </w:rPr>
      </w:pPr>
      <w:r>
        <w:rPr>
          <w:rFonts w:ascii="Arial" w:hAnsi="Arial"/>
          <w:sz w:val="22"/>
          <w:szCs w:val="22"/>
        </w:rPr>
        <w:t xml:space="preserve">V případě, že objednatel nepředloží obratovou předvahu (sestavu s počátečními a konečnými zůstatky analytických účtů a jejich obraty MD a D) a účetní deník ve formátu </w:t>
      </w:r>
      <w:proofErr w:type="spellStart"/>
      <w:r>
        <w:rPr>
          <w:rFonts w:ascii="Arial" w:hAnsi="Arial"/>
          <w:sz w:val="22"/>
          <w:szCs w:val="22"/>
        </w:rPr>
        <w:t>xls</w:t>
      </w:r>
      <w:proofErr w:type="spellEnd"/>
      <w:r>
        <w:rPr>
          <w:rFonts w:ascii="Arial" w:hAnsi="Arial"/>
          <w:sz w:val="22"/>
          <w:szCs w:val="22"/>
        </w:rPr>
        <w:t xml:space="preserve">, </w:t>
      </w:r>
      <w:proofErr w:type="spellStart"/>
      <w:r>
        <w:rPr>
          <w:rFonts w:ascii="Arial" w:hAnsi="Arial"/>
          <w:sz w:val="22"/>
          <w:szCs w:val="22"/>
        </w:rPr>
        <w:t>xlsx</w:t>
      </w:r>
      <w:proofErr w:type="spellEnd"/>
      <w:r>
        <w:rPr>
          <w:rFonts w:ascii="Arial" w:hAnsi="Arial"/>
          <w:sz w:val="22"/>
          <w:szCs w:val="22"/>
        </w:rPr>
        <w:t xml:space="preserve"> nebo obdobném datově zpracovatelném formátu, cena uvedená v bodě IV.1. se navyšuje o </w:t>
      </w:r>
      <w:proofErr w:type="gramStart"/>
      <w:r>
        <w:rPr>
          <w:rFonts w:ascii="Arial" w:hAnsi="Arial"/>
          <w:sz w:val="22"/>
          <w:szCs w:val="22"/>
        </w:rPr>
        <w:t>10%</w:t>
      </w:r>
      <w:proofErr w:type="gramEnd"/>
      <w:r>
        <w:rPr>
          <w:rFonts w:ascii="Arial" w:hAnsi="Arial"/>
          <w:sz w:val="22"/>
          <w:szCs w:val="22"/>
        </w:rPr>
        <w:t xml:space="preserve"> z této ceny.</w:t>
      </w:r>
    </w:p>
    <w:p w14:paraId="7CBB3BD8" w14:textId="77777777" w:rsidR="00BC43DE" w:rsidRDefault="005220A5">
      <w:pPr>
        <w:numPr>
          <w:ilvl w:val="0"/>
          <w:numId w:val="8"/>
        </w:numPr>
        <w:spacing w:after="119"/>
        <w:rPr>
          <w:rFonts w:ascii="Arial" w:hAnsi="Arial"/>
        </w:rPr>
      </w:pPr>
      <w:r>
        <w:rPr>
          <w:rFonts w:ascii="Arial" w:hAnsi="Arial"/>
          <w:sz w:val="22"/>
          <w:szCs w:val="22"/>
        </w:rPr>
        <w:t>Odměna byla propočtena s přihlédnutím k časovému rozsahu práce, její odborné úrovni a odpovědnosti. Odměna je stanovena jako konečná a zahrnuje veškeré práce, které auditor musí provést a náklady, které musí vynaložit, aby mohl odpovědně vydat zprávu auditora.</w:t>
      </w:r>
    </w:p>
    <w:p w14:paraId="7CBB3BD9" w14:textId="77777777" w:rsidR="00BC43DE" w:rsidRDefault="005220A5">
      <w:pPr>
        <w:numPr>
          <w:ilvl w:val="0"/>
          <w:numId w:val="8"/>
        </w:numPr>
        <w:spacing w:after="119"/>
        <w:rPr>
          <w:rFonts w:ascii="Arial" w:hAnsi="Arial"/>
        </w:rPr>
      </w:pPr>
      <w:r>
        <w:rPr>
          <w:rFonts w:ascii="Arial" w:hAnsi="Arial"/>
          <w:sz w:val="22"/>
          <w:szCs w:val="22"/>
        </w:rPr>
        <w:t>Finanční odměna dle bodu IV.1. je splatná ve čtyřech částkách:</w:t>
      </w:r>
    </w:p>
    <w:p w14:paraId="7CBB3BDA" w14:textId="77777777" w:rsidR="00BC43DE" w:rsidRDefault="005220A5">
      <w:pPr>
        <w:numPr>
          <w:ilvl w:val="0"/>
          <w:numId w:val="14"/>
        </w:numPr>
        <w:spacing w:after="119"/>
      </w:pPr>
      <w:r>
        <w:rPr>
          <w:rFonts w:ascii="Arial" w:hAnsi="Arial"/>
          <w:b/>
          <w:bCs/>
          <w:sz w:val="22"/>
          <w:szCs w:val="22"/>
        </w:rPr>
        <w:t>166 250 Kč plus DPH</w:t>
      </w:r>
      <w:r>
        <w:rPr>
          <w:rFonts w:ascii="Arial" w:hAnsi="Arial"/>
          <w:sz w:val="22"/>
          <w:szCs w:val="22"/>
        </w:rPr>
        <w:t xml:space="preserve"> po provedení </w:t>
      </w:r>
      <w:proofErr w:type="spellStart"/>
      <w:r>
        <w:rPr>
          <w:rFonts w:ascii="Arial" w:hAnsi="Arial"/>
          <w:sz w:val="22"/>
          <w:szCs w:val="22"/>
        </w:rPr>
        <w:t>předauditu</w:t>
      </w:r>
      <w:proofErr w:type="spellEnd"/>
      <w:r>
        <w:rPr>
          <w:rFonts w:ascii="Arial" w:hAnsi="Arial"/>
          <w:sz w:val="22"/>
          <w:szCs w:val="22"/>
        </w:rPr>
        <w:t xml:space="preserve"> účetní závěrky k 31.12.2023, nejpozději však do rozvahového dne,</w:t>
      </w:r>
    </w:p>
    <w:p w14:paraId="7CBB3BDB" w14:textId="77777777" w:rsidR="00BC43DE" w:rsidRDefault="005220A5">
      <w:pPr>
        <w:numPr>
          <w:ilvl w:val="0"/>
          <w:numId w:val="14"/>
        </w:numPr>
        <w:spacing w:after="119"/>
      </w:pPr>
      <w:r>
        <w:rPr>
          <w:rFonts w:ascii="Arial" w:hAnsi="Arial"/>
          <w:b/>
          <w:bCs/>
          <w:sz w:val="22"/>
          <w:szCs w:val="22"/>
        </w:rPr>
        <w:t xml:space="preserve">308 750 Kč plus DPH </w:t>
      </w:r>
      <w:r>
        <w:rPr>
          <w:rFonts w:ascii="Arial" w:hAnsi="Arial"/>
          <w:sz w:val="22"/>
          <w:szCs w:val="22"/>
        </w:rPr>
        <w:t>po dokončení auditu účetní závěrky k 31.12.2023.</w:t>
      </w:r>
    </w:p>
    <w:p w14:paraId="7CBB3BDC" w14:textId="77777777" w:rsidR="00BC43DE" w:rsidRDefault="005220A5">
      <w:pPr>
        <w:numPr>
          <w:ilvl w:val="0"/>
          <w:numId w:val="14"/>
        </w:numPr>
        <w:spacing w:after="119"/>
      </w:pPr>
      <w:r>
        <w:rPr>
          <w:rFonts w:ascii="Arial" w:hAnsi="Arial"/>
          <w:b/>
          <w:bCs/>
          <w:sz w:val="22"/>
          <w:szCs w:val="22"/>
        </w:rPr>
        <w:t>166 250 Kč plus DPH</w:t>
      </w:r>
      <w:r>
        <w:rPr>
          <w:rFonts w:ascii="Arial" w:hAnsi="Arial"/>
          <w:sz w:val="22"/>
          <w:szCs w:val="22"/>
        </w:rPr>
        <w:t xml:space="preserve"> po provedení </w:t>
      </w:r>
      <w:proofErr w:type="spellStart"/>
      <w:r>
        <w:rPr>
          <w:rFonts w:ascii="Arial" w:hAnsi="Arial"/>
          <w:sz w:val="22"/>
          <w:szCs w:val="22"/>
        </w:rPr>
        <w:t>předauditu</w:t>
      </w:r>
      <w:proofErr w:type="spellEnd"/>
      <w:r>
        <w:rPr>
          <w:rFonts w:ascii="Arial" w:hAnsi="Arial"/>
          <w:sz w:val="22"/>
          <w:szCs w:val="22"/>
        </w:rPr>
        <w:t xml:space="preserve"> účetní závěrky k 31.12.2024, nejpozději však do rozvahového dne,</w:t>
      </w:r>
    </w:p>
    <w:p w14:paraId="7CBB3BDD" w14:textId="77777777" w:rsidR="00BC43DE" w:rsidRDefault="005220A5">
      <w:pPr>
        <w:numPr>
          <w:ilvl w:val="0"/>
          <w:numId w:val="14"/>
        </w:numPr>
        <w:spacing w:after="119"/>
        <w:rPr>
          <w:rFonts w:ascii="Arial" w:hAnsi="Arial"/>
        </w:rPr>
      </w:pPr>
      <w:r>
        <w:rPr>
          <w:rFonts w:ascii="Arial" w:hAnsi="Arial"/>
          <w:b/>
          <w:bCs/>
          <w:sz w:val="22"/>
          <w:szCs w:val="22"/>
        </w:rPr>
        <w:lastRenderedPageBreak/>
        <w:t xml:space="preserve">308 750 Kč plus DPH </w:t>
      </w:r>
      <w:r>
        <w:rPr>
          <w:rFonts w:ascii="Arial" w:hAnsi="Arial"/>
          <w:sz w:val="22"/>
          <w:szCs w:val="22"/>
        </w:rPr>
        <w:t>po dokončení auditu účetní závěrky k 31.12.2024.</w:t>
      </w:r>
    </w:p>
    <w:p w14:paraId="7CBB3BDE" w14:textId="77777777" w:rsidR="00BC43DE" w:rsidRDefault="005220A5">
      <w:pPr>
        <w:numPr>
          <w:ilvl w:val="0"/>
          <w:numId w:val="8"/>
        </w:numPr>
        <w:spacing w:after="119"/>
        <w:rPr>
          <w:rFonts w:ascii="Arial" w:hAnsi="Arial"/>
        </w:rPr>
      </w:pPr>
      <w:r>
        <w:rPr>
          <w:rFonts w:ascii="Arial" w:hAnsi="Arial"/>
          <w:sz w:val="22"/>
          <w:szCs w:val="22"/>
        </w:rPr>
        <w:t>Odměna je splatná na základě daňového dokladu (faktury) vystaveného auditorem. Splatnost faktury činí 30 dnů ode dne jejího obdržení objednatelem. Úrok z prodlení v placení faktur se stanovuje ve výši 0,02 % z fakturované částky za každý den prodlení.</w:t>
      </w:r>
    </w:p>
    <w:p w14:paraId="7CBB3BDF" w14:textId="77777777" w:rsidR="00BC43DE" w:rsidRDefault="005220A5">
      <w:pPr>
        <w:pStyle w:val="Nadpis1"/>
        <w:numPr>
          <w:ilvl w:val="0"/>
          <w:numId w:val="0"/>
        </w:numPr>
        <w:jc w:val="both"/>
        <w:rPr>
          <w:rFonts w:ascii="Arial" w:hAnsi="Arial"/>
        </w:rPr>
      </w:pPr>
      <w:r>
        <w:rPr>
          <w:rFonts w:ascii="Arial" w:hAnsi="Arial"/>
          <w:sz w:val="22"/>
          <w:szCs w:val="22"/>
        </w:rPr>
        <w:t>V. Termíny provedení auditu</w:t>
      </w:r>
    </w:p>
    <w:p w14:paraId="7CBB3BE0" w14:textId="77777777" w:rsidR="00BC43DE" w:rsidRDefault="005220A5">
      <w:pPr>
        <w:numPr>
          <w:ilvl w:val="0"/>
          <w:numId w:val="9"/>
        </w:numPr>
        <w:spacing w:after="120"/>
      </w:pPr>
      <w:r>
        <w:rPr>
          <w:rFonts w:ascii="Arial" w:eastAsia="Times New Roman" w:hAnsi="Arial" w:cs="Times New Roman"/>
          <w:sz w:val="22"/>
          <w:szCs w:val="22"/>
        </w:rPr>
        <w:t xml:space="preserve">Auditor předloží zprávu auditora do </w:t>
      </w:r>
      <w:proofErr w:type="gramStart"/>
      <w:r>
        <w:rPr>
          <w:rFonts w:ascii="Arial" w:eastAsia="Times New Roman" w:hAnsi="Arial" w:cs="Times New Roman"/>
          <w:sz w:val="22"/>
          <w:szCs w:val="22"/>
        </w:rPr>
        <w:t>30ti</w:t>
      </w:r>
      <w:proofErr w:type="gramEnd"/>
      <w:r>
        <w:rPr>
          <w:rFonts w:ascii="Arial" w:eastAsia="Times New Roman" w:hAnsi="Arial" w:cs="Times New Roman"/>
          <w:sz w:val="22"/>
          <w:szCs w:val="22"/>
        </w:rPr>
        <w:t xml:space="preserve"> kalendářních dnů ode dne předložení konečné účetní závěrky sestavené k rozvahovému dni, případně v termínu dle vzájemné dohody.</w:t>
      </w:r>
    </w:p>
    <w:p w14:paraId="7CBB3BE1" w14:textId="77777777" w:rsidR="00BC43DE" w:rsidRDefault="005220A5">
      <w:pPr>
        <w:numPr>
          <w:ilvl w:val="0"/>
          <w:numId w:val="9"/>
        </w:numPr>
        <w:spacing w:after="120"/>
      </w:pPr>
      <w:r>
        <w:rPr>
          <w:rFonts w:ascii="Arial" w:hAnsi="Arial"/>
          <w:sz w:val="22"/>
          <w:szCs w:val="22"/>
        </w:rPr>
        <w:t xml:space="preserve">Auditor dohodne s objednatelem po podpisu této smlouvy harmonogram auditu. Po zahájení auditu </w:t>
      </w:r>
      <w:proofErr w:type="gramStart"/>
      <w:r>
        <w:rPr>
          <w:rFonts w:ascii="Arial" w:hAnsi="Arial"/>
          <w:sz w:val="22"/>
          <w:szCs w:val="22"/>
        </w:rPr>
        <w:t>předloží</w:t>
      </w:r>
      <w:proofErr w:type="gramEnd"/>
      <w:r>
        <w:rPr>
          <w:rFonts w:ascii="Arial" w:hAnsi="Arial"/>
          <w:sz w:val="22"/>
          <w:szCs w:val="22"/>
        </w:rPr>
        <w:t xml:space="preserve"> auditor objednateli seznam požadovaných podkladů, který následně dle potřeb v průběhu auditu doplňuje. Pokud objednatel nepředloží požadované podklady v dohodnutém termínu, může auditor s ohledem na zpoždění v předložení podkladů upravit harmonogram auditu včetně termínu předložení zprávy </w:t>
      </w:r>
      <w:proofErr w:type="gramStart"/>
      <w:r>
        <w:rPr>
          <w:rFonts w:ascii="Arial" w:hAnsi="Arial"/>
          <w:sz w:val="22"/>
          <w:szCs w:val="22"/>
        </w:rPr>
        <w:t>auditora .</w:t>
      </w:r>
      <w:proofErr w:type="gramEnd"/>
    </w:p>
    <w:p w14:paraId="7CBB3BE2" w14:textId="77777777" w:rsidR="00BC43DE" w:rsidRDefault="005220A5">
      <w:pPr>
        <w:numPr>
          <w:ilvl w:val="0"/>
          <w:numId w:val="9"/>
        </w:numPr>
        <w:spacing w:after="120"/>
        <w:rPr>
          <w:rFonts w:ascii="Arial" w:hAnsi="Arial"/>
        </w:rPr>
      </w:pPr>
      <w:r>
        <w:rPr>
          <w:rFonts w:ascii="Arial" w:hAnsi="Arial"/>
          <w:sz w:val="22"/>
          <w:szCs w:val="22"/>
        </w:rPr>
        <w:t>Objednatel může v průběhu auditu vznést kdykoliv dotaz k problematice se vztahem k účetní závěrce.</w:t>
      </w:r>
    </w:p>
    <w:p w14:paraId="7CBB3BE3" w14:textId="77777777" w:rsidR="00BC43DE" w:rsidRDefault="005220A5">
      <w:pPr>
        <w:numPr>
          <w:ilvl w:val="0"/>
          <w:numId w:val="9"/>
        </w:numPr>
        <w:spacing w:after="120"/>
        <w:rPr>
          <w:rFonts w:ascii="Arial" w:hAnsi="Arial"/>
        </w:rPr>
      </w:pPr>
      <w:r>
        <w:rPr>
          <w:rFonts w:ascii="Arial" w:eastAsia="Times New Roman" w:hAnsi="Arial" w:cs="Times New Roman"/>
          <w:sz w:val="22"/>
          <w:szCs w:val="22"/>
        </w:rPr>
        <w:t>Zpráva auditora bude vyhotovena a předána objednateli v elektronické podobě opatřené zaručeným podpisem auditora.</w:t>
      </w:r>
    </w:p>
    <w:p w14:paraId="7CBB3BE4" w14:textId="77777777" w:rsidR="00BC43DE" w:rsidRDefault="005220A5">
      <w:pPr>
        <w:numPr>
          <w:ilvl w:val="0"/>
          <w:numId w:val="9"/>
        </w:numPr>
        <w:spacing w:after="120"/>
        <w:rPr>
          <w:rFonts w:ascii="Arial" w:hAnsi="Arial"/>
        </w:rPr>
      </w:pPr>
      <w:r>
        <w:rPr>
          <w:rFonts w:ascii="Arial" w:eastAsia="Times New Roman" w:hAnsi="Arial" w:cs="Times New Roman"/>
          <w:sz w:val="22"/>
          <w:szCs w:val="22"/>
        </w:rPr>
        <w:t>V případě nedodržení termínu provedení každého jednotlivého auditu a předání řádně zhotovené zprávy auditora vinou auditora, v případě nepřevzetí zprávy auditora ze strany objednatele z důvodů vad způsobených auditorem nebo v případě prodlení auditora s odstraněním těchto vad je auditor povinen uhradit objednateli smluvní pokutu ve výši 0,1 % z ceny dle čl. IV této smlouvy za každý, byť i započatý, kalendářní den prodlení.</w:t>
      </w:r>
    </w:p>
    <w:p w14:paraId="7CBB3BE5" w14:textId="77777777" w:rsidR="00BC43DE" w:rsidRDefault="005220A5">
      <w:pPr>
        <w:pStyle w:val="Nadpis1"/>
        <w:numPr>
          <w:ilvl w:val="0"/>
          <w:numId w:val="0"/>
        </w:numPr>
        <w:jc w:val="both"/>
        <w:rPr>
          <w:rFonts w:ascii="Arial" w:hAnsi="Arial"/>
        </w:rPr>
      </w:pPr>
      <w:r>
        <w:rPr>
          <w:rFonts w:ascii="Arial" w:hAnsi="Arial"/>
          <w:sz w:val="22"/>
          <w:szCs w:val="22"/>
        </w:rPr>
        <w:t>VI. Ochrana osobních údajů</w:t>
      </w:r>
    </w:p>
    <w:p w14:paraId="7CBB3BE6" w14:textId="77777777" w:rsidR="00BC43DE" w:rsidRDefault="005220A5">
      <w:pPr>
        <w:numPr>
          <w:ilvl w:val="0"/>
          <w:numId w:val="10"/>
        </w:numPr>
        <w:rPr>
          <w:rFonts w:ascii="Arial" w:hAnsi="Arial"/>
        </w:rPr>
      </w:pPr>
      <w:r>
        <w:rPr>
          <w:rFonts w:ascii="Arial" w:eastAsia="Times New Roman" w:hAnsi="Arial" w:cs="Times New Roman"/>
          <w:sz w:val="22"/>
          <w:szCs w:val="22"/>
        </w:rPr>
        <w:t>Přijde-li auditor při plnění svých povinností podle této smlouvy do styku s osobními údaji, zavazuje se te</w:t>
      </w:r>
      <w:r>
        <w:rPr>
          <w:rFonts w:ascii="Arial" w:eastAsia="Times New Roman" w:hAnsi="Arial" w:cs="Times New Roman"/>
          <w:color w:val="000000"/>
          <w:sz w:val="22"/>
          <w:szCs w:val="22"/>
        </w:rPr>
        <w:t>nto při zpracování osobních údajů dodržovat veškeré platné a účinné právní předpisy, zejména nařízení Evropského parlamentu a Rady (EU) č. 2016/679 o ochraně fyzických osob v souvislosti se zpracováním osobních údajů a o volném pohybu těchto údajů a o zrušení směrnice 95/46/ES (dále jen „Obecné nařízení“).</w:t>
      </w:r>
    </w:p>
    <w:p w14:paraId="7CBB3BE7" w14:textId="77777777" w:rsidR="00BC43DE" w:rsidRDefault="005220A5">
      <w:pPr>
        <w:numPr>
          <w:ilvl w:val="0"/>
          <w:numId w:val="10"/>
        </w:numPr>
        <w:rPr>
          <w:rFonts w:ascii="Arial" w:hAnsi="Arial"/>
        </w:rPr>
      </w:pPr>
      <w:r>
        <w:rPr>
          <w:rFonts w:ascii="Arial" w:eastAsia="Times New Roman" w:hAnsi="Arial" w:cs="Times New Roman"/>
          <w:sz w:val="22"/>
          <w:szCs w:val="22"/>
        </w:rPr>
        <w:t>Auditor získává osobní údaje na vyžádání od objednatele. Od jejich předání jsou osobní údaje součástí spisu auditora, jehož je auditor správcem.</w:t>
      </w:r>
    </w:p>
    <w:p w14:paraId="7CBB3BE8" w14:textId="77777777" w:rsidR="00BC43DE" w:rsidRDefault="005220A5">
      <w:pPr>
        <w:numPr>
          <w:ilvl w:val="0"/>
          <w:numId w:val="10"/>
        </w:numPr>
        <w:rPr>
          <w:rFonts w:ascii="Arial" w:hAnsi="Arial"/>
        </w:rPr>
      </w:pPr>
      <w:r>
        <w:rPr>
          <w:rFonts w:ascii="Arial" w:eastAsia="Times New Roman" w:hAnsi="Arial" w:cs="Times New Roman"/>
          <w:sz w:val="22"/>
          <w:szCs w:val="22"/>
        </w:rPr>
        <w:t xml:space="preserve">Auditor se zavazuje technicky a organizačně zabezpečit osobní údaje získané od objednatele a nakládat s nimi v souladu s Obecným nařízením.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w:t>
      </w:r>
    </w:p>
    <w:p w14:paraId="7CBB3BE9" w14:textId="77777777" w:rsidR="00BC43DE" w:rsidRDefault="005220A5">
      <w:pPr>
        <w:numPr>
          <w:ilvl w:val="0"/>
          <w:numId w:val="10"/>
        </w:numPr>
        <w:spacing w:after="120"/>
        <w:rPr>
          <w:rFonts w:ascii="Arial" w:hAnsi="Arial"/>
        </w:rPr>
      </w:pPr>
      <w:r>
        <w:rPr>
          <w:rFonts w:ascii="Arial" w:eastAsia="Times New Roman" w:hAnsi="Arial" w:cs="Times New Roman"/>
          <w:sz w:val="22"/>
          <w:szCs w:val="22"/>
        </w:rPr>
        <w:t>Auditor se dále zavazuje udržovat veškeré informace zjištěné při plnění této smlouvy v tajnosti, nezveřejňovat je ve vztahu k třetím osobám. Povinnost mlčenlivosti trvá i po skončení účinnosti této smlouvy.</w:t>
      </w:r>
      <w:r>
        <w:rPr>
          <w:rFonts w:ascii="Arial" w:eastAsia="Times New Roman" w:hAnsi="Arial" w:cs="Times New Roman"/>
          <w:b/>
          <w:sz w:val="22"/>
          <w:szCs w:val="22"/>
        </w:rPr>
        <w:t xml:space="preserve"> </w:t>
      </w:r>
    </w:p>
    <w:p w14:paraId="7CBB3BEA" w14:textId="77777777" w:rsidR="00BC43DE" w:rsidRDefault="005220A5">
      <w:pPr>
        <w:pStyle w:val="Nadpis1"/>
        <w:numPr>
          <w:ilvl w:val="0"/>
          <w:numId w:val="0"/>
        </w:numPr>
        <w:jc w:val="both"/>
        <w:rPr>
          <w:rFonts w:ascii="Arial" w:hAnsi="Arial"/>
        </w:rPr>
      </w:pPr>
      <w:r>
        <w:rPr>
          <w:rFonts w:ascii="Arial" w:hAnsi="Arial"/>
          <w:sz w:val="22"/>
          <w:szCs w:val="22"/>
        </w:rPr>
        <w:t>VII. Odstoupení od smlouvy</w:t>
      </w:r>
    </w:p>
    <w:p w14:paraId="7CBB3BEB" w14:textId="77777777" w:rsidR="00BC43DE" w:rsidRDefault="005220A5">
      <w:pPr>
        <w:numPr>
          <w:ilvl w:val="0"/>
          <w:numId w:val="11"/>
        </w:numPr>
        <w:spacing w:after="119"/>
        <w:rPr>
          <w:rFonts w:ascii="Arial" w:hAnsi="Arial"/>
        </w:rPr>
      </w:pPr>
      <w:r>
        <w:rPr>
          <w:rFonts w:ascii="Arial" w:hAnsi="Arial"/>
          <w:sz w:val="22"/>
          <w:szCs w:val="22"/>
        </w:rPr>
        <w:t xml:space="preserve">Auditor je oprávněn od této smlouvy odstoupit, pokud objednatel závažným způsobem </w:t>
      </w:r>
      <w:proofErr w:type="gramStart"/>
      <w:r>
        <w:rPr>
          <w:rFonts w:ascii="Arial" w:hAnsi="Arial"/>
          <w:sz w:val="22"/>
          <w:szCs w:val="22"/>
        </w:rPr>
        <w:t>poruší</w:t>
      </w:r>
      <w:proofErr w:type="gramEnd"/>
      <w:r>
        <w:rPr>
          <w:rFonts w:ascii="Arial" w:hAnsi="Arial"/>
          <w:sz w:val="22"/>
          <w:szCs w:val="22"/>
        </w:rPr>
        <w:t xml:space="preserve"> své povinnosti uvedené v bodě III této smlouvy a nesplní je ani v přiměřené dodatečně stanovené lhůtě. Auditor má též právo v tomto případě vydat zprávu se záporným výrokem, popřípadě výrok </w:t>
      </w:r>
      <w:proofErr w:type="gramStart"/>
      <w:r>
        <w:rPr>
          <w:rFonts w:ascii="Arial" w:hAnsi="Arial"/>
          <w:sz w:val="22"/>
          <w:szCs w:val="22"/>
        </w:rPr>
        <w:t>odmítnout</w:t>
      </w:r>
      <w:proofErr w:type="gramEnd"/>
      <w:r>
        <w:rPr>
          <w:rFonts w:ascii="Arial" w:hAnsi="Arial"/>
          <w:sz w:val="22"/>
          <w:szCs w:val="22"/>
        </w:rPr>
        <w:t xml:space="preserve"> a to bez vlivu na závazek objednatele uhradit smluvní poměrnou část smluvní ceny dle článku IV. této smlouvy.</w:t>
      </w:r>
    </w:p>
    <w:p w14:paraId="7CBB3BEC" w14:textId="77777777" w:rsidR="00BC43DE" w:rsidRDefault="005220A5">
      <w:pPr>
        <w:numPr>
          <w:ilvl w:val="0"/>
          <w:numId w:val="11"/>
        </w:numPr>
        <w:spacing w:after="119"/>
        <w:rPr>
          <w:rFonts w:ascii="Arial" w:hAnsi="Arial"/>
        </w:rPr>
      </w:pPr>
      <w:r>
        <w:rPr>
          <w:rFonts w:ascii="Arial" w:hAnsi="Arial"/>
          <w:sz w:val="22"/>
          <w:szCs w:val="22"/>
        </w:rPr>
        <w:t>Objednatel je oprávněn od smlouvy odstoupit, neprovádí-li auditor povinný audit v souladu s právními předpisy, vnitřními předpisy KAČR nebo etickým kodexem. Rozdílnost názorů na účetní řešení nelze považovat za důvod pro ukončení smluvního vztahu.</w:t>
      </w:r>
    </w:p>
    <w:p w14:paraId="7CBB3BED" w14:textId="77777777" w:rsidR="00BC43DE" w:rsidRDefault="005220A5">
      <w:pPr>
        <w:numPr>
          <w:ilvl w:val="0"/>
          <w:numId w:val="11"/>
        </w:numPr>
        <w:spacing w:after="119"/>
        <w:rPr>
          <w:rFonts w:ascii="Arial" w:hAnsi="Arial"/>
        </w:rPr>
      </w:pPr>
      <w:r>
        <w:rPr>
          <w:rFonts w:ascii="Arial" w:hAnsi="Arial"/>
          <w:sz w:val="22"/>
          <w:szCs w:val="22"/>
        </w:rPr>
        <w:lastRenderedPageBreak/>
        <w:t>Pokud v důsledku odstoupení od smlouvy vznikne druhé smluvní straně škoda, je poškozená strana oprávněna požadovat náhradu takto vzniklé škody.</w:t>
      </w:r>
    </w:p>
    <w:p w14:paraId="7CBB3BEE" w14:textId="77777777" w:rsidR="00BC43DE" w:rsidRDefault="005220A5">
      <w:pPr>
        <w:numPr>
          <w:ilvl w:val="0"/>
          <w:numId w:val="11"/>
        </w:numPr>
        <w:spacing w:after="119"/>
        <w:rPr>
          <w:rFonts w:ascii="Arial" w:hAnsi="Arial"/>
        </w:rPr>
      </w:pPr>
      <w:r>
        <w:rPr>
          <w:rFonts w:ascii="Arial" w:hAnsi="Arial"/>
          <w:sz w:val="22"/>
          <w:szCs w:val="22"/>
        </w:rPr>
        <w:t>V případě, že objednatel je subjektem veřejného zájmu odstoupení od smlouvy o povinném auditu oznámí smluvní strana, která od smlouvy odstoupila, neprodleně Radě pro veřejný dohled nad auditem, a to včetně řádného uvedení důvodů.</w:t>
      </w:r>
    </w:p>
    <w:p w14:paraId="7CBB3BEF" w14:textId="77777777" w:rsidR="00BC43DE" w:rsidRDefault="005220A5">
      <w:pPr>
        <w:pStyle w:val="Nadpis1"/>
        <w:numPr>
          <w:ilvl w:val="0"/>
          <w:numId w:val="0"/>
        </w:numPr>
        <w:jc w:val="both"/>
        <w:rPr>
          <w:rFonts w:ascii="Arial" w:hAnsi="Arial"/>
        </w:rPr>
      </w:pPr>
      <w:r>
        <w:rPr>
          <w:rFonts w:ascii="Arial" w:hAnsi="Arial"/>
          <w:sz w:val="22"/>
          <w:szCs w:val="22"/>
        </w:rPr>
        <w:t>VIII. Závěrečná ustanovení</w:t>
      </w:r>
    </w:p>
    <w:p w14:paraId="7CBB3BF0" w14:textId="77777777" w:rsidR="00BC43DE" w:rsidRDefault="005220A5">
      <w:pPr>
        <w:numPr>
          <w:ilvl w:val="0"/>
          <w:numId w:val="12"/>
        </w:numPr>
        <w:tabs>
          <w:tab w:val="left" w:pos="566"/>
        </w:tabs>
        <w:spacing w:after="119"/>
        <w:rPr>
          <w:rFonts w:ascii="Arial" w:hAnsi="Arial"/>
        </w:rPr>
      </w:pPr>
      <w:r>
        <w:rPr>
          <w:rFonts w:ascii="Arial" w:eastAsia="Times New Roman" w:hAnsi="Arial" w:cs="Times New Roman"/>
          <w:sz w:val="22"/>
          <w:szCs w:val="22"/>
        </w:rPr>
        <w:t xml:space="preserve">Tato smlouva je vyhotovena v elektronické podobě v českém jazyce, přičemž obě smluvní strany </w:t>
      </w:r>
      <w:proofErr w:type="gramStart"/>
      <w:r>
        <w:rPr>
          <w:rFonts w:ascii="Arial" w:eastAsia="Times New Roman" w:hAnsi="Arial" w:cs="Times New Roman"/>
          <w:sz w:val="22"/>
          <w:szCs w:val="22"/>
        </w:rPr>
        <w:t>obdrží</w:t>
      </w:r>
      <w:proofErr w:type="gramEnd"/>
      <w:r>
        <w:rPr>
          <w:rFonts w:ascii="Arial" w:eastAsia="Times New Roman" w:hAnsi="Arial" w:cs="Times New Roman"/>
          <w:sz w:val="22"/>
          <w:szCs w:val="22"/>
        </w:rPr>
        <w:t xml:space="preserve"> její elektronický originál opatřený elektronickými podpisy. Případné další jazykové verze mají pouze informativní povahu. V případě, že tato smlouva z jakéhokoli důvodu nebude vyhotovena v elektronické, ale v papírové podobě, </w:t>
      </w:r>
      <w:proofErr w:type="gramStart"/>
      <w:r>
        <w:rPr>
          <w:rFonts w:ascii="Arial" w:eastAsia="Times New Roman" w:hAnsi="Arial" w:cs="Times New Roman"/>
          <w:sz w:val="22"/>
          <w:szCs w:val="22"/>
        </w:rPr>
        <w:t>obdrží</w:t>
      </w:r>
      <w:proofErr w:type="gramEnd"/>
      <w:r>
        <w:rPr>
          <w:rFonts w:ascii="Arial" w:eastAsia="Times New Roman" w:hAnsi="Arial" w:cs="Times New Roman"/>
          <w:sz w:val="22"/>
          <w:szCs w:val="22"/>
        </w:rPr>
        <w:t xml:space="preserve"> po jednom vyhotovení každá smluvní strana, přičemž obě vyhotovení mají platnost originálu.</w:t>
      </w:r>
    </w:p>
    <w:p w14:paraId="7CBB3BF1" w14:textId="77777777" w:rsidR="00BC43DE" w:rsidRDefault="005220A5">
      <w:pPr>
        <w:numPr>
          <w:ilvl w:val="0"/>
          <w:numId w:val="12"/>
        </w:numPr>
        <w:tabs>
          <w:tab w:val="left" w:pos="566"/>
        </w:tabs>
        <w:spacing w:after="119"/>
        <w:rPr>
          <w:rFonts w:ascii="Arial" w:hAnsi="Arial"/>
        </w:rPr>
      </w:pPr>
      <w:r>
        <w:rPr>
          <w:rFonts w:ascii="Arial" w:eastAsia="Times New Roman" w:hAnsi="Arial" w:cs="Times New Roman"/>
          <w:sz w:val="22"/>
          <w:szCs w:val="22"/>
        </w:rPr>
        <w:t>Jakékoliv změny nebo dodatky této smlouvy musí být vypracovány písemně ve stejném počtu vyhotovení jako vlastní smlouva.</w:t>
      </w:r>
    </w:p>
    <w:p w14:paraId="7CBB3BF2" w14:textId="77777777" w:rsidR="00BC43DE" w:rsidRDefault="005220A5">
      <w:pPr>
        <w:numPr>
          <w:ilvl w:val="0"/>
          <w:numId w:val="12"/>
        </w:numPr>
        <w:tabs>
          <w:tab w:val="left" w:pos="566"/>
        </w:tabs>
        <w:spacing w:after="119"/>
        <w:rPr>
          <w:rFonts w:ascii="Arial" w:hAnsi="Arial"/>
        </w:rPr>
      </w:pPr>
      <w:r>
        <w:rPr>
          <w:rFonts w:ascii="Arial" w:eastAsia="Times New Roman" w:hAnsi="Arial" w:cs="Times New Roman"/>
          <w:sz w:val="22"/>
          <w:szCs w:val="22"/>
        </w:rPr>
        <w:t>Auditor bezvýhradně souhlasí se zveřejněním plného znění smlouvy tak, aby tato smlouva mohla být předmětem poskytnuté informace ve smyslu zákona č. 106/1999 Sb., o svobodném přístupu k informacím, ve znění pozdějších předpisů. Auditor rovněž souhlasí se uveřejněním plného znění smlouvy dle zákona č. 340/2015 Sb., o zvláštních podmínkách účinnosti některých smluv, uveřejňování těchto smluv a o registru smluv (zákon o registru smluv), ve znění pozdějších předpisů (dále jen „zákon o registru smluv“) a dle § 219 zákona č. 134/2016 Sb., o zadávání veřejných zakázek, ve znění pozdějších předpisů.</w:t>
      </w:r>
    </w:p>
    <w:p w14:paraId="7CBB3BF3" w14:textId="77777777" w:rsidR="00BC43DE" w:rsidRDefault="005220A5">
      <w:pPr>
        <w:numPr>
          <w:ilvl w:val="0"/>
          <w:numId w:val="12"/>
        </w:numPr>
        <w:tabs>
          <w:tab w:val="left" w:pos="566"/>
        </w:tabs>
        <w:spacing w:after="119"/>
        <w:rPr>
          <w:rFonts w:ascii="Arial" w:hAnsi="Arial"/>
        </w:rPr>
      </w:pPr>
      <w:r>
        <w:rPr>
          <w:rFonts w:ascii="Arial" w:eastAsia="Times New Roman" w:hAnsi="Arial" w:cs="Times New Roman"/>
          <w:sz w:val="22"/>
          <w:szCs w:val="22"/>
        </w:rPr>
        <w:t>Tato smlouva nabývá platnosti dnem podpisu smlouvy oprávněnými zástupci obou smluvních stran a účinnosti v souladu se zákonem č. 340/2015 Sb., o zvláštních podmínkách účinnosti některých smluv, uveřejňování těchto smluv a o registru smluv (zákon o registru smluv), ve znění pozdějších předpisů.</w:t>
      </w:r>
    </w:p>
    <w:p w14:paraId="7CBB3BF4" w14:textId="7BDCC8C1" w:rsidR="00BC43DE" w:rsidRDefault="005220A5">
      <w:pPr>
        <w:numPr>
          <w:ilvl w:val="0"/>
          <w:numId w:val="12"/>
        </w:numPr>
        <w:tabs>
          <w:tab w:val="left" w:pos="566"/>
        </w:tabs>
        <w:spacing w:after="397"/>
        <w:rPr>
          <w:rFonts w:ascii="Arial" w:hAnsi="Arial"/>
        </w:rPr>
      </w:pPr>
      <w:r>
        <w:rPr>
          <w:rFonts w:ascii="Arial" w:eastAsia="Times New Roman" w:hAnsi="Arial" w:cs="Times New Roman"/>
          <w:sz w:val="22"/>
          <w:szCs w:val="22"/>
        </w:rPr>
        <w:t>Účastníci této smlouvy prohlašují, že souhlasí s jejím obsahem, že tato byla sepsána na základě pravdivých údajů, jejich pravé a svobodné vůle a nebyla ujednána v tísni ani za jinak jednostranně nevýhodných podmínek. Na důkaz toho připojují své podpisy.</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BC43DE" w14:paraId="7CBB3BF7" w14:textId="77777777">
        <w:tc>
          <w:tcPr>
            <w:tcW w:w="4819" w:type="dxa"/>
            <w:shd w:val="clear" w:color="auto" w:fill="auto"/>
          </w:tcPr>
          <w:p w14:paraId="7CBB3BF5" w14:textId="77777777" w:rsidR="00BC43DE" w:rsidRDefault="005220A5">
            <w:pPr>
              <w:widowControl w:val="0"/>
              <w:snapToGrid w:val="0"/>
              <w:jc w:val="left"/>
              <w:rPr>
                <w:rFonts w:ascii="Arial" w:hAnsi="Arial"/>
              </w:rPr>
            </w:pPr>
            <w:r>
              <w:rPr>
                <w:rFonts w:ascii="Arial" w:eastAsia="Times New Roman" w:hAnsi="Arial" w:cs="Times New Roman"/>
                <w:sz w:val="22"/>
                <w:szCs w:val="22"/>
                <w:lang w:bidi="ar-SA"/>
              </w:rPr>
              <w:t>Dne</w:t>
            </w:r>
          </w:p>
        </w:tc>
        <w:tc>
          <w:tcPr>
            <w:tcW w:w="4818" w:type="dxa"/>
            <w:shd w:val="clear" w:color="auto" w:fill="auto"/>
          </w:tcPr>
          <w:p w14:paraId="7CBB3BF6" w14:textId="77777777" w:rsidR="00BC43DE" w:rsidRDefault="005220A5">
            <w:pPr>
              <w:widowControl w:val="0"/>
              <w:snapToGrid w:val="0"/>
              <w:jc w:val="left"/>
              <w:rPr>
                <w:rFonts w:ascii="Arial" w:hAnsi="Arial"/>
              </w:rPr>
            </w:pPr>
            <w:r>
              <w:rPr>
                <w:rFonts w:ascii="Arial" w:eastAsia="Times New Roman" w:hAnsi="Arial" w:cs="Times New Roman"/>
                <w:sz w:val="22"/>
                <w:szCs w:val="22"/>
                <w:lang w:bidi="ar-SA"/>
              </w:rPr>
              <w:t>Dne</w:t>
            </w:r>
          </w:p>
        </w:tc>
      </w:tr>
      <w:tr w:rsidR="00BC43DE" w14:paraId="7CBB3BFA" w14:textId="77777777">
        <w:tc>
          <w:tcPr>
            <w:tcW w:w="4819" w:type="dxa"/>
            <w:shd w:val="clear" w:color="auto" w:fill="auto"/>
          </w:tcPr>
          <w:p w14:paraId="7CBB3BF8" w14:textId="77777777" w:rsidR="00BC43DE" w:rsidRDefault="005220A5">
            <w:pPr>
              <w:widowControl w:val="0"/>
              <w:spacing w:before="850"/>
              <w:jc w:val="left"/>
              <w:rPr>
                <w:rFonts w:ascii="Arial" w:hAnsi="Arial"/>
              </w:rPr>
            </w:pPr>
            <w:r>
              <w:rPr>
                <w:rFonts w:ascii="Arial" w:eastAsia="Times New Roman" w:hAnsi="Arial" w:cs="Times New Roman"/>
                <w:sz w:val="22"/>
                <w:szCs w:val="22"/>
                <w:lang w:bidi="ar-SA"/>
              </w:rPr>
              <w:t>____________________________</w:t>
            </w:r>
          </w:p>
        </w:tc>
        <w:tc>
          <w:tcPr>
            <w:tcW w:w="4818" w:type="dxa"/>
            <w:shd w:val="clear" w:color="auto" w:fill="auto"/>
          </w:tcPr>
          <w:p w14:paraId="7CBB3BF9" w14:textId="77777777" w:rsidR="00BC43DE" w:rsidRDefault="005220A5">
            <w:pPr>
              <w:widowControl w:val="0"/>
              <w:spacing w:before="850"/>
              <w:jc w:val="left"/>
              <w:rPr>
                <w:rFonts w:ascii="Arial" w:hAnsi="Arial"/>
              </w:rPr>
            </w:pPr>
            <w:r>
              <w:rPr>
                <w:rFonts w:ascii="Arial" w:eastAsia="Times New Roman" w:hAnsi="Arial" w:cs="Times New Roman"/>
                <w:sz w:val="22"/>
                <w:szCs w:val="22"/>
                <w:lang w:bidi="ar-SA"/>
              </w:rPr>
              <w:t>____________________________</w:t>
            </w:r>
          </w:p>
        </w:tc>
      </w:tr>
      <w:tr w:rsidR="00BC43DE" w14:paraId="7CBB3BFF" w14:textId="77777777">
        <w:tc>
          <w:tcPr>
            <w:tcW w:w="4819" w:type="dxa"/>
            <w:shd w:val="clear" w:color="auto" w:fill="auto"/>
          </w:tcPr>
          <w:p w14:paraId="7CBB3BFB" w14:textId="77777777" w:rsidR="00BC43DE" w:rsidRDefault="005220A5">
            <w:pPr>
              <w:pStyle w:val="Zkladntext"/>
              <w:widowControl w:val="0"/>
              <w:jc w:val="left"/>
              <w:rPr>
                <w:rFonts w:ascii="Arial" w:hAnsi="Arial"/>
              </w:rPr>
            </w:pPr>
            <w:r>
              <w:rPr>
                <w:rFonts w:ascii="Arial" w:hAnsi="Arial"/>
                <w:sz w:val="22"/>
                <w:szCs w:val="22"/>
              </w:rPr>
              <w:t>Auditor</w:t>
            </w:r>
          </w:p>
          <w:p w14:paraId="7CBB3BFC" w14:textId="77777777" w:rsidR="00BC43DE" w:rsidRDefault="005220A5">
            <w:pPr>
              <w:pStyle w:val="Zkladntext"/>
              <w:widowControl w:val="0"/>
              <w:jc w:val="left"/>
              <w:rPr>
                <w:rFonts w:ascii="Arial" w:hAnsi="Arial"/>
              </w:rPr>
            </w:pPr>
            <w:bookmarkStart w:id="2" w:name="__DdeLink__6086_898180489"/>
            <w:r>
              <w:rPr>
                <w:rFonts w:ascii="Arial" w:hAnsi="Arial"/>
                <w:sz w:val="22"/>
                <w:szCs w:val="22"/>
              </w:rPr>
              <w:t xml:space="preserve">Ing. Miroslava </w:t>
            </w:r>
            <w:proofErr w:type="spellStart"/>
            <w:r>
              <w:rPr>
                <w:rFonts w:ascii="Arial" w:hAnsi="Arial"/>
                <w:sz w:val="22"/>
                <w:szCs w:val="22"/>
              </w:rPr>
              <w:t>Nebuželská</w:t>
            </w:r>
            <w:proofErr w:type="spellEnd"/>
            <w:r>
              <w:rPr>
                <w:rFonts w:ascii="Arial" w:hAnsi="Arial"/>
                <w:sz w:val="22"/>
                <w:szCs w:val="22"/>
              </w:rPr>
              <w:t>, jednatelka společnosti</w:t>
            </w:r>
            <w:bookmarkEnd w:id="2"/>
          </w:p>
        </w:tc>
        <w:tc>
          <w:tcPr>
            <w:tcW w:w="4818" w:type="dxa"/>
            <w:shd w:val="clear" w:color="auto" w:fill="auto"/>
          </w:tcPr>
          <w:p w14:paraId="7CBB3BFD" w14:textId="77777777" w:rsidR="00BC43DE" w:rsidRDefault="005220A5">
            <w:pPr>
              <w:pStyle w:val="Zkladntext"/>
              <w:widowControl w:val="0"/>
              <w:jc w:val="left"/>
              <w:rPr>
                <w:rFonts w:ascii="Arial" w:hAnsi="Arial"/>
              </w:rPr>
            </w:pPr>
            <w:r>
              <w:rPr>
                <w:rFonts w:ascii="Arial" w:hAnsi="Arial"/>
                <w:sz w:val="22"/>
                <w:szCs w:val="22"/>
              </w:rPr>
              <w:t>Objednatel</w:t>
            </w:r>
          </w:p>
          <w:p w14:paraId="7CBB3BFE" w14:textId="77777777" w:rsidR="00BC43DE" w:rsidRDefault="005220A5">
            <w:pPr>
              <w:pStyle w:val="Zkladntext"/>
              <w:widowControl w:val="0"/>
              <w:snapToGrid w:val="0"/>
              <w:jc w:val="left"/>
              <w:rPr>
                <w:rFonts w:ascii="Arial" w:eastAsia="Times New Roman" w:hAnsi="Arial" w:cs="Times New Roman"/>
                <w:sz w:val="22"/>
                <w:szCs w:val="22"/>
              </w:rPr>
            </w:pPr>
            <w:r>
              <w:rPr>
                <w:rFonts w:ascii="Arial" w:eastAsia="Times New Roman" w:hAnsi="Arial" w:cs="Times New Roman"/>
                <w:sz w:val="22"/>
                <w:szCs w:val="22"/>
              </w:rPr>
              <w:t>Ing. Jakub Kleindienst, kvestor</w:t>
            </w:r>
          </w:p>
        </w:tc>
      </w:tr>
    </w:tbl>
    <w:p w14:paraId="7CBB3C00" w14:textId="77777777" w:rsidR="00BC43DE" w:rsidRDefault="00BC43DE">
      <w:pPr>
        <w:tabs>
          <w:tab w:val="left" w:pos="566"/>
        </w:tabs>
        <w:spacing w:after="119"/>
        <w:jc w:val="left"/>
        <w:rPr>
          <w:rFonts w:ascii="Arial" w:hAnsi="Arial"/>
        </w:rPr>
      </w:pPr>
    </w:p>
    <w:sectPr w:rsidR="00BC43DE">
      <w:headerReference w:type="default" r:id="rId9"/>
      <w:footerReference w:type="default" r:id="rId10"/>
      <w:pgSz w:w="11906" w:h="16838"/>
      <w:pgMar w:top="1134" w:right="1134" w:bottom="1386" w:left="1134" w:header="0" w:footer="85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5C42" w14:textId="77777777" w:rsidR="00C70E57" w:rsidRDefault="00C70E57">
      <w:pPr>
        <w:spacing w:after="0"/>
      </w:pPr>
      <w:r>
        <w:separator/>
      </w:r>
    </w:p>
  </w:endnote>
  <w:endnote w:type="continuationSeparator" w:id="0">
    <w:p w14:paraId="32F00EC0" w14:textId="77777777" w:rsidR="00C70E57" w:rsidRDefault="00C70E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OpenSymbol;Arial Unicode MS">
    <w:panose1 w:val="00000000000000000000"/>
    <w:charset w:val="00"/>
    <w:family w:val="roman"/>
    <w:notTrueType/>
    <w:pitch w:val="default"/>
  </w:font>
  <w:font w:name="Liberation Sans">
    <w:altName w:val="Arial"/>
    <w:charset w:val="EE"/>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3C01" w14:textId="77777777" w:rsidR="00BC43DE" w:rsidRDefault="005220A5">
    <w:pPr>
      <w:pStyle w:val="Zpat"/>
      <w:jc w:val="right"/>
      <w:rPr>
        <w:sz w:val="16"/>
        <w:szCs w:val="16"/>
      </w:rPr>
    </w:pP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Pr>
        <w:rFonts w:ascii="Arial" w:hAnsi="Arial"/>
        <w:sz w:val="16"/>
        <w:szCs w:val="16"/>
      </w:rPr>
      <w:t>5</w:t>
    </w:r>
    <w:r>
      <w:rPr>
        <w:rFonts w:ascii="Arial" w:hAnsi="Arial"/>
        <w:sz w:val="16"/>
        <w:szCs w:val="16"/>
      </w:rPr>
      <w:fldChar w:fldCharType="end"/>
    </w:r>
    <w:r>
      <w:rPr>
        <w:rFonts w:ascii="Arial" w:hAnsi="Arial"/>
        <w:sz w:val="16"/>
        <w:szCs w:val="16"/>
      </w:rPr>
      <w:t>/</w:t>
    </w:r>
    <w:r>
      <w:rPr>
        <w:rFonts w:ascii="Arial" w:hAnsi="Arial"/>
        <w:sz w:val="16"/>
        <w:szCs w:val="16"/>
      </w:rPr>
      <w:fldChar w:fldCharType="begin"/>
    </w:r>
    <w:r>
      <w:rPr>
        <w:rFonts w:ascii="Arial" w:hAnsi="Arial"/>
        <w:sz w:val="16"/>
        <w:szCs w:val="16"/>
      </w:rPr>
      <w:instrText xml:space="preserve"> NUMPAGES </w:instrText>
    </w:r>
    <w:r>
      <w:rPr>
        <w:rFonts w:ascii="Arial" w:hAnsi="Arial"/>
        <w:sz w:val="16"/>
        <w:szCs w:val="16"/>
      </w:rPr>
      <w:fldChar w:fldCharType="separate"/>
    </w:r>
    <w:r>
      <w:rPr>
        <w:rFonts w:ascii="Arial" w:hAnsi="Arial"/>
        <w:sz w:val="16"/>
        <w:szCs w:val="16"/>
      </w:rPr>
      <w:t>5</w:t>
    </w:r>
    <w:r>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37295" w14:textId="77777777" w:rsidR="00C70E57" w:rsidRDefault="00C70E57">
      <w:pPr>
        <w:spacing w:after="0"/>
      </w:pPr>
      <w:r>
        <w:separator/>
      </w:r>
    </w:p>
  </w:footnote>
  <w:footnote w:type="continuationSeparator" w:id="0">
    <w:p w14:paraId="7B9B0FB9" w14:textId="77777777" w:rsidR="00C70E57" w:rsidRDefault="00C70E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41E5" w14:textId="77777777" w:rsidR="0018256B" w:rsidRDefault="0018256B" w:rsidP="0018256B">
    <w:pPr>
      <w:pStyle w:val="Zhlav"/>
      <w:jc w:val="right"/>
    </w:pPr>
  </w:p>
  <w:p w14:paraId="73FC02B0" w14:textId="77777777" w:rsidR="0018256B" w:rsidRDefault="0018256B" w:rsidP="0018256B">
    <w:pPr>
      <w:pStyle w:val="Zhlav"/>
      <w:jc w:val="right"/>
    </w:pPr>
  </w:p>
  <w:p w14:paraId="1770F35D" w14:textId="5B30A377" w:rsidR="0018256B" w:rsidRDefault="0018256B" w:rsidP="0018256B">
    <w:pPr>
      <w:pStyle w:val="Zhlav"/>
      <w:jc w:val="right"/>
    </w:pPr>
    <w:r>
      <w:t>PO1239/2023</w:t>
    </w:r>
  </w:p>
  <w:p w14:paraId="07BBDCA6" w14:textId="77777777" w:rsidR="00192523" w:rsidRDefault="001925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7D1A"/>
    <w:multiLevelType w:val="multilevel"/>
    <w:tmpl w:val="321A9F2A"/>
    <w:lvl w:ilvl="0">
      <w:start w:val="1"/>
      <w:numFmt w:val="decimal"/>
      <w:lvlText w:val="%1."/>
      <w:lvlJc w:val="left"/>
      <w:pPr>
        <w:tabs>
          <w:tab w:val="num" w:pos="363"/>
        </w:tabs>
        <w:ind w:left="363" w:hanging="363"/>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F33B61"/>
    <w:multiLevelType w:val="multilevel"/>
    <w:tmpl w:val="713A3ABC"/>
    <w:lvl w:ilvl="0">
      <w:start w:val="1"/>
      <w:numFmt w:val="decimal"/>
      <w:lvlText w:val="%1."/>
      <w:lvlJc w:val="left"/>
      <w:pPr>
        <w:tabs>
          <w:tab w:val="num" w:pos="363"/>
        </w:tabs>
        <w:ind w:left="363" w:hanging="363"/>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B2634E"/>
    <w:multiLevelType w:val="multilevel"/>
    <w:tmpl w:val="E1308622"/>
    <w:lvl w:ilvl="0">
      <w:start w:val="1"/>
      <w:numFmt w:val="decimal"/>
      <w:lvlText w:val="%1."/>
      <w:lvlJc w:val="left"/>
      <w:pPr>
        <w:tabs>
          <w:tab w:val="num" w:pos="363"/>
        </w:tabs>
        <w:ind w:left="363" w:hanging="363"/>
      </w:pPr>
      <w:rPr>
        <w:rFonts w:ascii="Times New Roman" w:hAnsi="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4896072"/>
    <w:multiLevelType w:val="multilevel"/>
    <w:tmpl w:val="92F8A126"/>
    <w:lvl w:ilvl="0">
      <w:start w:val="1"/>
      <w:numFmt w:val="decimal"/>
      <w:lvlText w:val="%1."/>
      <w:lvlJc w:val="left"/>
      <w:pPr>
        <w:tabs>
          <w:tab w:val="num" w:pos="363"/>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5D476CE"/>
    <w:multiLevelType w:val="multilevel"/>
    <w:tmpl w:val="2C66A8B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35E5585C"/>
    <w:multiLevelType w:val="multilevel"/>
    <w:tmpl w:val="F68E5D60"/>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0565384"/>
    <w:multiLevelType w:val="multilevel"/>
    <w:tmpl w:val="7E169642"/>
    <w:lvl w:ilvl="0">
      <w:start w:val="1"/>
      <w:numFmt w:val="decimal"/>
      <w:lvlText w:val="%1."/>
      <w:lvlJc w:val="left"/>
      <w:pPr>
        <w:tabs>
          <w:tab w:val="num" w:pos="363"/>
        </w:tabs>
        <w:ind w:left="363" w:hanging="363"/>
      </w:pPr>
      <w:rPr>
        <w:rFonts w:ascii="Times New Roman" w:eastAsia="Times New Roman" w:hAnsi="Times New Roman" w:cs="Times New Roman"/>
        <w:b w:val="0"/>
        <w:sz w:val="24"/>
        <w:szCs w:val="2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0F23C77"/>
    <w:multiLevelType w:val="multilevel"/>
    <w:tmpl w:val="C3DECABC"/>
    <w:lvl w:ilvl="0">
      <w:start w:val="1"/>
      <w:numFmt w:val="bullet"/>
      <w:lvlText w:val=""/>
      <w:lvlJc w:val="left"/>
      <w:pPr>
        <w:tabs>
          <w:tab w:val="num" w:pos="1110"/>
        </w:tabs>
        <w:ind w:left="1110" w:hanging="360"/>
      </w:pPr>
      <w:rPr>
        <w:rFonts w:ascii="Symbol" w:hAnsi="Symbol" w:cs="Symbol" w:hint="default"/>
      </w:rPr>
    </w:lvl>
    <w:lvl w:ilvl="1">
      <w:start w:val="1"/>
      <w:numFmt w:val="bullet"/>
      <w:lvlText w:val="◦"/>
      <w:lvlJc w:val="left"/>
      <w:pPr>
        <w:tabs>
          <w:tab w:val="num" w:pos="1470"/>
        </w:tabs>
        <w:ind w:left="1470" w:hanging="360"/>
      </w:pPr>
      <w:rPr>
        <w:rFonts w:ascii="OpenSymbol" w:hAnsi="OpenSymbol" w:cs="OpenSymbol" w:hint="default"/>
      </w:rPr>
    </w:lvl>
    <w:lvl w:ilvl="2">
      <w:start w:val="1"/>
      <w:numFmt w:val="bullet"/>
      <w:lvlText w:val="▪"/>
      <w:lvlJc w:val="left"/>
      <w:pPr>
        <w:tabs>
          <w:tab w:val="num" w:pos="1830"/>
        </w:tabs>
        <w:ind w:left="1830" w:hanging="360"/>
      </w:pPr>
      <w:rPr>
        <w:rFonts w:ascii="OpenSymbol" w:hAnsi="OpenSymbol" w:cs="OpenSymbol" w:hint="default"/>
      </w:rPr>
    </w:lvl>
    <w:lvl w:ilvl="3">
      <w:start w:val="1"/>
      <w:numFmt w:val="bullet"/>
      <w:lvlText w:val=""/>
      <w:lvlJc w:val="left"/>
      <w:pPr>
        <w:tabs>
          <w:tab w:val="num" w:pos="2190"/>
        </w:tabs>
        <w:ind w:left="2190" w:hanging="360"/>
      </w:pPr>
      <w:rPr>
        <w:rFonts w:ascii="Symbol" w:hAnsi="Symbol" w:cs="Symbol" w:hint="default"/>
      </w:rPr>
    </w:lvl>
    <w:lvl w:ilvl="4">
      <w:start w:val="1"/>
      <w:numFmt w:val="bullet"/>
      <w:lvlText w:val="◦"/>
      <w:lvlJc w:val="left"/>
      <w:pPr>
        <w:tabs>
          <w:tab w:val="num" w:pos="2550"/>
        </w:tabs>
        <w:ind w:left="2550" w:hanging="360"/>
      </w:pPr>
      <w:rPr>
        <w:rFonts w:ascii="OpenSymbol" w:hAnsi="OpenSymbol" w:cs="OpenSymbol" w:hint="default"/>
      </w:rPr>
    </w:lvl>
    <w:lvl w:ilvl="5">
      <w:start w:val="1"/>
      <w:numFmt w:val="bullet"/>
      <w:lvlText w:val="▪"/>
      <w:lvlJc w:val="left"/>
      <w:pPr>
        <w:tabs>
          <w:tab w:val="num" w:pos="2910"/>
        </w:tabs>
        <w:ind w:left="2910" w:hanging="360"/>
      </w:pPr>
      <w:rPr>
        <w:rFonts w:ascii="OpenSymbol" w:hAnsi="OpenSymbol" w:cs="OpenSymbol" w:hint="default"/>
      </w:rPr>
    </w:lvl>
    <w:lvl w:ilvl="6">
      <w:start w:val="1"/>
      <w:numFmt w:val="bullet"/>
      <w:lvlText w:val=""/>
      <w:lvlJc w:val="left"/>
      <w:pPr>
        <w:tabs>
          <w:tab w:val="num" w:pos="3270"/>
        </w:tabs>
        <w:ind w:left="3270" w:hanging="360"/>
      </w:pPr>
      <w:rPr>
        <w:rFonts w:ascii="Symbol" w:hAnsi="Symbol" w:cs="Symbol" w:hint="default"/>
      </w:rPr>
    </w:lvl>
    <w:lvl w:ilvl="7">
      <w:start w:val="1"/>
      <w:numFmt w:val="bullet"/>
      <w:lvlText w:val="◦"/>
      <w:lvlJc w:val="left"/>
      <w:pPr>
        <w:tabs>
          <w:tab w:val="num" w:pos="3630"/>
        </w:tabs>
        <w:ind w:left="3630" w:hanging="360"/>
      </w:pPr>
      <w:rPr>
        <w:rFonts w:ascii="OpenSymbol" w:hAnsi="OpenSymbol" w:cs="OpenSymbol" w:hint="default"/>
      </w:rPr>
    </w:lvl>
    <w:lvl w:ilvl="8">
      <w:start w:val="1"/>
      <w:numFmt w:val="bullet"/>
      <w:lvlText w:val="▪"/>
      <w:lvlJc w:val="left"/>
      <w:pPr>
        <w:tabs>
          <w:tab w:val="num" w:pos="3990"/>
        </w:tabs>
        <w:ind w:left="3990" w:hanging="360"/>
      </w:pPr>
      <w:rPr>
        <w:rFonts w:ascii="OpenSymbol" w:hAnsi="OpenSymbol" w:cs="OpenSymbol" w:hint="default"/>
      </w:rPr>
    </w:lvl>
  </w:abstractNum>
  <w:abstractNum w:abstractNumId="8" w15:restartNumberingAfterBreak="0">
    <w:nsid w:val="52717BAF"/>
    <w:multiLevelType w:val="multilevel"/>
    <w:tmpl w:val="90A470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46E4AFD"/>
    <w:multiLevelType w:val="multilevel"/>
    <w:tmpl w:val="10F4DE1E"/>
    <w:lvl w:ilvl="0">
      <w:start w:val="3"/>
      <w:numFmt w:val="decimal"/>
      <w:lvlText w:val="%1."/>
      <w:lvlJc w:val="left"/>
      <w:pPr>
        <w:tabs>
          <w:tab w:val="num" w:pos="363"/>
        </w:tabs>
        <w:ind w:left="363" w:hanging="363"/>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B73248F"/>
    <w:multiLevelType w:val="multilevel"/>
    <w:tmpl w:val="81C84E10"/>
    <w:lvl w:ilvl="0">
      <w:start w:val="1"/>
      <w:numFmt w:val="decimal"/>
      <w:lvlText w:val="%1."/>
      <w:lvlJc w:val="left"/>
      <w:pPr>
        <w:tabs>
          <w:tab w:val="num" w:pos="360"/>
        </w:tabs>
        <w:ind w:left="360" w:hanging="360"/>
      </w:pPr>
      <w:rPr>
        <w:rFonts w:eastAsia="Times New Roman" w:cs="Times New Roman"/>
        <w:b w:val="0"/>
        <w:bCs w:val="0"/>
        <w:sz w:val="24"/>
        <w:szCs w:val="24"/>
        <w:lang w:val="cs-CZ"/>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7257330F"/>
    <w:multiLevelType w:val="multilevel"/>
    <w:tmpl w:val="FD44B97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2" w15:restartNumberingAfterBreak="0">
    <w:nsid w:val="75E532C2"/>
    <w:multiLevelType w:val="multilevel"/>
    <w:tmpl w:val="EC08AF5A"/>
    <w:lvl w:ilvl="0">
      <w:start w:val="1"/>
      <w:numFmt w:val="decimal"/>
      <w:lvlText w:val="%1."/>
      <w:lvlJc w:val="left"/>
      <w:pPr>
        <w:tabs>
          <w:tab w:val="num" w:pos="363"/>
        </w:tabs>
        <w:ind w:left="363" w:hanging="363"/>
      </w:pPr>
      <w:rPr>
        <w:rFonts w:ascii="Times New Roman" w:hAnsi="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9CE360C"/>
    <w:multiLevelType w:val="multilevel"/>
    <w:tmpl w:val="56EC23E8"/>
    <w:lvl w:ilvl="0">
      <w:start w:val="1"/>
      <w:numFmt w:val="decimal"/>
      <w:lvlText w:val="%1."/>
      <w:lvlJc w:val="left"/>
      <w:pPr>
        <w:tabs>
          <w:tab w:val="num" w:pos="363"/>
        </w:tabs>
        <w:ind w:left="363" w:hanging="363"/>
      </w:pPr>
      <w:rPr>
        <w:rFonts w:ascii="Arial" w:hAnsi="Arial"/>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F605F5F"/>
    <w:multiLevelType w:val="multilevel"/>
    <w:tmpl w:val="23D884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02298583">
    <w:abstractNumId w:val="5"/>
  </w:num>
  <w:num w:numId="2" w16cid:durableId="626736104">
    <w:abstractNumId w:val="13"/>
  </w:num>
  <w:num w:numId="3" w16cid:durableId="378631266">
    <w:abstractNumId w:val="4"/>
  </w:num>
  <w:num w:numId="4" w16cid:durableId="1326932530">
    <w:abstractNumId w:val="8"/>
  </w:num>
  <w:num w:numId="5" w16cid:durableId="1953243724">
    <w:abstractNumId w:val="0"/>
  </w:num>
  <w:num w:numId="6" w16cid:durableId="259603338">
    <w:abstractNumId w:val="9"/>
  </w:num>
  <w:num w:numId="7" w16cid:durableId="1150288663">
    <w:abstractNumId w:val="2"/>
  </w:num>
  <w:num w:numId="8" w16cid:durableId="1477991012">
    <w:abstractNumId w:val="12"/>
  </w:num>
  <w:num w:numId="9" w16cid:durableId="214968085">
    <w:abstractNumId w:val="1"/>
  </w:num>
  <w:num w:numId="10" w16cid:durableId="405349012">
    <w:abstractNumId w:val="10"/>
  </w:num>
  <w:num w:numId="11" w16cid:durableId="493186970">
    <w:abstractNumId w:val="3"/>
  </w:num>
  <w:num w:numId="12" w16cid:durableId="1771583558">
    <w:abstractNumId w:val="6"/>
  </w:num>
  <w:num w:numId="13" w16cid:durableId="154225175">
    <w:abstractNumId w:val="7"/>
  </w:num>
  <w:num w:numId="14" w16cid:durableId="326858395">
    <w:abstractNumId w:val="11"/>
  </w:num>
  <w:num w:numId="15" w16cid:durableId="618225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C43DE"/>
    <w:rsid w:val="0018256B"/>
    <w:rsid w:val="00192523"/>
    <w:rsid w:val="00441313"/>
    <w:rsid w:val="005220A5"/>
    <w:rsid w:val="00B502B2"/>
    <w:rsid w:val="00BC43DE"/>
    <w:rsid w:val="00C70E57"/>
    <w:rsid w:val="00EB31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3B7D"/>
  <w15:docId w15:val="{B51668FA-7435-420B-A181-FD918740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spacing w:after="113"/>
      <w:jc w:val="both"/>
    </w:pPr>
    <w:rPr>
      <w:rFonts w:ascii="Times New Roman" w:hAnsi="Times New Roman"/>
      <w:sz w:val="24"/>
    </w:rPr>
  </w:style>
  <w:style w:type="paragraph" w:styleId="Nadpis1">
    <w:name w:val="heading 1"/>
    <w:basedOn w:val="Normln"/>
    <w:next w:val="Normln"/>
    <w:uiPriority w:val="9"/>
    <w:qFormat/>
    <w:pPr>
      <w:keepNext/>
      <w:numPr>
        <w:numId w:val="1"/>
      </w:numPr>
      <w:spacing w:before="227" w:after="227"/>
      <w:jc w:val="center"/>
      <w:outlineLvl w:val="0"/>
    </w:pPr>
    <w:rPr>
      <w:rFonts w:eastAsia="Times New Roman"/>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qFormat/>
    <w:rPr>
      <w:color w:val="000080"/>
      <w:u w:val="single"/>
    </w:rPr>
  </w:style>
  <w:style w:type="character" w:customStyle="1" w:styleId="WW8Num4z0">
    <w:name w:val="WW8Num4z0"/>
    <w:qFormat/>
    <w:rPr>
      <w:rFonts w:eastAsia="Times New Roman" w:cs="Times New Roman"/>
      <w:sz w:val="24"/>
      <w:szCs w:val="20"/>
      <w:lang w:val="cs-CZ"/>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0">
    <w:name w:val="WW8Num10z0"/>
    <w:qFormat/>
    <w:rPr>
      <w:rFonts w:ascii="Symbol" w:hAnsi="Symbol" w:cs="OpenSymbol;Arial Unicode MS"/>
    </w:rPr>
  </w:style>
  <w:style w:type="character" w:customStyle="1" w:styleId="WW8Num10z1">
    <w:name w:val="WW8Num10z1"/>
    <w:qFormat/>
    <w:rPr>
      <w:rFonts w:ascii="OpenSymbol;Arial Unicode MS" w:hAnsi="OpenSymbol;Arial Unicode MS" w:cs="OpenSymbol;Arial Unicode M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2z0">
    <w:name w:val="WW8Num2z0"/>
    <w:qFormat/>
    <w:rPr>
      <w:sz w:val="24"/>
      <w:szCs w:val="24"/>
    </w:rPr>
  </w:style>
  <w:style w:type="character" w:customStyle="1" w:styleId="WW8Num7z0">
    <w:name w:val="WW8Num7z0"/>
    <w:qFormat/>
    <w:rPr>
      <w:rFonts w:eastAsia="Times New Roman" w:cs="Times New Roman"/>
      <w:b w:val="0"/>
      <w:bCs w:val="0"/>
      <w:sz w:val="24"/>
      <w:szCs w:val="20"/>
      <w:lang w:val="cs-CZ"/>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b w:val="0"/>
      <w:bCs w:val="0"/>
      <w:sz w:val="24"/>
      <w:szCs w:val="24"/>
      <w:lang w:val="cs-CZ"/>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1z0">
    <w:name w:val="WW8Num11z0"/>
    <w:qFormat/>
    <w:rPr>
      <w:rFonts w:eastAsia="Times New Roman" w:cs="Times New Roman"/>
      <w:sz w:val="24"/>
      <w:szCs w:val="20"/>
      <w:lang w:val="cs-CZ"/>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Symbolyproslovn">
    <w:name w:val="Symboly pro číslování"/>
    <w:qFormat/>
    <w:rPr>
      <w:rFonts w:ascii="Arial" w:hAnsi="Arial"/>
      <w:sz w:val="22"/>
      <w:szCs w:val="22"/>
    </w:rPr>
  </w:style>
  <w:style w:type="character" w:customStyle="1" w:styleId="Odrky">
    <w:name w:val="Odrážky"/>
    <w:qFormat/>
    <w:rPr>
      <w:rFonts w:ascii="OpenSymbol" w:eastAsia="OpenSymbol" w:hAnsi="OpenSymbol" w:cs="OpenSymbol"/>
    </w:rPr>
  </w:style>
  <w:style w:type="character" w:styleId="slodku">
    <w:name w:val="line number"/>
  </w:style>
  <w:style w:type="character" w:customStyle="1" w:styleId="Bullets">
    <w:name w:val="Bullets"/>
    <w:qFormat/>
    <w:rPr>
      <w:rFonts w:ascii="OpenSymbol" w:eastAsia="OpenSymbol" w:hAnsi="OpenSymbol" w:cs="OpenSymbol"/>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qFormat/>
    <w:pPr>
      <w:suppressLineNumbers/>
    </w:pPr>
    <w:rPr>
      <w:rFonts w:cs="Arial Unicode MS"/>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customStyle="1" w:styleId="Rejstk">
    <w:name w:val="Rejstřík"/>
    <w:basedOn w:val="Normln"/>
    <w:qFormat/>
    <w:pPr>
      <w:suppressLineNumbers/>
    </w:pPr>
  </w:style>
  <w:style w:type="paragraph" w:customStyle="1" w:styleId="Obsahtabulky">
    <w:name w:val="Obsah tabulky"/>
    <w:basedOn w:val="Normln"/>
    <w:qFormat/>
    <w:pPr>
      <w:widowControl w:val="0"/>
      <w:suppressLineNumbers/>
      <w:spacing w:after="0"/>
      <w:textAlignment w:val="top"/>
    </w:pPr>
  </w:style>
  <w:style w:type="paragraph" w:customStyle="1" w:styleId="Zhlavazpat">
    <w:name w:val="Záhlaví a zápatí"/>
    <w:basedOn w:val="Normln"/>
    <w:qFormat/>
  </w:style>
  <w:style w:type="paragraph" w:customStyle="1" w:styleId="HeaderandFooter">
    <w:name w:val="Header and Footer"/>
    <w:basedOn w:val="Normln"/>
    <w:qFormat/>
  </w:style>
  <w:style w:type="paragraph" w:styleId="Zpat">
    <w:name w:val="footer"/>
    <w:basedOn w:val="Normln"/>
    <w:pPr>
      <w:suppressLineNumbers/>
      <w:tabs>
        <w:tab w:val="center" w:pos="4819"/>
        <w:tab w:val="right" w:pos="9638"/>
      </w:tabs>
    </w:pPr>
  </w:style>
  <w:style w:type="paragraph" w:customStyle="1" w:styleId="Nadpistabulky">
    <w:name w:val="Nadpis tabulky"/>
    <w:basedOn w:val="Obsahtabulky"/>
    <w:qFormat/>
    <w:pPr>
      <w:jc w:val="center"/>
    </w:pPr>
    <w:rPr>
      <w:b/>
      <w:bCs/>
    </w:rPr>
  </w:style>
  <w:style w:type="paragraph" w:customStyle="1" w:styleId="Vlastnrejstk1">
    <w:name w:val="Vlastní rejstřík 1"/>
    <w:basedOn w:val="Rejstk"/>
    <w:qFormat/>
    <w:pPr>
      <w:tabs>
        <w:tab w:val="right" w:leader="dot" w:pos="9638"/>
      </w:tabs>
      <w:spacing w:after="57"/>
      <w:ind w:left="720"/>
    </w:pPr>
  </w:style>
  <w:style w:type="paragraph" w:customStyle="1" w:styleId="Zatekslovn1">
    <w:name w:val="Začátek číslování 1"/>
    <w:basedOn w:val="Seznam"/>
    <w:next w:val="Seznamsodrkami4"/>
    <w:qFormat/>
    <w:pPr>
      <w:spacing w:after="57"/>
      <w:ind w:left="720" w:hanging="363"/>
    </w:pPr>
  </w:style>
  <w:style w:type="paragraph" w:styleId="Seznamsodrkami4">
    <w:name w:val="List Bullet 4"/>
    <w:basedOn w:val="Seznam"/>
    <w:qFormat/>
    <w:pPr>
      <w:spacing w:after="120"/>
      <w:ind w:left="360" w:hanging="360"/>
    </w:pPr>
  </w:style>
  <w:style w:type="numbering" w:customStyle="1" w:styleId="WW8Num4">
    <w:name w:val="WW8Num4"/>
    <w:qFormat/>
  </w:style>
  <w:style w:type="numbering" w:customStyle="1" w:styleId="WW8Num3">
    <w:name w:val="WW8Num3"/>
    <w:qFormat/>
  </w:style>
  <w:style w:type="numbering" w:customStyle="1" w:styleId="WW8Num10">
    <w:name w:val="WW8Num10"/>
    <w:qFormat/>
  </w:style>
  <w:style w:type="numbering" w:customStyle="1" w:styleId="WW8Num5">
    <w:name w:val="WW8Num5"/>
    <w:qFormat/>
  </w:style>
  <w:style w:type="numbering" w:customStyle="1" w:styleId="WW8Num6">
    <w:name w:val="WW8Num6"/>
    <w:qFormat/>
  </w:style>
  <w:style w:type="numbering" w:customStyle="1" w:styleId="WW8Num2">
    <w:name w:val="WW8Num2"/>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1">
    <w:name w:val="WW8Num11"/>
    <w:qFormat/>
  </w:style>
  <w:style w:type="numbering" w:customStyle="1" w:styleId="Seznam1">
    <w:name w:val="Seznam 1"/>
    <w:qFormat/>
  </w:style>
  <w:style w:type="paragraph" w:styleId="Zhlav">
    <w:name w:val="header"/>
    <w:basedOn w:val="Normln"/>
    <w:link w:val="ZhlavChar"/>
    <w:uiPriority w:val="99"/>
    <w:unhideWhenUsed/>
    <w:rsid w:val="00192523"/>
    <w:pPr>
      <w:tabs>
        <w:tab w:val="center" w:pos="4536"/>
        <w:tab w:val="right" w:pos="9072"/>
      </w:tabs>
      <w:spacing w:after="0"/>
    </w:pPr>
    <w:rPr>
      <w:rFonts w:cs="Mangal"/>
      <w:szCs w:val="21"/>
    </w:rPr>
  </w:style>
  <w:style w:type="character" w:customStyle="1" w:styleId="ZhlavChar">
    <w:name w:val="Záhlaví Char"/>
    <w:basedOn w:val="Standardnpsmoodstavce"/>
    <w:link w:val="Zhlav"/>
    <w:uiPriority w:val="99"/>
    <w:rsid w:val="00192523"/>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3B034-1B08-430E-A962-892CDDA55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43160-D1C9-4B83-8D59-C3A9BB472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2087</Words>
  <Characters>12316</Characters>
  <Application>Microsoft Office Word</Application>
  <DocSecurity>0</DocSecurity>
  <Lines>102</Lines>
  <Paragraphs>28</Paragraphs>
  <ScaleCrop>false</ScaleCrop>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Půlpytlová</dc:creator>
  <dc:description/>
  <cp:lastModifiedBy>Starostová Petra</cp:lastModifiedBy>
  <cp:revision>6</cp:revision>
  <cp:lastPrinted>2023-10-04T07:58:00Z</cp:lastPrinted>
  <dcterms:created xsi:type="dcterms:W3CDTF">2023-10-04T07:57:00Z</dcterms:created>
  <dcterms:modified xsi:type="dcterms:W3CDTF">2023-12-11T09:09:00Z</dcterms:modified>
  <dc:language>cs-CZ</dc:language>
</cp:coreProperties>
</file>