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5" w:rsidRDefault="003C6544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5220300245</w:t>
      </w:r>
    </w:p>
    <w:p w:rsidR="00E56BE5" w:rsidRDefault="003C6544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56BE5" w:rsidRDefault="003C6544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56BE5" w:rsidRDefault="00E56BE5">
      <w:pPr>
        <w:pStyle w:val="Zkladntext"/>
        <w:ind w:left="0"/>
        <w:rPr>
          <w:sz w:val="60"/>
        </w:rPr>
      </w:pPr>
    </w:p>
    <w:p w:rsidR="00E56BE5" w:rsidRDefault="003C6544">
      <w:pPr>
        <w:pStyle w:val="Zkladntext"/>
        <w:ind w:left="24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56BE5" w:rsidRDefault="00E56BE5">
      <w:pPr>
        <w:pStyle w:val="Zkladntext"/>
        <w:spacing w:before="1"/>
        <w:ind w:left="0"/>
      </w:pPr>
    </w:p>
    <w:p w:rsidR="00E56BE5" w:rsidRDefault="003C6544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56BE5" w:rsidRDefault="003C6544">
      <w:pPr>
        <w:pStyle w:val="Zkladntext"/>
        <w:tabs>
          <w:tab w:val="left" w:pos="3122"/>
        </w:tabs>
        <w:spacing w:line="265" w:lineRule="exact"/>
        <w:ind w:left="24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56BE5" w:rsidRDefault="003C6544">
      <w:pPr>
        <w:pStyle w:val="Zkladntext"/>
        <w:tabs>
          <w:tab w:val="left" w:pos="3122"/>
        </w:tabs>
        <w:ind w:left="24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56BE5" w:rsidRDefault="003C6544">
      <w:pPr>
        <w:pStyle w:val="Zkladntext"/>
        <w:tabs>
          <w:tab w:val="right" w:pos="3986"/>
        </w:tabs>
        <w:spacing w:before="1"/>
        <w:ind w:left="242"/>
      </w:pPr>
      <w:r>
        <w:t>IČO:</w:t>
      </w:r>
      <w:r>
        <w:tab/>
        <w:t>00020729</w:t>
      </w:r>
    </w:p>
    <w:p w:rsidR="00E56BE5" w:rsidRDefault="003C6544">
      <w:pPr>
        <w:pStyle w:val="Zkladntext"/>
        <w:tabs>
          <w:tab w:val="left" w:pos="3122"/>
        </w:tabs>
        <w:ind w:left="24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E56BE5" w:rsidRDefault="003C6544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56BE5" w:rsidRDefault="003C6544">
      <w:pPr>
        <w:pStyle w:val="Zkladntext"/>
        <w:tabs>
          <w:tab w:val="left" w:pos="3122"/>
        </w:tabs>
        <w:spacing w:before="1" w:line="265" w:lineRule="exact"/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E56BE5" w:rsidRDefault="003C6544">
      <w:pPr>
        <w:pStyle w:val="Zkladntext"/>
        <w:spacing w:line="480" w:lineRule="auto"/>
        <w:ind w:left="24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56BE5" w:rsidRDefault="003C6544">
      <w:pPr>
        <w:pStyle w:val="Nadpis2"/>
        <w:ind w:left="242"/>
        <w:jc w:val="left"/>
      </w:pPr>
      <w:r>
        <w:t>město</w:t>
      </w:r>
      <w:r>
        <w:rPr>
          <w:spacing w:val="-5"/>
        </w:rPr>
        <w:t xml:space="preserve"> </w:t>
      </w:r>
      <w:r>
        <w:t>Bojkovice</w:t>
      </w:r>
    </w:p>
    <w:p w:rsidR="00E56BE5" w:rsidRDefault="003C6544">
      <w:pPr>
        <w:pStyle w:val="Zkladntext"/>
        <w:tabs>
          <w:tab w:val="left" w:pos="3122"/>
        </w:tabs>
        <w:spacing w:line="265" w:lineRule="exact"/>
        <w:ind w:left="24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Bojkovice,</w:t>
      </w:r>
      <w:r>
        <w:rPr>
          <w:spacing w:val="-1"/>
        </w:rPr>
        <w:t xml:space="preserve"> </w:t>
      </w:r>
      <w:r>
        <w:t>Sušilova</w:t>
      </w:r>
      <w:r>
        <w:rPr>
          <w:spacing w:val="-2"/>
        </w:rPr>
        <w:t xml:space="preserve"> </w:t>
      </w:r>
      <w:r>
        <w:t>952,</w:t>
      </w:r>
      <w:r>
        <w:rPr>
          <w:spacing w:val="-1"/>
        </w:rPr>
        <w:t xml:space="preserve"> </w:t>
      </w:r>
      <w:r>
        <w:t>687</w:t>
      </w:r>
      <w:r>
        <w:rPr>
          <w:spacing w:val="-2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Bojkovice</w:t>
      </w:r>
    </w:p>
    <w:p w:rsidR="00E56BE5" w:rsidRDefault="003C6544">
      <w:pPr>
        <w:pStyle w:val="Zkladntext"/>
        <w:tabs>
          <w:tab w:val="left" w:pos="3122"/>
        </w:tabs>
        <w:spacing w:line="265" w:lineRule="exact"/>
        <w:ind w:left="242"/>
      </w:pPr>
      <w:r>
        <w:t>IČO:</w:t>
      </w:r>
      <w:r>
        <w:tab/>
        <w:t>00290807</w:t>
      </w:r>
    </w:p>
    <w:p w:rsidR="00E56BE5" w:rsidRDefault="003C6544">
      <w:pPr>
        <w:pStyle w:val="Zkladntext"/>
        <w:tabs>
          <w:tab w:val="left" w:pos="3122"/>
        </w:tabs>
        <w:spacing w:before="1"/>
        <w:ind w:left="242"/>
      </w:pPr>
      <w:r>
        <w:t>zastoupené:</w:t>
      </w:r>
      <w:r>
        <w:tab/>
        <w:t>Mgr.</w:t>
      </w:r>
      <w:r>
        <w:rPr>
          <w:spacing w:val="-1"/>
        </w:rPr>
        <w:t xml:space="preserve"> </w:t>
      </w:r>
      <w:r>
        <w:t>Petrem V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starostou</w:t>
      </w:r>
    </w:p>
    <w:p w:rsidR="00E56BE5" w:rsidRDefault="003C6544">
      <w:pPr>
        <w:pStyle w:val="Zkladntext"/>
        <w:tabs>
          <w:tab w:val="left" w:pos="3122"/>
        </w:tabs>
        <w:ind w:left="24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56BE5" w:rsidRDefault="003C6544">
      <w:pPr>
        <w:pStyle w:val="Zkladntext"/>
        <w:tabs>
          <w:tab w:val="left" w:pos="3122"/>
        </w:tabs>
        <w:ind w:left="24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94-5610721/0710</w:t>
      </w:r>
    </w:p>
    <w:p w:rsidR="00E56BE5" w:rsidRDefault="003C6544">
      <w:pPr>
        <w:pStyle w:val="Zkladntext"/>
        <w:spacing w:before="1"/>
        <w:ind w:left="24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56BE5" w:rsidRDefault="00E56BE5">
      <w:pPr>
        <w:pStyle w:val="Zkladntext"/>
        <w:spacing w:before="1"/>
        <w:ind w:left="0"/>
      </w:pPr>
    </w:p>
    <w:p w:rsidR="00E56BE5" w:rsidRDefault="003C6544">
      <w:pPr>
        <w:pStyle w:val="Zkladntext"/>
        <w:ind w:left="24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56BE5" w:rsidRDefault="00E56BE5">
      <w:pPr>
        <w:pStyle w:val="Zkladntext"/>
        <w:spacing w:before="12"/>
        <w:ind w:left="0"/>
        <w:rPr>
          <w:sz w:val="35"/>
        </w:rPr>
      </w:pPr>
    </w:p>
    <w:p w:rsidR="00E56BE5" w:rsidRDefault="003C6544">
      <w:pPr>
        <w:pStyle w:val="Nadpis1"/>
        <w:ind w:right="1027"/>
      </w:pPr>
      <w:r>
        <w:t>I.</w:t>
      </w:r>
    </w:p>
    <w:p w:rsidR="00E56BE5" w:rsidRDefault="003C6544">
      <w:pPr>
        <w:pStyle w:val="Nadpis2"/>
        <w:ind w:right="10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56BE5" w:rsidRDefault="00E56BE5">
      <w:pPr>
        <w:pStyle w:val="Zkladntext"/>
        <w:spacing w:before="1"/>
        <w:ind w:left="0"/>
        <w:rPr>
          <w:b/>
          <w:sz w:val="18"/>
        </w:rPr>
      </w:pPr>
    </w:p>
    <w:p w:rsidR="00E56BE5" w:rsidRDefault="003C6544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56BE5" w:rsidRDefault="003C6544">
      <w:pPr>
        <w:pStyle w:val="Zkladntext"/>
        <w:ind w:right="111"/>
        <w:jc w:val="both"/>
      </w:pPr>
      <w:r>
        <w:t>„Smlouva“) se uzavírá na základě Rozhodnutí ministra životního prostředí č. 5220300245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E56BE5" w:rsidRDefault="003C6544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56BE5" w:rsidRDefault="00E56BE5">
      <w:pPr>
        <w:jc w:val="both"/>
        <w:rPr>
          <w:sz w:val="20"/>
        </w:rPr>
        <w:sectPr w:rsidR="00E56BE5">
          <w:footerReference w:type="default" r:id="rId7"/>
          <w:type w:val="continuous"/>
          <w:pgSz w:w="12240" w:h="15840"/>
          <w:pgMar w:top="1060" w:right="1020" w:bottom="1660" w:left="1460" w:header="0" w:footer="1460" w:gutter="0"/>
          <w:pgNumType w:start="1"/>
          <w:cols w:space="708"/>
        </w:sectPr>
      </w:pPr>
    </w:p>
    <w:p w:rsidR="00E56BE5" w:rsidRDefault="003C6544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56BE5" w:rsidRDefault="003C6544">
      <w:pPr>
        <w:pStyle w:val="Nadpis2"/>
        <w:spacing w:before="120"/>
        <w:ind w:left="2889"/>
        <w:jc w:val="left"/>
      </w:pPr>
      <w:r>
        <w:t>„Město</w:t>
      </w:r>
      <w:r>
        <w:rPr>
          <w:spacing w:val="-4"/>
        </w:rPr>
        <w:t xml:space="preserve"> </w:t>
      </w:r>
      <w:r>
        <w:t>Bojkovice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pořízení</w:t>
      </w:r>
      <w:r>
        <w:rPr>
          <w:spacing w:val="-2"/>
        </w:rPr>
        <w:t xml:space="preserve"> </w:t>
      </w:r>
      <w:r>
        <w:t>elektromobilu“</w:t>
      </w:r>
    </w:p>
    <w:p w:rsidR="00E56BE5" w:rsidRDefault="003C6544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E56BE5" w:rsidRDefault="00E56BE5">
      <w:pPr>
        <w:pStyle w:val="Zkladntext"/>
        <w:spacing w:before="1"/>
        <w:ind w:left="0"/>
        <w:rPr>
          <w:sz w:val="36"/>
        </w:rPr>
      </w:pPr>
    </w:p>
    <w:p w:rsidR="00E56BE5" w:rsidRDefault="003C6544">
      <w:pPr>
        <w:pStyle w:val="Nadpis1"/>
        <w:ind w:right="1027"/>
      </w:pPr>
      <w:r>
        <w:t>II.</w:t>
      </w:r>
    </w:p>
    <w:p w:rsidR="00E56BE5" w:rsidRDefault="003C6544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56BE5" w:rsidRDefault="00E56BE5">
      <w:pPr>
        <w:pStyle w:val="Zkladntext"/>
        <w:spacing w:before="1"/>
        <w:ind w:left="0"/>
        <w:rPr>
          <w:b/>
          <w:sz w:val="18"/>
        </w:rPr>
      </w:pPr>
    </w:p>
    <w:p w:rsidR="00E56BE5" w:rsidRDefault="003C6544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204 132,00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E56BE5" w:rsidRDefault="003C6544">
      <w:pPr>
        <w:pStyle w:val="Zkladntext"/>
        <w:spacing w:line="265" w:lineRule="exact"/>
      </w:pPr>
      <w:r>
        <w:t>dvě</w:t>
      </w:r>
      <w:r>
        <w:rPr>
          <w:spacing w:val="-3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čtyři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třicet dva</w:t>
      </w:r>
      <w:r>
        <w:rPr>
          <w:spacing w:val="-2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českých).</w:t>
      </w:r>
    </w:p>
    <w:p w:rsidR="00E56BE5" w:rsidRDefault="003C654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relevantní).</w:t>
      </w:r>
    </w:p>
    <w:p w:rsidR="00E56BE5" w:rsidRDefault="003C6544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E56BE5" w:rsidRDefault="003C6544">
      <w:pPr>
        <w:pStyle w:val="Odstavecseseznamem"/>
        <w:numPr>
          <w:ilvl w:val="0"/>
          <w:numId w:val="5"/>
        </w:numPr>
        <w:tabs>
          <w:tab w:val="left" w:pos="526"/>
        </w:tabs>
        <w:spacing w:before="123" w:line="237" w:lineRule="auto"/>
        <w:ind w:right="11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E56BE5" w:rsidRDefault="003C6544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56BE5" w:rsidRDefault="003C6544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0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E56BE5" w:rsidRDefault="00E56BE5">
      <w:pPr>
        <w:pStyle w:val="Zkladntext"/>
        <w:spacing w:before="2"/>
        <w:ind w:left="0"/>
        <w:rPr>
          <w:sz w:val="36"/>
        </w:rPr>
      </w:pPr>
    </w:p>
    <w:p w:rsidR="00E56BE5" w:rsidRDefault="003C6544">
      <w:pPr>
        <w:pStyle w:val="Nadpis1"/>
        <w:ind w:right="1031"/>
      </w:pPr>
      <w:r>
        <w:t>III.</w:t>
      </w:r>
    </w:p>
    <w:p w:rsidR="00E56BE5" w:rsidRDefault="003C6544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56BE5" w:rsidRDefault="00E56BE5">
      <w:pPr>
        <w:pStyle w:val="Zkladntext"/>
        <w:spacing w:before="11"/>
        <w:ind w:left="0"/>
        <w:rPr>
          <w:b/>
          <w:sz w:val="17"/>
        </w:rPr>
      </w:pP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E56BE5" w:rsidRDefault="00E56BE5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E56BE5">
        <w:trPr>
          <w:trHeight w:val="506"/>
        </w:trPr>
        <w:tc>
          <w:tcPr>
            <w:tcW w:w="3970" w:type="dxa"/>
          </w:tcPr>
          <w:p w:rsidR="00E56BE5" w:rsidRDefault="003C6544">
            <w:pPr>
              <w:pStyle w:val="TableParagraph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E56BE5" w:rsidRDefault="003C6544">
            <w:pPr>
              <w:pStyle w:val="TableParagraph"/>
              <w:ind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56BE5">
        <w:trPr>
          <w:trHeight w:val="506"/>
        </w:trPr>
        <w:tc>
          <w:tcPr>
            <w:tcW w:w="3970" w:type="dxa"/>
          </w:tcPr>
          <w:p w:rsidR="00E56BE5" w:rsidRDefault="003C6544">
            <w:pPr>
              <w:pStyle w:val="TableParagraph"/>
              <w:ind w:left="1768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E56BE5" w:rsidRDefault="003C6544">
            <w:pPr>
              <w:pStyle w:val="TableParagraph"/>
              <w:ind w:right="1941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132,00</w:t>
            </w:r>
          </w:p>
        </w:tc>
      </w:tr>
    </w:tbl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E56BE5" w:rsidRDefault="00E56BE5">
      <w:pPr>
        <w:jc w:val="both"/>
        <w:rPr>
          <w:sz w:val="20"/>
        </w:rPr>
        <w:sectPr w:rsidR="00E56BE5">
          <w:pgSz w:w="12240" w:h="15840"/>
          <w:pgMar w:top="1060" w:right="1020" w:bottom="1660" w:left="1460" w:header="0" w:footer="1460" w:gutter="0"/>
          <w:cols w:space="708"/>
        </w:sectPr>
      </w:pPr>
    </w:p>
    <w:p w:rsidR="00E56BE5" w:rsidRDefault="003C6544">
      <w:pPr>
        <w:pStyle w:val="Zkladntext"/>
        <w:spacing w:before="73"/>
        <w:jc w:val="both"/>
      </w:pPr>
      <w:r>
        <w:lastRenderedPageBreak/>
        <w:t>Fondem</w:t>
      </w:r>
      <w:r>
        <w:rPr>
          <w:spacing w:val="29"/>
        </w:rPr>
        <w:t xml:space="preserve"> </w:t>
      </w:r>
      <w:r>
        <w:t>akceptovaného</w:t>
      </w:r>
      <w:r>
        <w:rPr>
          <w:spacing w:val="29"/>
        </w:rPr>
        <w:t xml:space="preserve"> </w:t>
      </w:r>
      <w:r>
        <w:t>finančně</w:t>
      </w:r>
      <w:r>
        <w:rPr>
          <w:spacing w:val="28"/>
        </w:rPr>
        <w:t xml:space="preserve"> </w:t>
      </w:r>
      <w:r>
        <w:t>platebního</w:t>
      </w:r>
      <w:r>
        <w:rPr>
          <w:spacing w:val="29"/>
        </w:rPr>
        <w:t xml:space="preserve"> </w:t>
      </w:r>
      <w:r>
        <w:t>kalendáře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AIS</w:t>
      </w:r>
      <w:r>
        <w:rPr>
          <w:spacing w:val="29"/>
        </w:rPr>
        <w:t xml:space="preserve"> </w:t>
      </w:r>
      <w:r>
        <w:t>SFŽP</w:t>
      </w:r>
      <w:r>
        <w:rPr>
          <w:spacing w:val="30"/>
        </w:rPr>
        <w:t xml:space="preserve"> </w:t>
      </w:r>
      <w:r>
        <w:t>ČR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žádostí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</w:t>
      </w:r>
    </w:p>
    <w:p w:rsidR="00E56BE5" w:rsidRDefault="003C6544">
      <w:pPr>
        <w:pStyle w:val="Zkladntext"/>
        <w:jc w:val="both"/>
      </w:pP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 ČR.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E56BE5" w:rsidRDefault="003C6544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E56BE5" w:rsidRDefault="003C6544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E56BE5" w:rsidRDefault="00E56BE5">
      <w:pPr>
        <w:pStyle w:val="Zkladntext"/>
        <w:spacing w:before="9"/>
        <w:ind w:left="0"/>
        <w:rPr>
          <w:sz w:val="28"/>
        </w:rPr>
      </w:pPr>
    </w:p>
    <w:p w:rsidR="00E56BE5" w:rsidRDefault="003C6544">
      <w:pPr>
        <w:pStyle w:val="Nadpis1"/>
        <w:spacing w:before="99"/>
      </w:pPr>
      <w:r>
        <w:t>IV.</w:t>
      </w:r>
    </w:p>
    <w:p w:rsidR="00E56BE5" w:rsidRDefault="003C6544">
      <w:pPr>
        <w:pStyle w:val="Nadpis2"/>
        <w:ind w:right="103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56BE5" w:rsidRDefault="00E56BE5">
      <w:pPr>
        <w:pStyle w:val="Zkladntext"/>
        <w:ind w:left="0"/>
        <w:rPr>
          <w:b/>
          <w:sz w:val="18"/>
        </w:rPr>
      </w:pPr>
    </w:p>
    <w:p w:rsidR="00E56BE5" w:rsidRDefault="003C6544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49"/>
          <w:tab w:val="left" w:pos="950"/>
        </w:tabs>
        <w:spacing w:before="118"/>
        <w:ind w:right="112"/>
        <w:jc w:val="left"/>
        <w:rPr>
          <w:sz w:val="20"/>
        </w:rPr>
      </w:pPr>
      <w:r>
        <w:rPr>
          <w:sz w:val="20"/>
        </w:rPr>
        <w:t>akce</w:t>
      </w:r>
      <w:r>
        <w:rPr>
          <w:spacing w:val="32"/>
          <w:sz w:val="20"/>
        </w:rPr>
        <w:t xml:space="preserve"> </w:t>
      </w:r>
      <w:r>
        <w:rPr>
          <w:sz w:val="20"/>
        </w:rPr>
        <w:t>„Město</w:t>
      </w:r>
      <w:r>
        <w:rPr>
          <w:spacing w:val="34"/>
          <w:sz w:val="20"/>
        </w:rPr>
        <w:t xml:space="preserve"> </w:t>
      </w:r>
      <w:r>
        <w:rPr>
          <w:sz w:val="20"/>
        </w:rPr>
        <w:t>Bojkovice</w:t>
      </w:r>
      <w:r>
        <w:rPr>
          <w:spacing w:val="34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pořízení</w:t>
      </w:r>
      <w:r>
        <w:rPr>
          <w:spacing w:val="34"/>
          <w:sz w:val="20"/>
        </w:rPr>
        <w:t xml:space="preserve"> </w:t>
      </w:r>
      <w:r>
        <w:rPr>
          <w:sz w:val="20"/>
        </w:rPr>
        <w:t>elektromobilu“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35"/>
          <w:sz w:val="20"/>
        </w:rPr>
        <w:t xml:space="preserve"> </w:t>
      </w:r>
      <w:r>
        <w:rPr>
          <w:sz w:val="20"/>
        </w:rPr>
        <w:t>provedena</w:t>
      </w:r>
      <w:r>
        <w:rPr>
          <w:spacing w:val="32"/>
          <w:sz w:val="20"/>
        </w:rPr>
        <w:t xml:space="preserve"> </w:t>
      </w:r>
      <w:r>
        <w:rPr>
          <w:sz w:val="20"/>
        </w:rPr>
        <w:t>v souladu</w:t>
      </w:r>
      <w:r>
        <w:rPr>
          <w:spacing w:val="3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33"/>
          <w:sz w:val="20"/>
        </w:rPr>
        <w:t xml:space="preserve"> </w:t>
      </w:r>
      <w:r>
        <w:rPr>
          <w:sz w:val="20"/>
        </w:rPr>
        <w:t>žádostí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49"/>
          <w:tab w:val="left" w:pos="950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10.</w:t>
      </w:r>
      <w:r>
        <w:rPr>
          <w:spacing w:val="-3"/>
          <w:sz w:val="20"/>
        </w:rPr>
        <w:t xml:space="preserve"> </w:t>
      </w:r>
      <w:r>
        <w:rPr>
          <w:sz w:val="20"/>
        </w:rPr>
        <w:t>08.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nakoupil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49"/>
          <w:tab w:val="left" w:pos="950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56BE5" w:rsidRDefault="003C6544">
      <w:pPr>
        <w:pStyle w:val="Zkladntext"/>
        <w:spacing w:before="120"/>
        <w:ind w:right="119"/>
        <w:jc w:val="both"/>
      </w:pPr>
      <w:r>
        <w:t>Příjemce podpory bere na vědomí, že pokud toto prohlášení není pravdivé, bude přijetí podpory podle</w:t>
      </w:r>
      <w:r>
        <w:rPr>
          <w:spacing w:val="1"/>
        </w:rPr>
        <w:t xml:space="preserve"> </w:t>
      </w:r>
      <w:r>
        <w:t>Smlouvy považováno za neoprávněné použití fina</w:t>
      </w:r>
      <w:r>
        <w:t>nčních prostředků poskytnutých ze státního fondu ve</w:t>
      </w:r>
      <w:r>
        <w:rPr>
          <w:spacing w:val="1"/>
        </w:rPr>
        <w:t xml:space="preserve"> </w:t>
      </w:r>
      <w:r>
        <w:t>smyslu zákona č. 218/2000 Sb., o rozpočtových pravidlech a o změně některých souvisejících zákonů</w:t>
      </w:r>
      <w:r>
        <w:rPr>
          <w:spacing w:val="1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 znění,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1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49"/>
          <w:tab w:val="left" w:pos="950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49"/>
          <w:tab w:val="left" w:pos="950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49"/>
          <w:tab w:val="left" w:pos="950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50"/>
        </w:tabs>
        <w:spacing w:before="118"/>
        <w:ind w:right="109"/>
        <w:rPr>
          <w:sz w:val="20"/>
        </w:rPr>
      </w:pPr>
      <w:r>
        <w:rPr>
          <w:sz w:val="20"/>
        </w:rPr>
        <w:t>bude</w:t>
      </w:r>
      <w:r>
        <w:rPr>
          <w:spacing w:val="17"/>
          <w:sz w:val="20"/>
        </w:rPr>
        <w:t xml:space="preserve"> </w:t>
      </w:r>
      <w:r>
        <w:rPr>
          <w:sz w:val="20"/>
        </w:rPr>
        <w:t>veškeré</w:t>
      </w:r>
      <w:r>
        <w:rPr>
          <w:spacing w:val="19"/>
          <w:sz w:val="20"/>
        </w:rPr>
        <w:t xml:space="preserve"> </w:t>
      </w:r>
      <w:r>
        <w:rPr>
          <w:sz w:val="20"/>
        </w:rPr>
        <w:t>výdaje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21"/>
          <w:sz w:val="20"/>
        </w:rPr>
        <w:t xml:space="preserve"> </w:t>
      </w:r>
      <w:r>
        <w:rPr>
          <w:sz w:val="20"/>
        </w:rPr>
        <w:t>vést</w:t>
      </w:r>
      <w:r>
        <w:rPr>
          <w:spacing w:val="1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1"/>
          <w:sz w:val="20"/>
        </w:rPr>
        <w:t xml:space="preserve"> </w:t>
      </w:r>
      <w:r>
        <w:rPr>
          <w:sz w:val="20"/>
        </w:rPr>
        <w:t>(zákon</w:t>
      </w:r>
      <w:r>
        <w:rPr>
          <w:spacing w:val="22"/>
          <w:sz w:val="20"/>
        </w:rPr>
        <w:t xml:space="preserve"> </w:t>
      </w:r>
      <w:r>
        <w:rPr>
          <w:sz w:val="20"/>
        </w:rPr>
        <w:t>č.</w:t>
      </w:r>
      <w:r>
        <w:rPr>
          <w:spacing w:val="21"/>
          <w:sz w:val="20"/>
        </w:rPr>
        <w:t xml:space="preserve"> </w:t>
      </w:r>
      <w:r>
        <w:rPr>
          <w:sz w:val="20"/>
        </w:rPr>
        <w:t>563/1991</w:t>
      </w:r>
      <w:r>
        <w:rPr>
          <w:spacing w:val="20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platném</w:t>
      </w:r>
      <w:r>
        <w:rPr>
          <w:spacing w:val="19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8"/>
          <w:sz w:val="20"/>
        </w:rPr>
        <w:t xml:space="preserve"> </w:t>
      </w:r>
      <w:r>
        <w:rPr>
          <w:sz w:val="20"/>
        </w:rPr>
        <w:t>daňové</w:t>
      </w:r>
      <w:r>
        <w:rPr>
          <w:spacing w:val="-7"/>
          <w:sz w:val="20"/>
        </w:rPr>
        <w:t xml:space="preserve"> </w:t>
      </w:r>
      <w:r>
        <w:rPr>
          <w:sz w:val="20"/>
        </w:rPr>
        <w:t>evidenci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daních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znění)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pokynů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5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50"/>
        </w:tabs>
        <w:spacing w:before="122"/>
        <w:ind w:right="114"/>
        <w:rPr>
          <w:sz w:val="20"/>
        </w:rPr>
      </w:pP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čerpat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stejné</w:t>
      </w:r>
      <w:r>
        <w:rPr>
          <w:spacing w:val="-1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1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části</w:t>
      </w:r>
      <w:r>
        <w:rPr>
          <w:spacing w:val="-11"/>
          <w:sz w:val="20"/>
        </w:rPr>
        <w:t xml:space="preserve"> </w:t>
      </w:r>
      <w:r>
        <w:rPr>
          <w:sz w:val="20"/>
        </w:rPr>
        <w:t>jinou</w:t>
      </w:r>
      <w:r>
        <w:rPr>
          <w:spacing w:val="-1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z w:val="20"/>
        </w:rPr>
        <w:t>107</w:t>
      </w:r>
      <w:r>
        <w:rPr>
          <w:spacing w:val="-52"/>
          <w:sz w:val="20"/>
        </w:rPr>
        <w:t xml:space="preserve"> </w:t>
      </w:r>
      <w:r>
        <w:rPr>
          <w:sz w:val="20"/>
        </w:rPr>
        <w:t>odst. 1 Smlouvy o fungování Evropské unie, podporu z prostředků Unie, které centrálně spravují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orgány,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jiné</w:t>
      </w:r>
      <w:r>
        <w:rPr>
          <w:spacing w:val="-12"/>
          <w:sz w:val="20"/>
        </w:rPr>
        <w:t xml:space="preserve"> </w:t>
      </w:r>
      <w:r>
        <w:rPr>
          <w:sz w:val="20"/>
        </w:rPr>
        <w:t>subjekty</w:t>
      </w:r>
      <w:r>
        <w:rPr>
          <w:spacing w:val="-13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13"/>
          <w:sz w:val="20"/>
        </w:rPr>
        <w:t xml:space="preserve"> </w:t>
      </w:r>
      <w:r>
        <w:rPr>
          <w:sz w:val="20"/>
        </w:rPr>
        <w:t>přímo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2"/>
          <w:sz w:val="20"/>
        </w:rPr>
        <w:t xml:space="preserve"> </w:t>
      </w:r>
      <w:r>
        <w:rPr>
          <w:sz w:val="20"/>
        </w:rPr>
        <w:t>kontrolou</w:t>
      </w:r>
      <w:r>
        <w:rPr>
          <w:spacing w:val="-5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8"/>
          <w:sz w:val="20"/>
        </w:rPr>
        <w:t xml:space="preserve"> </w:t>
      </w:r>
      <w:r>
        <w:rPr>
          <w:sz w:val="20"/>
        </w:rPr>
        <w:t>států,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státního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dalších</w:t>
      </w:r>
      <w:r>
        <w:rPr>
          <w:spacing w:val="-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režimu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</w:p>
    <w:p w:rsidR="00E56BE5" w:rsidRDefault="00E56BE5">
      <w:pPr>
        <w:jc w:val="both"/>
        <w:rPr>
          <w:sz w:val="20"/>
        </w:rPr>
        <w:sectPr w:rsidR="00E56BE5">
          <w:pgSz w:w="12240" w:h="15840"/>
          <w:pgMar w:top="1060" w:right="1020" w:bottom="1660" w:left="1460" w:header="0" w:footer="1460" w:gutter="0"/>
          <w:cols w:space="708"/>
        </w:sectPr>
      </w:pPr>
    </w:p>
    <w:p w:rsidR="00E56BE5" w:rsidRDefault="003C6544">
      <w:pPr>
        <w:pStyle w:val="Zkladntext"/>
        <w:spacing w:before="73"/>
        <w:ind w:left="950"/>
      </w:pPr>
      <w:r>
        <w:lastRenderedPageBreak/>
        <w:t>minimis,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50"/>
        </w:tabs>
        <w:spacing w:before="120"/>
        <w:ind w:right="112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50"/>
        </w:tabs>
        <w:spacing w:before="122"/>
        <w:ind w:right="11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-53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50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56BE5" w:rsidRDefault="003C6544">
      <w:pPr>
        <w:pStyle w:val="Odstavecseseznamem"/>
        <w:numPr>
          <w:ilvl w:val="2"/>
          <w:numId w:val="3"/>
        </w:numPr>
        <w:tabs>
          <w:tab w:val="left" w:pos="950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E56BE5" w:rsidRDefault="003C6544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</w:t>
      </w:r>
      <w:r>
        <w:rPr>
          <w:sz w:val="20"/>
        </w:rPr>
        <w:t>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E56BE5" w:rsidRDefault="003C6544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56BE5" w:rsidRDefault="00E56BE5">
      <w:pPr>
        <w:jc w:val="both"/>
        <w:rPr>
          <w:sz w:val="20"/>
        </w:rPr>
        <w:sectPr w:rsidR="00E56BE5">
          <w:pgSz w:w="12240" w:h="15840"/>
          <w:pgMar w:top="1060" w:right="1020" w:bottom="1660" w:left="1460" w:header="0" w:footer="1460" w:gutter="0"/>
          <w:cols w:space="708"/>
        </w:sectPr>
      </w:pPr>
    </w:p>
    <w:p w:rsidR="00E56BE5" w:rsidRDefault="003C6544">
      <w:pPr>
        <w:pStyle w:val="Nadpis1"/>
        <w:spacing w:before="73"/>
      </w:pPr>
      <w:r>
        <w:lastRenderedPageBreak/>
        <w:t>V.</w:t>
      </w:r>
    </w:p>
    <w:p w:rsidR="00E56BE5" w:rsidRDefault="003C6544">
      <w:pPr>
        <w:pStyle w:val="Nadpis2"/>
        <w:spacing w:before="0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56BE5" w:rsidRDefault="00E56BE5">
      <w:pPr>
        <w:pStyle w:val="Zkladntext"/>
        <w:spacing w:before="1"/>
        <w:ind w:left="0"/>
        <w:rPr>
          <w:b/>
          <w:sz w:val="18"/>
        </w:rPr>
      </w:pPr>
    </w:p>
    <w:p w:rsidR="00E56BE5" w:rsidRDefault="003C6544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E56BE5" w:rsidRDefault="003C6544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</w:t>
      </w:r>
      <w:r>
        <w:rPr>
          <w:sz w:val="20"/>
        </w:rPr>
        <w:t>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E56BE5" w:rsidRDefault="003C6544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9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9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4"/>
          <w:sz w:val="20"/>
        </w:rPr>
        <w:t xml:space="preserve"> </w:t>
      </w:r>
      <w:r>
        <w:rPr>
          <w:sz w:val="20"/>
        </w:rPr>
        <w:t>toto</w:t>
      </w:r>
      <w:r>
        <w:rPr>
          <w:spacing w:val="82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56BE5" w:rsidRDefault="003C6544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E56BE5" w:rsidRDefault="003C6544">
      <w:pPr>
        <w:pStyle w:val="Zkladntext"/>
        <w:spacing w:before="1"/>
      </w:pPr>
      <w:r>
        <w:t>podpory.</w:t>
      </w:r>
    </w:p>
    <w:p w:rsidR="00E56BE5" w:rsidRDefault="00E56BE5">
      <w:pPr>
        <w:pStyle w:val="Zkladntext"/>
        <w:spacing w:before="1"/>
        <w:ind w:left="0"/>
        <w:rPr>
          <w:sz w:val="36"/>
        </w:rPr>
      </w:pPr>
    </w:p>
    <w:p w:rsidR="00E56BE5" w:rsidRDefault="003C6544">
      <w:pPr>
        <w:pStyle w:val="Nadpis1"/>
      </w:pPr>
      <w:r>
        <w:t>VI.</w:t>
      </w:r>
    </w:p>
    <w:p w:rsidR="00E56BE5" w:rsidRDefault="003C6544">
      <w:pPr>
        <w:pStyle w:val="Nadpis2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56BE5" w:rsidRDefault="00E56BE5">
      <w:pPr>
        <w:pStyle w:val="Zkladntext"/>
        <w:spacing w:before="11"/>
        <w:ind w:left="0"/>
        <w:rPr>
          <w:b/>
          <w:sz w:val="17"/>
        </w:rPr>
      </w:pP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56BE5" w:rsidRDefault="003C6544">
      <w:pPr>
        <w:pStyle w:val="Zkladntext"/>
        <w:spacing w:before="1"/>
      </w:pPr>
      <w:r>
        <w:t>Smlouvou.</w:t>
      </w: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56BE5" w:rsidRDefault="003C654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56BE5" w:rsidRDefault="00E56BE5">
      <w:pPr>
        <w:jc w:val="both"/>
        <w:rPr>
          <w:sz w:val="20"/>
        </w:rPr>
        <w:sectPr w:rsidR="00E56BE5">
          <w:pgSz w:w="12240" w:h="15840"/>
          <w:pgMar w:top="1060" w:right="1020" w:bottom="1660" w:left="1460" w:header="0" w:footer="1460" w:gutter="0"/>
          <w:cols w:space="708"/>
        </w:sectPr>
      </w:pPr>
    </w:p>
    <w:p w:rsidR="00E56BE5" w:rsidRDefault="003C6544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exemplářích a podepsána vlastnoručně; každý exemplář má platnost </w:t>
      </w:r>
      <w:r>
        <w:rPr>
          <w:sz w:val="20"/>
        </w:rPr>
        <w:t>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56BE5" w:rsidRDefault="00E56BE5">
      <w:pPr>
        <w:pStyle w:val="Zkladntext"/>
        <w:spacing w:before="3"/>
        <w:ind w:left="0"/>
        <w:rPr>
          <w:sz w:val="36"/>
        </w:rPr>
      </w:pPr>
    </w:p>
    <w:p w:rsidR="00E56BE5" w:rsidRDefault="003C6544">
      <w:pPr>
        <w:pStyle w:val="Zkladntext"/>
        <w:tabs>
          <w:tab w:val="left" w:pos="6691"/>
        </w:tabs>
        <w:ind w:left="24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56BE5" w:rsidRDefault="00E56BE5">
      <w:pPr>
        <w:pStyle w:val="Zkladntext"/>
        <w:spacing w:before="1"/>
        <w:ind w:left="0"/>
        <w:rPr>
          <w:sz w:val="18"/>
        </w:rPr>
      </w:pPr>
    </w:p>
    <w:p w:rsidR="00E56BE5" w:rsidRDefault="003C6544">
      <w:pPr>
        <w:pStyle w:val="Zkladntext"/>
        <w:ind w:left="242"/>
      </w:pPr>
      <w:r>
        <w:t>dne:</w:t>
      </w:r>
    </w:p>
    <w:p w:rsidR="00E56BE5" w:rsidRDefault="00E56BE5">
      <w:pPr>
        <w:pStyle w:val="Zkladntext"/>
        <w:ind w:left="0"/>
        <w:rPr>
          <w:sz w:val="26"/>
        </w:rPr>
      </w:pPr>
    </w:p>
    <w:p w:rsidR="00E56BE5" w:rsidRDefault="00E56BE5">
      <w:pPr>
        <w:pStyle w:val="Zkladntext"/>
        <w:spacing w:before="13"/>
        <w:ind w:left="0"/>
        <w:rPr>
          <w:sz w:val="27"/>
        </w:rPr>
      </w:pPr>
    </w:p>
    <w:p w:rsidR="00E56BE5" w:rsidRDefault="003C6544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56BE5" w:rsidRDefault="003C6544">
      <w:pPr>
        <w:pStyle w:val="Zkladntext"/>
        <w:tabs>
          <w:tab w:val="left" w:pos="6722"/>
        </w:tabs>
        <w:ind w:left="24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E56BE5">
      <w:pgSz w:w="12240" w:h="15840"/>
      <w:pgMar w:top="1060" w:right="1020" w:bottom="1660" w:left="146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44" w:rsidRDefault="003C6544">
      <w:r>
        <w:separator/>
      </w:r>
    </w:p>
  </w:endnote>
  <w:endnote w:type="continuationSeparator" w:id="0">
    <w:p w:rsidR="003C6544" w:rsidRDefault="003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E5" w:rsidRDefault="00370FCA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BE5" w:rsidRDefault="003C654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0FCA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56BE5" w:rsidRDefault="003C654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0FCA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44" w:rsidRDefault="003C6544">
      <w:r>
        <w:separator/>
      </w:r>
    </w:p>
  </w:footnote>
  <w:footnote w:type="continuationSeparator" w:id="0">
    <w:p w:rsidR="003C6544" w:rsidRDefault="003C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70B"/>
    <w:multiLevelType w:val="hybridMultilevel"/>
    <w:tmpl w:val="2DE86D80"/>
    <w:lvl w:ilvl="0" w:tplc="62B0836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AAEC7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60839A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16F65FB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1F88F4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F7921E3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562D4F8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588786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810495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487A3D4F"/>
    <w:multiLevelType w:val="hybridMultilevel"/>
    <w:tmpl w:val="78B408DA"/>
    <w:lvl w:ilvl="0" w:tplc="D354DA0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4BAA71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288581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8D2A90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668EE7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D502E1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0260FC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D92E1F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ACEBF5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3245548"/>
    <w:multiLevelType w:val="hybridMultilevel"/>
    <w:tmpl w:val="FCB8EAAC"/>
    <w:lvl w:ilvl="0" w:tplc="59A4742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CA28F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61050A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4A2FAF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045ED7A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CD6265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B6BAA8B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F08052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80E4A8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695A6AB8"/>
    <w:multiLevelType w:val="hybridMultilevel"/>
    <w:tmpl w:val="AE126A6E"/>
    <w:lvl w:ilvl="0" w:tplc="7BC6F07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F70289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F94349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68A02E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4914E56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E51E70C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440826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A60841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0F42C0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E0200DF"/>
    <w:multiLevelType w:val="hybridMultilevel"/>
    <w:tmpl w:val="412A6772"/>
    <w:lvl w:ilvl="0" w:tplc="118A3B5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CC694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CC207CD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A56D81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BD4EA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CB689F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BE80B6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4D2894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DCE0D3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BD15574"/>
    <w:multiLevelType w:val="hybridMultilevel"/>
    <w:tmpl w:val="330C9E78"/>
    <w:lvl w:ilvl="0" w:tplc="0A90B57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3CF0F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7CAA622">
      <w:numFmt w:val="bullet"/>
      <w:lvlText w:val="-"/>
      <w:lvlJc w:val="left"/>
      <w:pPr>
        <w:ind w:left="95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526B36E">
      <w:numFmt w:val="bullet"/>
      <w:lvlText w:val="•"/>
      <w:lvlJc w:val="left"/>
      <w:pPr>
        <w:ind w:left="2060" w:hanging="281"/>
      </w:pPr>
      <w:rPr>
        <w:rFonts w:hint="default"/>
        <w:lang w:val="cs-CZ" w:eastAsia="en-US" w:bidi="ar-SA"/>
      </w:rPr>
    </w:lvl>
    <w:lvl w:ilvl="4" w:tplc="25E2B2C0">
      <w:numFmt w:val="bullet"/>
      <w:lvlText w:val="•"/>
      <w:lvlJc w:val="left"/>
      <w:pPr>
        <w:ind w:left="3160" w:hanging="281"/>
      </w:pPr>
      <w:rPr>
        <w:rFonts w:hint="default"/>
        <w:lang w:val="cs-CZ" w:eastAsia="en-US" w:bidi="ar-SA"/>
      </w:rPr>
    </w:lvl>
    <w:lvl w:ilvl="5" w:tplc="DB828B5C">
      <w:numFmt w:val="bullet"/>
      <w:lvlText w:val="•"/>
      <w:lvlJc w:val="left"/>
      <w:pPr>
        <w:ind w:left="4260" w:hanging="281"/>
      </w:pPr>
      <w:rPr>
        <w:rFonts w:hint="default"/>
        <w:lang w:val="cs-CZ" w:eastAsia="en-US" w:bidi="ar-SA"/>
      </w:rPr>
    </w:lvl>
    <w:lvl w:ilvl="6" w:tplc="CE3C68B0">
      <w:numFmt w:val="bullet"/>
      <w:lvlText w:val="•"/>
      <w:lvlJc w:val="left"/>
      <w:pPr>
        <w:ind w:left="5360" w:hanging="281"/>
      </w:pPr>
      <w:rPr>
        <w:rFonts w:hint="default"/>
        <w:lang w:val="cs-CZ" w:eastAsia="en-US" w:bidi="ar-SA"/>
      </w:rPr>
    </w:lvl>
    <w:lvl w:ilvl="7" w:tplc="B64857EA">
      <w:numFmt w:val="bullet"/>
      <w:lvlText w:val="•"/>
      <w:lvlJc w:val="left"/>
      <w:pPr>
        <w:ind w:left="6460" w:hanging="281"/>
      </w:pPr>
      <w:rPr>
        <w:rFonts w:hint="default"/>
        <w:lang w:val="cs-CZ" w:eastAsia="en-US" w:bidi="ar-SA"/>
      </w:rPr>
    </w:lvl>
    <w:lvl w:ilvl="8" w:tplc="2AE4C9AE">
      <w:numFmt w:val="bullet"/>
      <w:lvlText w:val="•"/>
      <w:lvlJc w:val="left"/>
      <w:pPr>
        <w:ind w:left="7560" w:hanging="281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5"/>
    <w:rsid w:val="00370FCA"/>
    <w:rsid w:val="003C6544"/>
    <w:rsid w:val="00E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25280-BF92-48C6-A80A-CB94E37D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1937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2023-12-08T13:09:00Z</dcterms:created>
  <dcterms:modified xsi:type="dcterms:W3CDTF">2023-12-08T13:09:00Z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2023-12-08T00:00:00Z</vt:filetime>
  </property>
</Properties>
</file>