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598" w:rsidRPr="00242598" w:rsidRDefault="00242598">
      <w:bookmarkStart w:id="0" w:name="_GoBack"/>
      <w:bookmarkEnd w:id="0"/>
      <w:r w:rsidRPr="00242598">
        <w:t>Příloha č. 11 – Výpis provedených změn</w:t>
      </w:r>
    </w:p>
    <w:p w:rsidR="00215A59" w:rsidRPr="0010736F" w:rsidRDefault="00760B8B">
      <w:pPr>
        <w:rPr>
          <w:b/>
          <w:sz w:val="24"/>
          <w:szCs w:val="24"/>
        </w:rPr>
      </w:pPr>
      <w:r>
        <w:rPr>
          <w:b/>
          <w:sz w:val="24"/>
          <w:szCs w:val="24"/>
        </w:rPr>
        <w:t xml:space="preserve">Dodatek č. </w:t>
      </w:r>
      <w:r w:rsidR="007C2949">
        <w:rPr>
          <w:b/>
          <w:sz w:val="24"/>
          <w:szCs w:val="24"/>
        </w:rPr>
        <w:t>8</w:t>
      </w:r>
      <w:r w:rsidR="00307AD7" w:rsidRPr="0010736F">
        <w:rPr>
          <w:b/>
          <w:sz w:val="24"/>
          <w:szCs w:val="24"/>
        </w:rPr>
        <w:t xml:space="preserve"> </w:t>
      </w:r>
      <w:r w:rsidR="00C02D50">
        <w:rPr>
          <w:b/>
          <w:sz w:val="24"/>
          <w:szCs w:val="24"/>
        </w:rPr>
        <w:t xml:space="preserve">PS </w:t>
      </w:r>
      <w:r w:rsidR="007C2949">
        <w:rPr>
          <w:b/>
          <w:sz w:val="24"/>
          <w:szCs w:val="24"/>
        </w:rPr>
        <w:t>D</w:t>
      </w:r>
      <w:r w:rsidR="00DD70CB" w:rsidRPr="0010736F">
        <w:rPr>
          <w:b/>
          <w:sz w:val="24"/>
          <w:szCs w:val="24"/>
        </w:rPr>
        <w:t xml:space="preserve"> – Výpis provedených změn</w:t>
      </w:r>
      <w:r w:rsidR="00307AD7" w:rsidRPr="0010736F">
        <w:rPr>
          <w:b/>
          <w:sz w:val="24"/>
          <w:szCs w:val="24"/>
        </w:rPr>
        <w:t xml:space="preserve"> </w:t>
      </w:r>
    </w:p>
    <w:p w:rsidR="002828A1" w:rsidRDefault="004C1E34" w:rsidP="00A759E3">
      <w:pPr>
        <w:jc w:val="both"/>
      </w:pPr>
      <w:r>
        <w:t>Hlavní</w:t>
      </w:r>
      <w:r w:rsidR="007E3629" w:rsidRPr="0010736F">
        <w:t xml:space="preserve"> změny </w:t>
      </w:r>
      <w:r w:rsidR="009E4742" w:rsidRPr="0010736F">
        <w:t xml:space="preserve">reflektují </w:t>
      </w:r>
      <w:r w:rsidR="00A759E3">
        <w:t xml:space="preserve">zavedení </w:t>
      </w:r>
      <w:r w:rsidR="00905E2D">
        <w:t>synergie mezi Provozním souborem D a Provozním souborem A od GVD 2023/2024 a v této souvislosti zavedení nového výchozího finančního modelu a souvisejících ustanovení</w:t>
      </w:r>
      <w:r w:rsidR="00A95B08">
        <w:t xml:space="preserve"> a příloh</w:t>
      </w:r>
      <w:r w:rsidR="002828A1">
        <w:t>, včetně zavedení nových povinností vyplývajících z</w:t>
      </w:r>
      <w:r w:rsidR="00592B6E">
        <w:t> nově uzavřených</w:t>
      </w:r>
      <w:r w:rsidR="002828A1">
        <w:t xml:space="preserve"> Smluv na PS A a PS C k</w:t>
      </w:r>
      <w:r w:rsidR="00B25018">
        <w:t>e</w:t>
      </w:r>
      <w:r w:rsidR="00592B6E">
        <w:t> sjednocení jednotlivých závazkových Smluv do vzájemného souladu.</w:t>
      </w:r>
    </w:p>
    <w:p w:rsidR="00905E2D" w:rsidRDefault="00592B6E" w:rsidP="00A759E3">
      <w:pPr>
        <w:jc w:val="both"/>
      </w:pPr>
      <w:r>
        <w:t>Nedílnou součástí je zapracování</w:t>
      </w:r>
      <w:r w:rsidR="00905E2D">
        <w:t xml:space="preserve"> úpravy v čl. 7 k postupu přepočtu nároku na kompenzaci s v</w:t>
      </w:r>
      <w:r w:rsidR="00A95B08">
        <w:t>y</w:t>
      </w:r>
      <w:r w:rsidR="00905E2D">
        <w:t xml:space="preserve">užitím  </w:t>
      </w:r>
      <w:r w:rsidR="00A95B08">
        <w:t>následné indexace nejpozději k 31. 5. kalendářního roku zavedením nových odst. 7.51. a 7.5.2. a aktualizace v odst. 7.17. a současně zavedení nové Přílohy č. 3d  – Pravidla pro výpočet změny kompenzace.</w:t>
      </w:r>
    </w:p>
    <w:p w:rsidR="00565401" w:rsidRDefault="00A35FD7" w:rsidP="005C514D">
      <w:pPr>
        <w:jc w:val="both"/>
      </w:pPr>
      <w:r>
        <w:t>Tímto</w:t>
      </w:r>
      <w:r w:rsidR="00565401">
        <w:t xml:space="preserve"> D</w:t>
      </w:r>
      <w:r>
        <w:t>odatkem č. 8 dochází i k zanesení</w:t>
      </w:r>
      <w:r w:rsidR="00565401">
        <w:t xml:space="preserve"> výše měsíčn</w:t>
      </w:r>
      <w:r w:rsidR="00A95B08">
        <w:t>í splátky na zálohu pro rok 2024</w:t>
      </w:r>
      <w:r w:rsidR="00565401">
        <w:t xml:space="preserve"> a Vymezení dopravního výkonu pro rok 202</w:t>
      </w:r>
      <w:r w:rsidR="00A95B08">
        <w:t>4</w:t>
      </w:r>
      <w:r>
        <w:t xml:space="preserve"> (GVD 2023/2024).</w:t>
      </w:r>
    </w:p>
    <w:p w:rsidR="00A03885" w:rsidRPr="00482F41" w:rsidRDefault="00A03885" w:rsidP="00A03885">
      <w:pPr>
        <w:jc w:val="both"/>
        <w:rPr>
          <w:rFonts w:cs="Calibri"/>
        </w:rPr>
      </w:pPr>
      <w:r w:rsidRPr="0010736F">
        <w:rPr>
          <w:rFonts w:cs="Calibri"/>
        </w:rPr>
        <w:t xml:space="preserve">Veškeré změny </w:t>
      </w:r>
      <w:r w:rsidR="00565401">
        <w:rPr>
          <w:rFonts w:cs="Calibri"/>
        </w:rPr>
        <w:t>j</w:t>
      </w:r>
      <w:r w:rsidRPr="0010736F">
        <w:rPr>
          <w:rFonts w:cs="Calibri"/>
        </w:rPr>
        <w:t>sou vyznačeny červeně</w:t>
      </w:r>
      <w:r w:rsidR="00417C52" w:rsidRPr="0010736F">
        <w:rPr>
          <w:rFonts w:cs="Calibri"/>
        </w:rPr>
        <w:t>.</w:t>
      </w:r>
      <w:r w:rsidR="00482F41">
        <w:rPr>
          <w:rFonts w:cs="Calibri"/>
        </w:rPr>
        <w:t xml:space="preserve"> </w:t>
      </w:r>
    </w:p>
    <w:p w:rsidR="00DD70CB" w:rsidRPr="007E3629" w:rsidRDefault="00DD70CB" w:rsidP="009E4742">
      <w:pPr>
        <w:rPr>
          <w:rFonts w:cs="Calibri"/>
          <w:b/>
        </w:rPr>
      </w:pPr>
      <w:r>
        <w:rPr>
          <w:b/>
        </w:rPr>
        <w:t>Č</w:t>
      </w:r>
      <w:r w:rsidRPr="00DD70CB">
        <w:rPr>
          <w:b/>
        </w:rPr>
        <w:t xml:space="preserve">l. </w:t>
      </w:r>
      <w:r w:rsidRPr="00DD70CB">
        <w:rPr>
          <w:rFonts w:cs="Calibri"/>
          <w:b/>
        </w:rPr>
        <w:t>2</w:t>
      </w:r>
      <w:r>
        <w:rPr>
          <w:rFonts w:cs="Calibri"/>
          <w:b/>
        </w:rPr>
        <w:t xml:space="preserve">. </w:t>
      </w:r>
      <w:r w:rsidRPr="000D694B">
        <w:rPr>
          <w:rFonts w:cs="Calibri"/>
          <w:b/>
        </w:rPr>
        <w:t>DEFINICE POJMŮ</w:t>
      </w:r>
      <w:r>
        <w:rPr>
          <w:rFonts w:cs="Calibri"/>
          <w:b/>
        </w:rPr>
        <w:t xml:space="preserve"> </w:t>
      </w:r>
    </w:p>
    <w:p w:rsidR="00DD70CB" w:rsidRPr="0027463D" w:rsidRDefault="0027463D" w:rsidP="00DA0A0A">
      <w:pPr>
        <w:suppressAutoHyphens/>
        <w:overflowPunct w:val="0"/>
        <w:autoSpaceDE w:val="0"/>
        <w:autoSpaceDN w:val="0"/>
        <w:adjustRightInd w:val="0"/>
        <w:ind w:left="709"/>
        <w:jc w:val="both"/>
        <w:textAlignment w:val="baseline"/>
        <w:rPr>
          <w:rFonts w:cs="Calibri"/>
          <w:color w:val="FF0000"/>
        </w:rPr>
      </w:pPr>
      <w:r>
        <w:rPr>
          <w:rFonts w:cs="Calibri"/>
          <w:b/>
        </w:rPr>
        <w:t>aa</w:t>
      </w:r>
      <w:r w:rsidR="00DA0A0A" w:rsidRPr="00A8211F">
        <w:rPr>
          <w:rFonts w:cs="Calibri"/>
          <w:b/>
        </w:rPr>
        <w:t xml:space="preserve">) </w:t>
      </w:r>
      <w:r>
        <w:rPr>
          <w:rFonts w:cs="Calibri"/>
          <w:b/>
        </w:rPr>
        <w:t>Zahájení provozu</w:t>
      </w:r>
      <w:r w:rsidR="00DD70CB" w:rsidRPr="00A8211F">
        <w:rPr>
          <w:rFonts w:cs="Calibri"/>
        </w:rPr>
        <w:t xml:space="preserve"> znamená </w:t>
      </w:r>
      <w:r>
        <w:rPr>
          <w:rFonts w:cs="Calibri"/>
        </w:rPr>
        <w:t>den, kdy je Dopravce povinen na základě Smlouvy a za podmínek v ní stanovených zahájit provoz Veřejné dopravy ve stanoveném rozsahu</w:t>
      </w:r>
      <w:r w:rsidR="00DD70CB" w:rsidRPr="00A8211F">
        <w:rPr>
          <w:rFonts w:cs="Calibri"/>
        </w:rPr>
        <w:t>;</w:t>
      </w:r>
      <w:r>
        <w:rPr>
          <w:rFonts w:cs="Calibri"/>
        </w:rPr>
        <w:t xml:space="preserve"> pro účely Smlouvy jde o prosincový termín celostátní změny jízdních řádů, tj. pro rok 20219, tj. 15. 12. 2019; </w:t>
      </w:r>
      <w:r>
        <w:rPr>
          <w:rFonts w:cs="Calibri"/>
          <w:color w:val="FF0000"/>
        </w:rPr>
        <w:t>pro účely Smlouvy ve znění Dodatku č. 8 jde o prosincový termín celostátní změny jízdních řádů pro rok 2024, tj. 10. 12. 2023.</w:t>
      </w:r>
    </w:p>
    <w:p w:rsidR="0027463D" w:rsidRDefault="0027463D" w:rsidP="00E160BA">
      <w:pPr>
        <w:rPr>
          <w:color w:val="FF0000"/>
        </w:rPr>
      </w:pPr>
      <w:r>
        <w:rPr>
          <w:b/>
        </w:rPr>
        <w:t>Čl. 3</w:t>
      </w:r>
      <w:r w:rsidRPr="009F0A90">
        <w:rPr>
          <w:b/>
        </w:rPr>
        <w:t xml:space="preserve">. </w:t>
      </w:r>
      <w:r>
        <w:rPr>
          <w:b/>
        </w:rPr>
        <w:t>PŘEDMĚT SMLOUVY</w:t>
      </w:r>
      <w:r>
        <w:t xml:space="preserve"> </w:t>
      </w:r>
      <w:r w:rsidRPr="009F0A90">
        <w:rPr>
          <w:color w:val="FF0000"/>
        </w:rPr>
        <w:t xml:space="preserve">– </w:t>
      </w:r>
      <w:r>
        <w:rPr>
          <w:color w:val="FF0000"/>
        </w:rPr>
        <w:t xml:space="preserve">zavedení </w:t>
      </w:r>
      <w:r w:rsidR="00F736D8">
        <w:rPr>
          <w:color w:val="FF0000"/>
        </w:rPr>
        <w:t xml:space="preserve">nového znění odstavce </w:t>
      </w:r>
      <w:r>
        <w:rPr>
          <w:color w:val="FF0000"/>
        </w:rPr>
        <w:t>odst. 3.4.</w:t>
      </w:r>
      <w:r w:rsidR="00F736D8">
        <w:rPr>
          <w:color w:val="FF0000"/>
        </w:rPr>
        <w:t xml:space="preserve"> a následné přečíslování navazujících odstavců</w:t>
      </w:r>
    </w:p>
    <w:p w:rsidR="0027463D" w:rsidRPr="0027463D" w:rsidRDefault="0027463D" w:rsidP="008E2DD6">
      <w:pPr>
        <w:pStyle w:val="Odstavecseseznamem"/>
        <w:numPr>
          <w:ilvl w:val="1"/>
          <w:numId w:val="4"/>
        </w:numPr>
        <w:jc w:val="both"/>
        <w:rPr>
          <w:rFonts w:cs="Calibri"/>
          <w:color w:val="FF0000"/>
        </w:rPr>
      </w:pPr>
      <w:r w:rsidRPr="0027463D">
        <w:rPr>
          <w:rFonts w:cs="Calibri"/>
          <w:color w:val="FF0000"/>
        </w:rPr>
        <w:t xml:space="preserve">Smluvní strany uzavřely Smlouvu o veřejných službách v přepravě cestujících ve veřejné drážní dopravě k zabezpečení dopravní obslužnosti vlaky regionální dopravy na části území Zlínského kraje – </w:t>
      </w:r>
      <w:r w:rsidRPr="0027463D">
        <w:rPr>
          <w:rFonts w:cs="Calibri"/>
          <w:b/>
          <w:color w:val="FF0000"/>
        </w:rPr>
        <w:t>Provozní soubor Zlínský kraj – střed</w:t>
      </w:r>
      <w:r w:rsidRPr="0027463D">
        <w:rPr>
          <w:rFonts w:cs="Calibri"/>
          <w:color w:val="FF0000"/>
        </w:rPr>
        <w:t xml:space="preserve"> (dále označovaný také jako „Provozní soubor A“ nebo „</w:t>
      </w:r>
      <w:r w:rsidRPr="0027463D">
        <w:rPr>
          <w:rFonts w:cs="Calibri"/>
          <w:b/>
          <w:color w:val="FF0000"/>
        </w:rPr>
        <w:t>Oblast A</w:t>
      </w:r>
      <w:r w:rsidRPr="0027463D">
        <w:rPr>
          <w:rFonts w:cs="Calibri"/>
          <w:color w:val="FF0000"/>
        </w:rPr>
        <w:t>“ dne 20. 12. 2022 pod ev. č. D /2610/2022/DOP (dále jen „Smlouva o Provozním souboru A“). Obě strany berou na vědomí, že provozní soubory nazývané jako Provozní soubor D a Provozní soubor A využívají synergií v podobě společných záloh vozidel, údržby, personálu atd. a není je tedy dle nastavených ekonomických podmínek v uzavřených samostatných smlouvách možno provozovat jednotlivě ale pouze oba dohromady. V případě potřeby oddělení těchto dvou provozních souborů bude nutno s dostatečným časovým předstihem, který nebude kratší než 1 rok, uzavřít příslušné dodatky s novými výchozími finančními modely. V souvislosti s touto skutečností je přílohou této Smlouvy nový výchozí finanční model ve znění synergií mezi Provozním souborem D a Provozním souborem A. Znění tohoto odstavce je součástí Smlouvy o Provozním souboru A, včetně výchozího finančního modelu ve znění synergií mezi Provozním souborem A a Provozním souborem D uzavřené dne 20. 12. 2022.</w:t>
      </w:r>
    </w:p>
    <w:p w:rsidR="0027463D" w:rsidRDefault="0027463D" w:rsidP="00E160BA">
      <w:pPr>
        <w:rPr>
          <w:b/>
        </w:rPr>
      </w:pPr>
    </w:p>
    <w:p w:rsidR="0027463D" w:rsidRDefault="00F736D8" w:rsidP="00186EC8">
      <w:pPr>
        <w:rPr>
          <w:b/>
        </w:rPr>
      </w:pPr>
      <w:r w:rsidRPr="009F0A90">
        <w:rPr>
          <w:b/>
        </w:rPr>
        <w:t xml:space="preserve">Čl. </w:t>
      </w:r>
      <w:r>
        <w:rPr>
          <w:b/>
        </w:rPr>
        <w:t>6</w:t>
      </w:r>
      <w:r w:rsidRPr="009F0A90">
        <w:rPr>
          <w:b/>
        </w:rPr>
        <w:t xml:space="preserve">. </w:t>
      </w:r>
      <w:r>
        <w:rPr>
          <w:b/>
        </w:rPr>
        <w:t>CENA DOPRAVNÍHO VÝKONU</w:t>
      </w:r>
      <w:r>
        <w:t xml:space="preserve"> </w:t>
      </w:r>
      <w:r w:rsidRPr="009F0A90">
        <w:rPr>
          <w:color w:val="FF0000"/>
        </w:rPr>
        <w:t xml:space="preserve">– </w:t>
      </w:r>
      <w:r>
        <w:rPr>
          <w:color w:val="FF0000"/>
        </w:rPr>
        <w:t>doplnění do odst. 6.2., zavedení nového znění odst. 6.4. a přečíslování následujících odstavců, doplnění do odst. 6. 5. a 6.8.</w:t>
      </w:r>
    </w:p>
    <w:p w:rsidR="00F736D8" w:rsidRDefault="00F736D8" w:rsidP="008E2DD6">
      <w:pPr>
        <w:pStyle w:val="Odstavecseseznamem"/>
        <w:numPr>
          <w:ilvl w:val="1"/>
          <w:numId w:val="5"/>
        </w:numPr>
        <w:jc w:val="both"/>
        <w:rPr>
          <w:rFonts w:cs="Calibri"/>
          <w:color w:val="FF0000"/>
        </w:rPr>
      </w:pPr>
      <w:r w:rsidRPr="00F736D8">
        <w:rPr>
          <w:rFonts w:cs="Calibri"/>
        </w:rPr>
        <w:lastRenderedPageBreak/>
        <w:t xml:space="preserve">Cena dopravního výkonu, resp. její dílčí složky zahrnují veškeré náklady spojené se zajištěním Veřejných služeb pro Objednatele dle podmínek Smlouvy a zisk Dopravce, pokud Smlouva (nebo některá z jejich příloh) nestanoví jinak. Pro vyloučení jakýchkoliv pochybností se stanoví, že výše Ceny dopravního výkonu nemůže být s výjimkou úprav podle této Smlouvy po dobu její platnosti upravena (zejména zvýšena). </w:t>
      </w:r>
      <w:r w:rsidRPr="00F736D8">
        <w:rPr>
          <w:rFonts w:cs="Calibri"/>
          <w:color w:val="FF0000"/>
        </w:rPr>
        <w:t>Takovou výjimkou dle předchozí věty je zejména postup dle odst. 3.4. a 17.10. Smlouvy v případě potřeby oddělení Provozního souboru D a Provozního souboru A, a tedy ukončení využívání jejich synergie.</w:t>
      </w:r>
    </w:p>
    <w:p w:rsidR="00F736D8" w:rsidRPr="00F736D8" w:rsidRDefault="00F736D8" w:rsidP="00F736D8">
      <w:pPr>
        <w:pStyle w:val="Odstavecseseznamem"/>
        <w:ind w:left="360"/>
        <w:jc w:val="both"/>
        <w:rPr>
          <w:rFonts w:cs="Calibri"/>
          <w:color w:val="FF0000"/>
        </w:rPr>
      </w:pPr>
    </w:p>
    <w:p w:rsidR="00F736D8" w:rsidRPr="00F736D8" w:rsidRDefault="00F736D8" w:rsidP="008E2DD6">
      <w:pPr>
        <w:pStyle w:val="Odstavecseseznamem"/>
        <w:numPr>
          <w:ilvl w:val="1"/>
          <w:numId w:val="6"/>
        </w:numPr>
        <w:jc w:val="both"/>
        <w:rPr>
          <w:rFonts w:cs="Calibri"/>
          <w:color w:val="FF0000"/>
        </w:rPr>
      </w:pPr>
      <w:r w:rsidRPr="00F736D8">
        <w:rPr>
          <w:rFonts w:cs="Calibri"/>
          <w:color w:val="FF0000"/>
        </w:rPr>
        <w:t xml:space="preserve">V souvislosti se zavedením synergií mezi Provozním souborem D a Provozním souborem A dle čl. 3.4. této Smlouvy byl Dopravcem předložen Objednateli nový výchozí finanční model nákladů, výnosů a čistého příjmu ve znění synergií mezi Provozním souborem D a Provozním souborem A, které mají vyplynout ze Smlouvy pro období podle ust. § 3 vyhlášky č. 296/2010 Sb., o postupech pro sestavení finančního modelu a určení maximální výše kompenzace (dále také jen </w:t>
      </w:r>
      <w:r w:rsidRPr="00F736D8">
        <w:rPr>
          <w:rFonts w:cs="Calibri"/>
          <w:b/>
          <w:color w:val="FF0000"/>
        </w:rPr>
        <w:t>„Vyhláška 296/2010“</w:t>
      </w:r>
      <w:r w:rsidRPr="00F736D8">
        <w:rPr>
          <w:rFonts w:cs="Calibri"/>
          <w:color w:val="FF0000"/>
        </w:rPr>
        <w:t xml:space="preserve">), který tvoří aktualizovanou přílohu č. 3a Smlouvy, obsahující požadovanou výši kompenzace v Kč/vlkm. Součástí přílohy č. </w:t>
      </w:r>
      <w:r w:rsidRPr="00F736D8">
        <w:rPr>
          <w:rFonts w:cstheme="minorHAnsi"/>
          <w:color w:val="FF0000"/>
        </w:rPr>
        <w:t>3a</w:t>
      </w:r>
      <w:r w:rsidRPr="00F736D8">
        <w:rPr>
          <w:rFonts w:cs="Calibri"/>
          <w:color w:val="FF0000"/>
        </w:rPr>
        <w:t xml:space="preserve"> Smlouvy je dále specifikace jednotkové variabilní Ceny dopravního výkonu v Kč/vlkm, specifikace jednotkové základní Ceny dopravního výkonu v Kč/vlkm, Ceny za zdvojenou soupravu, které jsou závazné pro výpočet Kompenzace po dobu platnosti Smlouvy, pokud není ve Smlouvě stanoveno jinak. Základní Cena dopravního výkonu na jeden (1) vlkm pro účely výpočtu ceny dopravního výkonu, resp. Kompenzace pro období </w:t>
      </w:r>
      <w:r w:rsidR="00A54180">
        <w:rPr>
          <w:rFonts w:cs="Calibri"/>
          <w:color w:val="FF0000"/>
          <w:lang w:val="cs-CZ"/>
        </w:rPr>
        <w:t xml:space="preserve">roku 2024 </w:t>
      </w:r>
      <w:r w:rsidR="00E12AEC">
        <w:rPr>
          <w:rFonts w:cs="Calibri"/>
          <w:b/>
          <w:color w:val="FF0000"/>
          <w:lang w:val="cs-CZ"/>
        </w:rPr>
        <w:t>xxxxx</w:t>
      </w:r>
      <w:r w:rsidRPr="00F736D8">
        <w:rPr>
          <w:rFonts w:cs="Calibri"/>
          <w:b/>
          <w:color w:val="FF0000"/>
        </w:rPr>
        <w:t xml:space="preserve"> Kč/vlkm</w:t>
      </w:r>
      <w:r w:rsidRPr="00F736D8">
        <w:rPr>
          <w:rFonts w:cs="Calibri"/>
          <w:color w:val="FF0000"/>
        </w:rPr>
        <w:t>, a to v cenové relaci roku 2021. Tento finanční model nákladů, výnosů a čistého příjmu je Objednatel oprávněn poskytnout příslušným pracovníkům Olomouckého kraje a organizace Koordinátor Integrovaného dopravního systému Olomouckého kraje, příspěvková organizace (dále jen „KIDSOK“) a to výhradně k pracovním účelům. Nadále jsou tyto údaje obchodním tajemstvím Dopravce dle čl. 18 této Smlouvy a Objednatel se zavazuje k přijetí takových opatření, která zajistí ochranu obchodního tajemství společnosti České dráhy, a.s. u těchto vyjmenovaných institucí v souladu s čl. 18 této Smlouvy.</w:t>
      </w:r>
    </w:p>
    <w:p w:rsidR="00F736D8" w:rsidRPr="00B123F1" w:rsidRDefault="00F736D8" w:rsidP="008E2DD6">
      <w:pPr>
        <w:numPr>
          <w:ilvl w:val="1"/>
          <w:numId w:val="6"/>
        </w:numPr>
        <w:jc w:val="both"/>
        <w:rPr>
          <w:rFonts w:cs="Calibri"/>
        </w:rPr>
      </w:pPr>
      <w:r w:rsidRPr="00B123F1">
        <w:rPr>
          <w:rFonts w:cs="Calibri"/>
        </w:rPr>
        <w:t xml:space="preserve">Dopravce dále předložil Objednateli před podpisem Smlouvy výchozí model provozních aktiv pro jednotlivé kalendářní roky Doby plnění podle § 6 Vyhlášky č. 296/2010 Sb., který tvoří přílohu č. 3b Smlouvy. Dopravce je dále povinen předložit Objednateli inventární karty majetku zohledňující aktuální zůstatkovou hodnotu majetku nezbytně nutného k zajištění dopravních výkonů dle Smlouvy, a to nejpozději dne 16. 12. 2019. </w:t>
      </w:r>
      <w:r w:rsidRPr="00F736D8">
        <w:rPr>
          <w:rFonts w:cs="Calibri"/>
          <w:color w:val="FF0000"/>
        </w:rPr>
        <w:t>V souvislosti se zavedením synergií mezi provozním soub</w:t>
      </w:r>
      <w:r w:rsidR="00DC3695">
        <w:rPr>
          <w:rFonts w:cs="Calibri"/>
          <w:color w:val="FF0000"/>
        </w:rPr>
        <w:t>orem D a Provozním souborem A</w:t>
      </w:r>
      <w:r w:rsidRPr="00F736D8">
        <w:rPr>
          <w:rFonts w:cs="Calibri"/>
          <w:color w:val="FF0000"/>
        </w:rPr>
        <w:t xml:space="preserve"> Dopravce</w:t>
      </w:r>
      <w:r w:rsidR="00DC3695">
        <w:rPr>
          <w:rFonts w:cs="Calibri"/>
          <w:color w:val="FF0000"/>
        </w:rPr>
        <w:t xml:space="preserve"> v rámci předsmluvní přípravy předložil Objednateli k 9.11.2023 i</w:t>
      </w:r>
      <w:r w:rsidRPr="00F736D8">
        <w:rPr>
          <w:rFonts w:cs="Calibri"/>
          <w:color w:val="FF0000"/>
        </w:rPr>
        <w:t xml:space="preserve">nventární karty majetku </w:t>
      </w:r>
      <w:r w:rsidR="00DC3695">
        <w:rPr>
          <w:rFonts w:cs="Calibri"/>
          <w:color w:val="FF0000"/>
        </w:rPr>
        <w:t>tuto skutečnost zohledňující</w:t>
      </w:r>
      <w:r w:rsidRPr="00F736D8">
        <w:rPr>
          <w:rFonts w:cs="Calibri"/>
          <w:color w:val="FF0000"/>
        </w:rPr>
        <w:t>.</w:t>
      </w:r>
      <w:r>
        <w:rPr>
          <w:rFonts w:cs="Calibri"/>
        </w:rPr>
        <w:t xml:space="preserve"> </w:t>
      </w:r>
      <w:r w:rsidRPr="00B123F1">
        <w:rPr>
          <w:rFonts w:cs="Calibri"/>
        </w:rPr>
        <w:t>Dopravce je následně povinen předložit inventární karty majetku pro příslušný kalendářní rok do třiceti (30) kalendářních dnů od vyžádání Objednatele. Tento model provozních aktiv je Objednatel oprávněn poskytnout příslušným pracovníkům Olomouckého kraje a organizace KIDSOK a to výhradně k pracovním účelům. Nadále jsou tyto údaje obchodním tajemstvím Dopravce dle čl. 18 této Smlouvy a Objednatel se zavazuje k přijetí takových opatření, která zajistí ochranu obchodního tajemství společnosti České dráhy, a.s. u těchto vyjmenovaných institucí v souladu s čl. 18 této Smlouvy.</w:t>
      </w:r>
    </w:p>
    <w:p w:rsidR="0027463D" w:rsidRDefault="0027463D" w:rsidP="00E160BA">
      <w:pPr>
        <w:rPr>
          <w:b/>
        </w:rPr>
      </w:pPr>
    </w:p>
    <w:p w:rsidR="00F736D8" w:rsidRPr="00F736D8" w:rsidRDefault="00F736D8" w:rsidP="008E2DD6">
      <w:pPr>
        <w:pStyle w:val="Odstavecseseznamem"/>
        <w:numPr>
          <w:ilvl w:val="1"/>
          <w:numId w:val="7"/>
        </w:numPr>
        <w:jc w:val="both"/>
        <w:rPr>
          <w:rFonts w:cs="Calibri"/>
          <w:color w:val="FF0000"/>
        </w:rPr>
      </w:pPr>
      <w:bookmarkStart w:id="1" w:name="_Ref2609147"/>
      <w:r w:rsidRPr="00F736D8">
        <w:rPr>
          <w:rFonts w:cs="Calibri"/>
        </w:rPr>
        <w:t xml:space="preserve">V případě nutných investic Dopravce či dodatečných nákladů Dopravce, vyvolaných v důsledku dodatečného požadavku Objednatele, který nebylo možné dle Smlouvy předvídat (například </w:t>
      </w:r>
      <w:r w:rsidRPr="00F736D8">
        <w:rPr>
          <w:rFonts w:cs="Calibri"/>
        </w:rPr>
        <w:lastRenderedPageBreak/>
        <w:t>v případě legislativních změn), budou tyto náklady Dopravce uhrazeny ve skutečně prokázané výši, po jejich odsouhlasení Objednatelem, současně s odsouhlaseným vyúčtováním zasílaným Objednateli podle článku 7 Smlouvy, pokud se Smluvní strany nedohodnou jinak. Uhrazeny mohou být pouze účelně vynaložené náklady, v přímé souvislosti s požadavkem Objednatele dle tohoto článku, vyčíslené v okamžiku realizace takového požadavku (takto nebudou hrazeny zejména nepřímé, provozní či údržbové náklady, které by mohly či budou Dopravci vznikat v budoucnu, v dalším období po realizaci požadavku). Dopravce se rovněž zavazuje usilovat o získání dotací na nutné investice či dodatečné náklady vymezené v tomto článku.</w:t>
      </w:r>
      <w:bookmarkEnd w:id="1"/>
      <w:r w:rsidRPr="00F736D8">
        <w:rPr>
          <w:rFonts w:cs="Calibri"/>
        </w:rPr>
        <w:t xml:space="preserve"> </w:t>
      </w:r>
      <w:r w:rsidRPr="00F736D8">
        <w:rPr>
          <w:rFonts w:cs="Calibri"/>
          <w:color w:val="FF0000"/>
        </w:rPr>
        <w:t>Výhradním rizikem Dopravce je případné zvýšení jeho nákladů, k jejichž proplacení není podle této Smlouvy Objednatel zavázán nebo při jejichž uplatnění Dopravce poruší postup podle této Smlouvy nebo přímo vzniknou v důsledku porušení této Smlouvy Dopravcem. Pro vyloučení všech pochybností Strany uvádí, že ustanovení odst. 6.8. této Smlouvy není převzetím nebezpečí změny okolností Dopravcem na sebe ve smyslu § 1765 odst. 2 zákona č. 89/2012 Sb., občanský zákoník, ve znění pozdějších předpisů, tedy nevylučuje vznik práva Dopravce dle § 1765 odst. 1 zákona č. 89/2012 Sb., občanský zákoník, ve znění pozdějších předpisů.</w:t>
      </w:r>
    </w:p>
    <w:p w:rsidR="0027463D" w:rsidRDefault="0027463D" w:rsidP="00E160BA">
      <w:pPr>
        <w:rPr>
          <w:b/>
        </w:rPr>
      </w:pPr>
    </w:p>
    <w:p w:rsidR="0027463D" w:rsidRDefault="0027463D" w:rsidP="00E160BA">
      <w:pPr>
        <w:rPr>
          <w:b/>
        </w:rPr>
      </w:pPr>
    </w:p>
    <w:p w:rsidR="00814920" w:rsidRPr="00E160BA" w:rsidRDefault="00DD70CB" w:rsidP="00E160BA">
      <w:pPr>
        <w:rPr>
          <w:color w:val="FF0000"/>
        </w:rPr>
      </w:pPr>
      <w:r w:rsidRPr="009F0A90">
        <w:rPr>
          <w:b/>
        </w:rPr>
        <w:t>Čl. 7. VYÚČTOVÁNÍ KOMPENZACE</w:t>
      </w:r>
      <w:r>
        <w:t xml:space="preserve"> </w:t>
      </w:r>
      <w:r w:rsidR="00F736D8">
        <w:rPr>
          <w:color w:val="FF0000"/>
        </w:rPr>
        <w:t xml:space="preserve">– zavedení odst. 7.5.1. a 7.5.2. , aktualizace odst. </w:t>
      </w:r>
      <w:r w:rsidR="009F0A90" w:rsidRPr="009F0A90">
        <w:rPr>
          <w:color w:val="FF0000"/>
        </w:rPr>
        <w:t>7.7.a),</w:t>
      </w:r>
      <w:r w:rsidR="00EF4990">
        <w:rPr>
          <w:color w:val="FF0000"/>
        </w:rPr>
        <w:t xml:space="preserve"> </w:t>
      </w:r>
      <w:r w:rsidR="00956D63">
        <w:rPr>
          <w:color w:val="FF0000"/>
        </w:rPr>
        <w:t>7.17. a) a b), a odst. 7.19.</w:t>
      </w:r>
    </w:p>
    <w:p w:rsidR="00956D63" w:rsidRPr="00956D63" w:rsidRDefault="00956D63" w:rsidP="00956D63">
      <w:pPr>
        <w:ind w:left="705" w:hanging="705"/>
        <w:jc w:val="both"/>
        <w:rPr>
          <w:rFonts w:cs="Calibri"/>
          <w:color w:val="FF0000"/>
        </w:rPr>
      </w:pPr>
      <w:bookmarkStart w:id="2" w:name="_Ref536137833"/>
      <w:r w:rsidRPr="00956D63">
        <w:rPr>
          <w:rFonts w:cs="Calibri"/>
          <w:color w:val="FF0000"/>
        </w:rPr>
        <w:t>7.5.1. Smluvní strany sjednávají úpravu Ceny dopravního výkonu, jednotkové variabilní Ceny dopravního výkonu a Ceny za zdvojenou soupravu stanovené podle odst. 7.5. podle pravidel stanovených v příloze č. 3d, a to bezprostředně po zveřejnění údajů Českého statistického úřadu a Ministerstva práce a sociálních věcí nutných k indexaci jednotlivých položek Výchozího finančního modelu, nejpozději k 31.5. kalendářního roku. Prvním obdobím indexace dle tohoto odstavce je kalendářní rok 2023. Objednatel je oprávněn poskytnout údaje stanovené postupem podle tohoto odstavce příslušným pracovníkům Olomouckého kraje a organizace KIDSOK, a to výhradně k pracovním účelům. Nadále jsou tyto údaje obchodním tajemstvím Dopravce dle čl. 18 této Smlouvy a Objednatel se zavazuje k přijetí takových opatření, která zajistí ochranu obchodního tajemství společnosti České dráhy, a.s. u těchto vyjmenovaných institucí v souladu s čl. 18 této Smlouvy.</w:t>
      </w:r>
    </w:p>
    <w:p w:rsidR="00956D63" w:rsidRPr="00956D63" w:rsidRDefault="00956D63" w:rsidP="00956D63">
      <w:pPr>
        <w:ind w:left="705" w:hanging="705"/>
        <w:jc w:val="both"/>
        <w:rPr>
          <w:rFonts w:cs="Calibri"/>
          <w:color w:val="FF0000"/>
        </w:rPr>
      </w:pPr>
      <w:r w:rsidRPr="00956D63">
        <w:rPr>
          <w:rFonts w:cs="Calibri"/>
          <w:color w:val="FF0000"/>
        </w:rPr>
        <w:t>7.5.2     Pokud postupem podle odst. 7.5.1. dojde ke změně výše kompenzace na období kalendářního roku oproti změně výše kompenzace stanovené postupem podle odst. 7.5. a tím by došlo ke změně výše záloh, smluvní strany se dohodly na vyúčtování tohoto rozdílu jeho zahrnutím do vyúčtování podle odst. 7.17.</w:t>
      </w:r>
    </w:p>
    <w:p w:rsidR="00956D63" w:rsidRPr="00956D63" w:rsidRDefault="00956D63" w:rsidP="008E2DD6">
      <w:pPr>
        <w:pStyle w:val="Odstavecseseznamem"/>
        <w:keepNext/>
        <w:numPr>
          <w:ilvl w:val="1"/>
          <w:numId w:val="8"/>
        </w:numPr>
        <w:jc w:val="both"/>
        <w:rPr>
          <w:rFonts w:cs="Calibri"/>
        </w:rPr>
      </w:pPr>
      <w:bookmarkStart w:id="3" w:name="_Ref536138574"/>
      <w:bookmarkEnd w:id="2"/>
      <w:r w:rsidRPr="00956D63">
        <w:rPr>
          <w:rFonts w:cs="Calibri"/>
        </w:rPr>
        <w:t>Objednatel je povinen hradit Dopravci zálohu na Kompenzaci takto:</w:t>
      </w:r>
    </w:p>
    <w:p w:rsidR="00956D63" w:rsidRPr="00956D63" w:rsidRDefault="00956D63" w:rsidP="00956D63">
      <w:pPr>
        <w:numPr>
          <w:ilvl w:val="2"/>
          <w:numId w:val="1"/>
        </w:numPr>
        <w:tabs>
          <w:tab w:val="num" w:pos="1134"/>
        </w:tabs>
        <w:ind w:left="1134" w:hanging="414"/>
        <w:jc w:val="both"/>
        <w:rPr>
          <w:rFonts w:cs="Calibri"/>
          <w:color w:val="FF0000"/>
        </w:rPr>
      </w:pPr>
      <w:bookmarkStart w:id="4" w:name="_Ref536137829"/>
      <w:r w:rsidRPr="00B123F1">
        <w:rPr>
          <w:rFonts w:cs="Calibri"/>
        </w:rPr>
        <w:t>formou měsíčních splátek dle Dopravcem vystavené zálohové faktury ve výši odpovídající základní Ceně dopravního výkonu za daný kalendářní rok snížené o předpokládanou výši ročních tržeb z prodeje jízdného („</w:t>
      </w:r>
      <w:r w:rsidRPr="00B123F1">
        <w:rPr>
          <w:rFonts w:cs="Calibri"/>
          <w:b/>
        </w:rPr>
        <w:t>Záloha</w:t>
      </w:r>
      <w:r w:rsidRPr="00B123F1">
        <w:rPr>
          <w:rFonts w:cs="Calibri"/>
        </w:rPr>
        <w:t>“). Výše měsíční splátky na Zálohu na období od Zahájení provozu do 31. 12. 2019 bude činit  6 383 000</w:t>
      </w:r>
      <w:r w:rsidRPr="00B123F1">
        <w:rPr>
          <w:lang w:eastAsia="cs-CZ"/>
        </w:rPr>
        <w:t xml:space="preserve">,- </w:t>
      </w:r>
      <w:r w:rsidRPr="00B123F1">
        <w:rPr>
          <w:rFonts w:cs="Calibri"/>
        </w:rPr>
        <w:t>Kč, v období od 1. 1. 2020 do 31. 12. 2020 bude činit 11 524 640</w:t>
      </w:r>
      <w:r w:rsidRPr="00B123F1">
        <w:rPr>
          <w:lang w:eastAsia="cs-CZ"/>
        </w:rPr>
        <w:t xml:space="preserve">,- </w:t>
      </w:r>
      <w:r w:rsidRPr="00B123F1">
        <w:rPr>
          <w:rFonts w:cs="Calibri"/>
        </w:rPr>
        <w:t xml:space="preserve">Kč, v dalších kalendářních letech platnosti Smlouvy bude </w:t>
      </w:r>
      <w:r w:rsidRPr="00B123F1">
        <w:rPr>
          <w:rFonts w:cs="Calibri"/>
        </w:rPr>
        <w:lastRenderedPageBreak/>
        <w:t xml:space="preserve">výše Zálohy Koordinátorem stanovena a Dopravci oznámena vždy do </w:t>
      </w:r>
      <w:r>
        <w:rPr>
          <w:rFonts w:cs="Calibri"/>
        </w:rPr>
        <w:t xml:space="preserve"> 30. 11. </w:t>
      </w:r>
      <w:r w:rsidRPr="00B123F1">
        <w:rPr>
          <w:rFonts w:cs="Calibri"/>
        </w:rPr>
        <w:t>kalendářního roku předcházejícího roku, pro nějž je výše Zálohy stanovena.</w:t>
      </w:r>
      <w:bookmarkEnd w:id="4"/>
      <w:r w:rsidRPr="00B123F1">
        <w:rPr>
          <w:rFonts w:cs="Calibri"/>
        </w:rPr>
        <w:t xml:space="preserve">  </w:t>
      </w:r>
      <w:r w:rsidRPr="00956D63">
        <w:rPr>
          <w:rFonts w:cs="Calibri"/>
          <w:color w:val="FF0000"/>
        </w:rPr>
        <w:t xml:space="preserve">Pro období od 1. 1. 2024 do 31. 12. 2024 bude výše měsíční splátky na zálohu činit </w:t>
      </w:r>
      <w:r w:rsidR="00E7614E">
        <w:rPr>
          <w:rFonts w:cs="Calibri"/>
          <w:color w:val="FF0000"/>
        </w:rPr>
        <w:t>19.291.758</w:t>
      </w:r>
      <w:r w:rsidRPr="00956D63">
        <w:rPr>
          <w:rFonts w:cs="Calibri"/>
          <w:color w:val="FF0000"/>
        </w:rPr>
        <w:t>,00,-Kč.</w:t>
      </w:r>
    </w:p>
    <w:bookmarkEnd w:id="3"/>
    <w:p w:rsidR="00956D63" w:rsidRDefault="00956D63" w:rsidP="00950D42">
      <w:pPr>
        <w:jc w:val="both"/>
        <w:rPr>
          <w:b/>
        </w:rPr>
      </w:pPr>
    </w:p>
    <w:p w:rsidR="009F0A90" w:rsidRDefault="009F0A90" w:rsidP="00A15E27">
      <w:pPr>
        <w:ind w:left="705" w:hanging="705"/>
        <w:jc w:val="both"/>
        <w:rPr>
          <w:rFonts w:cs="Calibri"/>
        </w:rPr>
      </w:pPr>
      <w:bookmarkStart w:id="5" w:name="_Ref536138718"/>
      <w:r w:rsidRPr="00A15E27">
        <w:rPr>
          <w:rFonts w:cs="Calibri"/>
        </w:rPr>
        <w:t>7.17.</w:t>
      </w:r>
      <w:r>
        <w:rPr>
          <w:rFonts w:cs="Calibri"/>
        </w:rPr>
        <w:t xml:space="preserve"> </w:t>
      </w:r>
      <w:r w:rsidR="00A15E27">
        <w:rPr>
          <w:rFonts w:cs="Calibri"/>
        </w:rPr>
        <w:t xml:space="preserve">   </w:t>
      </w:r>
      <w:r w:rsidRPr="000D694B">
        <w:rPr>
          <w:rFonts w:cs="Calibri"/>
        </w:rPr>
        <w:t>V průběhu trvání Smlouvy je Dopravce povinen ve vztahu ke každému kalendářnímu roku plnění Smlouvy předložit Objednateli a Koordinátorovi celkové roční vyúčtování kompenzace dle vzoru uvedeného v příloze č. 5</w:t>
      </w:r>
      <w:r w:rsidR="00956D63" w:rsidRPr="00956D63">
        <w:rPr>
          <w:rFonts w:cs="Calibri"/>
          <w:color w:val="FF0000"/>
        </w:rPr>
        <w:t>a</w:t>
      </w:r>
      <w:r w:rsidRPr="000D694B">
        <w:rPr>
          <w:rFonts w:cs="Calibri"/>
        </w:rPr>
        <w:t xml:space="preserve"> Smlouvy (dále jen „</w:t>
      </w:r>
      <w:r w:rsidRPr="000D694B">
        <w:rPr>
          <w:rFonts w:cs="Calibri"/>
          <w:b/>
        </w:rPr>
        <w:t>Celkové vyúčtování</w:t>
      </w:r>
      <w:r w:rsidRPr="000D694B">
        <w:rPr>
          <w:rFonts w:cs="Calibri"/>
        </w:rPr>
        <w:t xml:space="preserve">“) za příslušný kalendářní rok, a to do 5. 2. následujícího kalendářního roku. Po ukončení Smlouvy je Dopravce povinen předložit Celkové vyúčtování nejpozději ve lhůtě </w:t>
      </w:r>
      <w:r w:rsidR="0039692A" w:rsidRPr="0039692A">
        <w:rPr>
          <w:rFonts w:cs="Calibri"/>
          <w:color w:val="FF0000"/>
        </w:rPr>
        <w:t xml:space="preserve">do 5. 2. </w:t>
      </w:r>
      <w:r w:rsidRPr="000D694B">
        <w:rPr>
          <w:rFonts w:cs="Calibri"/>
        </w:rPr>
        <w:t>po ukončení Smlouvy, a to ve vztahu k uplynulému období příslušného kalendářního roku. V Celkovém vyúčtování Dopravce pravdivě a úplně uvede:</w:t>
      </w:r>
      <w:bookmarkEnd w:id="5"/>
      <w:r w:rsidRPr="000D694B">
        <w:rPr>
          <w:rFonts w:cs="Calibri"/>
        </w:rPr>
        <w:t xml:space="preserve"> </w:t>
      </w:r>
    </w:p>
    <w:p w:rsidR="005D0B85" w:rsidRPr="00956D63" w:rsidRDefault="005D0B85" w:rsidP="008E2DD6">
      <w:pPr>
        <w:pStyle w:val="Odstavecseseznamem"/>
        <w:numPr>
          <w:ilvl w:val="2"/>
          <w:numId w:val="2"/>
        </w:numPr>
        <w:jc w:val="both"/>
        <w:rPr>
          <w:rFonts w:asciiTheme="minorHAnsi" w:hAnsiTheme="minorHAnsi" w:cs="Calibri"/>
        </w:rPr>
      </w:pPr>
      <w:r w:rsidRPr="00956D63">
        <w:rPr>
          <w:rFonts w:asciiTheme="minorHAnsi" w:hAnsiTheme="minorHAnsi" w:cs="Calibri"/>
          <w:lang w:val="cs-CZ"/>
        </w:rPr>
        <w:t>Počáteční výpočet nároku na kompenzaci postupem dle výpočtu stanoveném čl. 7.4. Smlouvy</w:t>
      </w:r>
      <w:r w:rsidR="00956D63" w:rsidRPr="00956D63">
        <w:rPr>
          <w:rFonts w:asciiTheme="minorHAnsi" w:hAnsiTheme="minorHAnsi" w:cs="Calibri"/>
          <w:lang w:val="cs-CZ"/>
        </w:rPr>
        <w:t xml:space="preserve"> </w:t>
      </w:r>
      <w:r w:rsidR="00956D63" w:rsidRPr="00956D63">
        <w:rPr>
          <w:rFonts w:asciiTheme="minorHAnsi" w:hAnsiTheme="minorHAnsi" w:cs="Calibri"/>
          <w:color w:val="FF0000"/>
          <w:lang w:val="cs-CZ"/>
        </w:rPr>
        <w:t>se zohledněním indexace podle postupu v odst. 7.5.1. a přílohy č. 3d</w:t>
      </w:r>
      <w:r w:rsidRPr="00956D63">
        <w:rPr>
          <w:rFonts w:asciiTheme="minorHAnsi" w:hAnsiTheme="minorHAnsi" w:cs="Calibri"/>
          <w:lang w:val="cs-CZ"/>
        </w:rPr>
        <w:t>;</w:t>
      </w:r>
    </w:p>
    <w:p w:rsidR="005D0B85" w:rsidRPr="00956D63" w:rsidRDefault="005D0B85" w:rsidP="008E2DD6">
      <w:pPr>
        <w:pStyle w:val="Odstavecseseznamem"/>
        <w:numPr>
          <w:ilvl w:val="2"/>
          <w:numId w:val="2"/>
        </w:numPr>
        <w:jc w:val="both"/>
        <w:rPr>
          <w:rFonts w:asciiTheme="minorHAnsi" w:hAnsiTheme="minorHAnsi" w:cs="Calibri"/>
        </w:rPr>
      </w:pPr>
      <w:r w:rsidRPr="00956D63">
        <w:rPr>
          <w:rFonts w:asciiTheme="minorHAnsi" w:hAnsiTheme="minorHAnsi" w:cs="Calibri"/>
          <w:lang w:val="cs-CZ"/>
        </w:rPr>
        <w:t>Souhrn  1. – 3. čtvrtletí v členění dle výpočtu stanoveném čl. 7.4.</w:t>
      </w:r>
      <w:r w:rsidR="00956D63" w:rsidRPr="00956D63">
        <w:rPr>
          <w:rFonts w:asciiTheme="minorHAnsi" w:hAnsiTheme="minorHAnsi" w:cs="Calibri"/>
          <w:lang w:val="cs-CZ"/>
        </w:rPr>
        <w:t xml:space="preserve"> </w:t>
      </w:r>
      <w:r w:rsidR="00956D63" w:rsidRPr="00956D63">
        <w:rPr>
          <w:rFonts w:asciiTheme="minorHAnsi" w:hAnsiTheme="minorHAnsi" w:cs="Calibri"/>
          <w:color w:val="FF0000"/>
          <w:lang w:val="cs-CZ"/>
        </w:rPr>
        <w:t>se zohledněním indexace podle postupu v odst. 7.5.1. a přílohy č. 3d</w:t>
      </w:r>
      <w:r w:rsidR="00956D63">
        <w:rPr>
          <w:rFonts w:asciiTheme="minorHAnsi" w:hAnsiTheme="minorHAnsi" w:cs="Calibri"/>
          <w:color w:val="FF0000"/>
          <w:lang w:val="cs-CZ"/>
        </w:rPr>
        <w:t>;</w:t>
      </w:r>
      <w:r w:rsidRPr="00956D63">
        <w:rPr>
          <w:rFonts w:asciiTheme="minorHAnsi" w:hAnsiTheme="minorHAnsi" w:cs="Calibri"/>
          <w:lang w:val="cs-CZ"/>
        </w:rPr>
        <w:t xml:space="preserve"> obdobně a v členění dle jednotlivých </w:t>
      </w:r>
      <w:r w:rsidR="00DA538A" w:rsidRPr="00956D63">
        <w:rPr>
          <w:rFonts w:asciiTheme="minorHAnsi" w:hAnsiTheme="minorHAnsi" w:cs="Calibri"/>
          <w:lang w:val="cs-CZ"/>
        </w:rPr>
        <w:t>k</w:t>
      </w:r>
      <w:r w:rsidR="00A33077" w:rsidRPr="00956D63">
        <w:rPr>
          <w:rFonts w:asciiTheme="minorHAnsi" w:hAnsiTheme="minorHAnsi" w:cs="Calibri"/>
          <w:lang w:val="cs-CZ"/>
        </w:rPr>
        <w:t>rajů (tedy Zlínský kraj a</w:t>
      </w:r>
      <w:r w:rsidRPr="00956D63">
        <w:rPr>
          <w:rFonts w:asciiTheme="minorHAnsi" w:hAnsiTheme="minorHAnsi" w:cs="Calibri"/>
          <w:lang w:val="cs-CZ"/>
        </w:rPr>
        <w:t xml:space="preserve"> Olomoucký kr</w:t>
      </w:r>
      <w:r w:rsidR="00DA538A" w:rsidRPr="00956D63">
        <w:rPr>
          <w:rFonts w:asciiTheme="minorHAnsi" w:hAnsiTheme="minorHAnsi" w:cs="Calibri"/>
          <w:lang w:val="cs-CZ"/>
        </w:rPr>
        <w:t>a</w:t>
      </w:r>
      <w:r w:rsidRPr="00956D63">
        <w:rPr>
          <w:rFonts w:asciiTheme="minorHAnsi" w:hAnsiTheme="minorHAnsi" w:cs="Calibri"/>
          <w:lang w:val="cs-CZ"/>
        </w:rPr>
        <w:t>j);</w:t>
      </w:r>
    </w:p>
    <w:p w:rsidR="005D0B85" w:rsidRPr="00956D63" w:rsidRDefault="005D0B85" w:rsidP="008E2DD6">
      <w:pPr>
        <w:pStyle w:val="Odstavecseseznamem"/>
        <w:numPr>
          <w:ilvl w:val="2"/>
          <w:numId w:val="2"/>
        </w:numPr>
        <w:jc w:val="both"/>
        <w:rPr>
          <w:rFonts w:asciiTheme="minorHAnsi" w:hAnsiTheme="minorHAnsi" w:cs="Calibri"/>
        </w:rPr>
      </w:pPr>
      <w:r w:rsidRPr="00956D63">
        <w:rPr>
          <w:rFonts w:asciiTheme="minorHAnsi" w:hAnsiTheme="minorHAnsi" w:cs="Calibri"/>
          <w:lang w:val="cs-CZ"/>
        </w:rPr>
        <w:t>Vyčíslení 4. čtvrtletí v členění dle odst. 7.17. b) pouze jako informačního ukazatele;</w:t>
      </w:r>
    </w:p>
    <w:p w:rsidR="005D0B85" w:rsidRPr="00956D63" w:rsidRDefault="005D0B85" w:rsidP="008E2DD6">
      <w:pPr>
        <w:pStyle w:val="Odstavecseseznamem"/>
        <w:numPr>
          <w:ilvl w:val="2"/>
          <w:numId w:val="2"/>
        </w:numPr>
        <w:jc w:val="both"/>
        <w:rPr>
          <w:rFonts w:asciiTheme="minorHAnsi" w:hAnsiTheme="minorHAnsi" w:cs="Calibri"/>
        </w:rPr>
      </w:pPr>
      <w:r w:rsidRPr="00956D63">
        <w:rPr>
          <w:rFonts w:asciiTheme="minorHAnsi" w:hAnsiTheme="minorHAnsi" w:cs="Calibri"/>
          <w:lang w:val="cs-CZ"/>
        </w:rPr>
        <w:t>Shrnutí veškerých částek odpovídajících sankcím v příslušném kalendářním roce.</w:t>
      </w:r>
    </w:p>
    <w:p w:rsidR="00E851E1" w:rsidRDefault="00956D63" w:rsidP="00E851E1">
      <w:pPr>
        <w:jc w:val="both"/>
      </w:pPr>
      <w:r>
        <w:rPr>
          <w:b/>
        </w:rPr>
        <w:t>Čl. 8</w:t>
      </w:r>
      <w:r w:rsidRPr="009F0A90">
        <w:rPr>
          <w:b/>
        </w:rPr>
        <w:t xml:space="preserve">. </w:t>
      </w:r>
      <w:r>
        <w:rPr>
          <w:b/>
        </w:rPr>
        <w:t>TECHNICKÉ PARAMETRY POSKYTOVANÝCH SLUŽEB</w:t>
      </w:r>
      <w:r>
        <w:t xml:space="preserve"> </w:t>
      </w:r>
      <w:r w:rsidRPr="009F0A90">
        <w:rPr>
          <w:color w:val="FF0000"/>
        </w:rPr>
        <w:t xml:space="preserve">– </w:t>
      </w:r>
      <w:r>
        <w:rPr>
          <w:color w:val="FF0000"/>
        </w:rPr>
        <w:t xml:space="preserve">doplnění v </w:t>
      </w:r>
      <w:r w:rsidRPr="009F0A90">
        <w:rPr>
          <w:color w:val="FF0000"/>
        </w:rPr>
        <w:t xml:space="preserve">odst. </w:t>
      </w:r>
      <w:r>
        <w:rPr>
          <w:color w:val="FF0000"/>
        </w:rPr>
        <w:t>8</w:t>
      </w:r>
      <w:r w:rsidRPr="009F0A90">
        <w:rPr>
          <w:color w:val="FF0000"/>
        </w:rPr>
        <w:t>.</w:t>
      </w:r>
      <w:r>
        <w:rPr>
          <w:color w:val="FF0000"/>
        </w:rPr>
        <w:t>3.</w:t>
      </w:r>
      <w:r w:rsidR="00DC3695">
        <w:rPr>
          <w:color w:val="FF0000"/>
        </w:rPr>
        <w:t xml:space="preserve"> a 8.4.</w:t>
      </w:r>
    </w:p>
    <w:p w:rsidR="005D0B85" w:rsidRPr="00A15E27" w:rsidRDefault="00956D63" w:rsidP="008E2DD6">
      <w:pPr>
        <w:pStyle w:val="Odstavecseseznamem"/>
        <w:numPr>
          <w:ilvl w:val="1"/>
          <w:numId w:val="9"/>
        </w:numPr>
        <w:jc w:val="both"/>
        <w:rPr>
          <w:rFonts w:cs="Calibri"/>
          <w:color w:val="FF0000"/>
        </w:rPr>
      </w:pPr>
      <w:bookmarkStart w:id="6" w:name="_Ref322486282"/>
      <w:r w:rsidRPr="00956D63">
        <w:rPr>
          <w:rFonts w:cs="Calibri"/>
        </w:rPr>
        <w:t xml:space="preserve">Dopravce prokázal splnění povinností stanovených v článcích 8.1 až 8.2 (připravenost vozidel konkrétně určených pro plnění Veřejných služeb od okamžiku Zahájení provozu) Koordinátorovi </w:t>
      </w:r>
      <w:r w:rsidRPr="00B123F1">
        <w:t>dne 15. 11. 2019</w:t>
      </w:r>
      <w:r w:rsidRPr="00956D63">
        <w:rPr>
          <w:rFonts w:cs="Calibri"/>
        </w:rPr>
        <w:t>.</w:t>
      </w:r>
      <w:bookmarkEnd w:id="6"/>
      <w:r w:rsidRPr="00956D63">
        <w:rPr>
          <w:rFonts w:cs="Calibri"/>
        </w:rPr>
        <w:t xml:space="preserve"> Dopravce je povinen uspořádat za tímto účelem společné setkání se zástupci Objednatele a Koordinátora, při němž bude splnění podmínek ověřeno. Dopravce o datu a místu konání kontrolního dne Objednatele písemně informuje. Pokud budou v průběhu kontroly zjištěny u některého z vozidel nedostatky, je Dopravce povinen nejpozději do čtrnácti (14) dnů kontrolu plnění podmínek uspořádat znovu, a to i opakovaně, až do okamžiku, kdy Dopravce prokáže Objednateli, že zjištěné nedostatky vozidel byly odstraněny. Tento postup se obdobně uplatní také v případě změny typu vozidel, resp. nasazení konkrétních, Dopravcem deklarovaných vozidel v rozsahu a v termínech dle přílohy č. 2 Smlouvy</w:t>
      </w:r>
      <w:r w:rsidRPr="00956D63">
        <w:rPr>
          <w:rFonts w:cs="Calibri"/>
          <w:color w:val="FF0000"/>
        </w:rPr>
        <w:t>.  Pro účely této</w:t>
      </w:r>
      <w:r w:rsidR="00DC3695">
        <w:rPr>
          <w:rFonts w:cs="Calibri"/>
          <w:color w:val="FF0000"/>
        </w:rPr>
        <w:t xml:space="preserve"> Smlouvy ve znění Dodatku č. 8 byl</w:t>
      </w:r>
      <w:r w:rsidRPr="00956D63">
        <w:rPr>
          <w:rFonts w:cs="Calibri"/>
          <w:color w:val="FF0000"/>
        </w:rPr>
        <w:t xml:space="preserve"> termín pro splnění povinností dle tohoto odst. 8.3. </w:t>
      </w:r>
      <w:r w:rsidR="00DC3695">
        <w:rPr>
          <w:rFonts w:cs="Calibri"/>
          <w:color w:val="FF0000"/>
          <w:lang w:val="cs-CZ"/>
        </w:rPr>
        <w:t>stanoven na 16.11.2023.</w:t>
      </w:r>
    </w:p>
    <w:p w:rsidR="00DC3695" w:rsidRPr="00DC3695" w:rsidRDefault="00DC3695" w:rsidP="00DC3695">
      <w:pPr>
        <w:numPr>
          <w:ilvl w:val="1"/>
          <w:numId w:val="9"/>
        </w:numPr>
        <w:jc w:val="both"/>
        <w:rPr>
          <w:rFonts w:cs="Calibri"/>
        </w:rPr>
      </w:pPr>
      <w:bookmarkStart w:id="7" w:name="_Ref433854646"/>
      <w:r w:rsidRPr="00B123F1">
        <w:rPr>
          <w:rFonts w:cs="Calibri"/>
        </w:rPr>
        <w:t xml:space="preserve">Dopravce je dále povinen nejpozději dne 13.12.2019 </w:t>
      </w:r>
      <w:r w:rsidRPr="00B123F1">
        <w:t>prokázat, že má zajištěn</w:t>
      </w:r>
      <w:r w:rsidRPr="00B123F1">
        <w:rPr>
          <w:rFonts w:cs="Calibri"/>
        </w:rPr>
        <w:t xml:space="preserve"> řádně fungující odbavovací systém pro účely plnění Veřejných služeb dle Smlouvy. Test funkčnosti odbavovacího zařízení bude proveden na vzorku odbavovacího zařízení, v místě a termínu dohodnutém mezi Dopravcem a Objednatelem/Koordinátorem .</w:t>
      </w:r>
      <w:r w:rsidRPr="00B123F1">
        <w:t xml:space="preserve"> Dopravce je dále povinen mít nejpozději dne 13.12.2019 zajištěn </w:t>
      </w:r>
      <w:r w:rsidRPr="00B123F1">
        <w:rPr>
          <w:rFonts w:cs="Calibri"/>
        </w:rPr>
        <w:t>personál a technické zázemí nezbytné pro provozování Veřejných služeb podle podmínek Smlouvy. Objednatel má právo ověřit připravenost Dopravce dle předchozí věty a Dopravce je povinen mu na výzvu učiněnou s předstihem alespoň jednoho (1) dne provedení příslušné kontroly umožnit a poskytnout mu veškerou nutnou součinnost.</w:t>
      </w:r>
      <w:r w:rsidRPr="00B123F1">
        <w:t xml:space="preserve">  Dopravce zahájil provoz informačních kanceláří v souladu se Standardy kvality.</w:t>
      </w:r>
      <w:bookmarkEnd w:id="7"/>
      <w:r w:rsidRPr="00EE4D8B">
        <w:rPr>
          <w:rFonts w:cs="Calibri"/>
        </w:rPr>
        <w:t xml:space="preserve"> </w:t>
      </w:r>
      <w:r w:rsidRPr="00DC3695">
        <w:rPr>
          <w:rFonts w:cs="Calibri"/>
          <w:color w:val="FF0000"/>
        </w:rPr>
        <w:t>Pro účely této Smlouvy ve znění Dodatku č. 8 byl termín pro splnění povinností dle tohoto odst. 8.4. stanoven na 16. 11. 2023.</w:t>
      </w:r>
      <w:r w:rsidRPr="00DC3695">
        <w:rPr>
          <w:color w:val="FF0000"/>
        </w:rPr>
        <w:t xml:space="preserve"> </w:t>
      </w:r>
    </w:p>
    <w:p w:rsidR="00DC3695" w:rsidRDefault="00DC3695">
      <w:pPr>
        <w:rPr>
          <w:b/>
        </w:rPr>
      </w:pPr>
    </w:p>
    <w:p w:rsidR="009F0A90" w:rsidRDefault="009F0A90">
      <w:pPr>
        <w:rPr>
          <w:color w:val="FF0000"/>
        </w:rPr>
      </w:pPr>
      <w:r w:rsidRPr="009F0A90">
        <w:rPr>
          <w:b/>
        </w:rPr>
        <w:t>Čl. 9. SLEDOVÁNÍ PROVOZNÍCH NEPRAVIDELNOSTÍ</w:t>
      </w:r>
      <w:r>
        <w:t xml:space="preserve"> </w:t>
      </w:r>
      <w:r w:rsidRPr="009F0A90">
        <w:rPr>
          <w:color w:val="FF0000"/>
        </w:rPr>
        <w:t xml:space="preserve">– </w:t>
      </w:r>
      <w:r w:rsidR="00956D63">
        <w:rPr>
          <w:color w:val="FF0000"/>
        </w:rPr>
        <w:t xml:space="preserve">doplnění povinnosti do </w:t>
      </w:r>
      <w:r w:rsidRPr="009F0A90">
        <w:rPr>
          <w:color w:val="FF0000"/>
        </w:rPr>
        <w:t>odst</w:t>
      </w:r>
      <w:r w:rsidR="00956D63">
        <w:rPr>
          <w:color w:val="FF0000"/>
        </w:rPr>
        <w:t>. 9.4.</w:t>
      </w:r>
    </w:p>
    <w:p w:rsidR="00956D63" w:rsidRPr="00956D63" w:rsidRDefault="00956D63" w:rsidP="008E2DD6">
      <w:pPr>
        <w:pStyle w:val="Odstavecseseznamem"/>
        <w:numPr>
          <w:ilvl w:val="1"/>
          <w:numId w:val="10"/>
        </w:numPr>
        <w:jc w:val="both"/>
        <w:rPr>
          <w:rFonts w:asciiTheme="minorHAnsi" w:hAnsiTheme="minorHAnsi" w:cs="Calibri"/>
          <w:color w:val="FF0000"/>
        </w:rPr>
      </w:pPr>
      <w:bookmarkStart w:id="8" w:name="_Ref2609052"/>
      <w:r w:rsidRPr="00B123F1">
        <w:t xml:space="preserve">Dopravce je povinen realizovat dopravní výkony v souladu s platným Plánem řazení, tedy po celé délce výkonu pravidelně turnusovanou náležitostí. Provoz je průběžně sledován dle statistik Dopravce, který se zavazuje </w:t>
      </w:r>
      <w:r w:rsidRPr="00956D63">
        <w:rPr>
          <w:rFonts w:asciiTheme="minorHAnsi" w:hAnsiTheme="minorHAnsi" w:cs="Calibri"/>
        </w:rPr>
        <w:t xml:space="preserve">Objednateli a Koordinátorovi </w:t>
      </w:r>
      <w:r w:rsidRPr="00B123F1">
        <w:t xml:space="preserve">předávat výkaz dodržení řazení Vlaků dle přílohy č. 7c, a to vždy za příslušné kalendářní čtvrtletí. V případě nesplnění minimální úrovně náročnosti ve výši </w:t>
      </w:r>
      <w:r w:rsidRPr="00956D63">
        <w:rPr>
          <w:bCs/>
        </w:rPr>
        <w:t>95 %</w:t>
      </w:r>
      <w:r w:rsidRPr="00956D63">
        <w:rPr>
          <w:b/>
          <w:bCs/>
        </w:rPr>
        <w:t xml:space="preserve"> </w:t>
      </w:r>
      <w:r w:rsidRPr="00956D63">
        <w:rPr>
          <w:bCs/>
        </w:rPr>
        <w:t>(slovy: devadesát pět procent)</w:t>
      </w:r>
      <w:r w:rsidRPr="00956D63">
        <w:rPr>
          <w:b/>
          <w:bCs/>
        </w:rPr>
        <w:t xml:space="preserve"> </w:t>
      </w:r>
      <w:r w:rsidRPr="00B123F1">
        <w:t>plnění předepsaného řazení Vlaků v rámci kalendářního čtvrtletí je Objednatel oprávněn udělit smluvní pokutu v souladu s přílohou č. 9 Smlouvy.</w:t>
      </w:r>
      <w:r w:rsidRPr="00956D63">
        <w:rPr>
          <w:rFonts w:asciiTheme="minorHAnsi" w:hAnsiTheme="minorHAnsi" w:cs="Calibri"/>
        </w:rPr>
        <w:t xml:space="preserve"> Na vyžádání Objednatele se Dopravce zavazuje předložit ve lhůtě do jednoho (1) měsíce zdrojová data, na základě kterých byl uvedený přehled vypracován.</w:t>
      </w:r>
      <w:bookmarkEnd w:id="8"/>
      <w:r w:rsidRPr="00956D63">
        <w:rPr>
          <w:rFonts w:asciiTheme="minorHAnsi" w:hAnsiTheme="minorHAnsi" w:cs="Calibri"/>
        </w:rPr>
        <w:t xml:space="preserve"> </w:t>
      </w:r>
      <w:r w:rsidRPr="00956D63">
        <w:rPr>
          <w:rFonts w:asciiTheme="minorHAnsi" w:hAnsiTheme="minorHAnsi" w:cs="Calibri"/>
          <w:color w:val="FF0000"/>
        </w:rPr>
        <w:t>V případě nedodržení vozby dle Plánu řazení je Dopravce povinen dodržet kapacitní požadavky na Vlaky definované v Příloze č. 1, bodu č. 5. V případě nedodržení kapacitních požadavků definovaných v Příloze č. 1 Smlouvy, bodu č. 5 je Objednatele oprávněn udělit Dopravci smluvní pokutu v souladu s Přílohou č. 9 Smlouvy. V této souvislosti je Dopravce povinen zpracovávat a nejpozději do posledního dne následujícího měsíce předložit koordinátorovi měsíční přehled řazení Vlaků ve formátu dle Přílohy č. 7c.</w:t>
      </w:r>
    </w:p>
    <w:p w:rsidR="00950D42" w:rsidRPr="000D694B" w:rsidRDefault="00950D42" w:rsidP="009F0A90">
      <w:pPr>
        <w:jc w:val="both"/>
        <w:rPr>
          <w:rFonts w:cs="Calibri"/>
        </w:rPr>
      </w:pPr>
    </w:p>
    <w:p w:rsidR="00950D42" w:rsidRDefault="0046251E">
      <w:pPr>
        <w:rPr>
          <w:color w:val="FF0000"/>
        </w:rPr>
      </w:pPr>
      <w:r w:rsidRPr="0046251E">
        <w:rPr>
          <w:b/>
        </w:rPr>
        <w:t>Čl. 10. ŘÍZENÍ PROVOZNÍCH NEPRAVIDELNOSTÍ</w:t>
      </w:r>
      <w:r w:rsidRPr="0046251E">
        <w:t xml:space="preserve"> </w:t>
      </w:r>
      <w:r>
        <w:rPr>
          <w:color w:val="FF0000"/>
        </w:rPr>
        <w:t xml:space="preserve">– </w:t>
      </w:r>
      <w:r w:rsidR="00A15E27">
        <w:rPr>
          <w:color w:val="FF0000"/>
        </w:rPr>
        <w:t xml:space="preserve">doplnění do </w:t>
      </w:r>
      <w:r>
        <w:rPr>
          <w:color w:val="FF0000"/>
        </w:rPr>
        <w:t xml:space="preserve">odst. </w:t>
      </w:r>
      <w:r w:rsidR="00950D42">
        <w:rPr>
          <w:color w:val="FF0000"/>
        </w:rPr>
        <w:t>10.1</w:t>
      </w:r>
      <w:r w:rsidR="00A15E27">
        <w:rPr>
          <w:color w:val="FF0000"/>
        </w:rPr>
        <w:t>0</w:t>
      </w:r>
      <w:r w:rsidR="00950D42">
        <w:rPr>
          <w:color w:val="FF0000"/>
        </w:rPr>
        <w:t>.</w:t>
      </w:r>
    </w:p>
    <w:p w:rsidR="00A15E27" w:rsidRPr="00A15E27" w:rsidRDefault="00A15E27" w:rsidP="008E2DD6">
      <w:pPr>
        <w:pStyle w:val="Odstavecseseznamem"/>
        <w:numPr>
          <w:ilvl w:val="1"/>
          <w:numId w:val="11"/>
        </w:numPr>
        <w:jc w:val="both"/>
        <w:rPr>
          <w:rFonts w:cs="Calibri"/>
          <w:b/>
          <w:bCs/>
          <w:caps/>
        </w:rPr>
      </w:pPr>
      <w:r w:rsidRPr="00A15E27">
        <w:rPr>
          <w:rFonts w:cs="Calibri"/>
        </w:rPr>
        <w:t xml:space="preserve">V úseku náhradní autobusové dopravy není Dopravce povinen plnit kvalitativní požadavky na vozidla podle přílohy č. 2. </w:t>
      </w:r>
      <w:r w:rsidRPr="00A15E27">
        <w:rPr>
          <w:rFonts w:cs="Calibri"/>
          <w:color w:val="FF0000"/>
        </w:rPr>
        <w:t xml:space="preserve">V případě plánovaných výluk musí Dopravce vždy poptávat prostředek náhradní dopravy schopný přepravit občany se sníženou schopností pohybu či orientace, kočárky a jízdní kola (resp. lyže) v rozsahu služeb, v jakém má být standardně zajišťována na daném vlaku. </w:t>
      </w:r>
      <w:r w:rsidRPr="00A15E27">
        <w:rPr>
          <w:rFonts w:cs="Calibri"/>
        </w:rPr>
        <w:t xml:space="preserve">Dopravce je oprávněn v případech </w:t>
      </w:r>
      <w:r w:rsidRPr="00A15E27">
        <w:rPr>
          <w:rFonts w:cs="Calibri"/>
          <w:color w:val="FF0000"/>
        </w:rPr>
        <w:t>plánovaných</w:t>
      </w:r>
      <w:r w:rsidRPr="00A15E27">
        <w:rPr>
          <w:rFonts w:cs="Calibri"/>
        </w:rPr>
        <w:t xml:space="preserve"> výluk, kdy to není ani přes veškerou snahu, kterou lze v konkrétním případě po Dopravci spravedlivě požadovat, objektivně možné, nedodržet povinnost stanovenou v předchozí větě. O této skutečnosti je však povinen bezodkladně informovat Koordinátora a objektivní nemožnost plnění dostatečně doložit. Dopravce může dohodnout výjimku z plnění povinnosti dle tohoto článku i v případě, kdy by s ohledem na konkrétní podmínky bylo plnění takovým vozidlem fakticky nevhodné. V případě plánovaných výluk může být, a to pouze po dohodě s Koordinátorem, upraven rozsah poskytovaných služeb na vyjmenovaných spojích náhradní autobusové dopravy a tato úprava bude zveřejněna. Dopravce je povinen viditelně označit příslušný spoj náhradní autobusové dopravy nápisem „NÁHRADNÍ AUTOBUSOVÁ DOPRAVA“</w:t>
      </w:r>
      <w:r w:rsidRPr="00A15E27">
        <w:rPr>
          <w:rFonts w:cs="Calibri"/>
          <w:b/>
        </w:rPr>
        <w:t xml:space="preserve">, </w:t>
      </w:r>
      <w:r w:rsidRPr="00A15E27">
        <w:rPr>
          <w:rFonts w:cs="Calibri"/>
        </w:rPr>
        <w:t xml:space="preserve">dále úsekem, na kterém je náhradní autobusová doprava provozována, a svou obchodní firmou. </w:t>
      </w:r>
      <w:r w:rsidRPr="00A15E27">
        <w:rPr>
          <w:rFonts w:cs="Calibri"/>
          <w:color w:val="FF0000"/>
        </w:rPr>
        <w:t xml:space="preserve">V případě neplánovaných mimořádností je Dopravce povinen upřednostnit časově nejdostupnější nabídku, avšak v případě více časově srovnatelně dostupných nabídek tu, která v maximální míře nabídne prostředky náhradní dopravy schopné přepravit občany se sníženou schopností pohybu či orientace, kočárky a jízdní kola (resp. lyže) v rozsahu služeb, v jakém má být standardně zajišťována na daném vlaku. </w:t>
      </w:r>
      <w:r w:rsidRPr="00A15E27">
        <w:rPr>
          <w:rFonts w:cs="Calibri"/>
        </w:rPr>
        <w:t>Zavedení náhradní autobusové dopravy nezprošťuje Dopravce povinnosti zajistit odpovídající kapacitu dopravních prostředků podle konkrétních přepravních potřeb.</w:t>
      </w:r>
    </w:p>
    <w:p w:rsidR="000922E7" w:rsidRDefault="000922E7" w:rsidP="00482F41">
      <w:pPr>
        <w:jc w:val="both"/>
        <w:rPr>
          <w:rFonts w:cs="Calibri"/>
          <w:b/>
        </w:rPr>
      </w:pPr>
    </w:p>
    <w:p w:rsidR="00482F41" w:rsidRDefault="00482F41" w:rsidP="00482F41">
      <w:pPr>
        <w:jc w:val="both"/>
        <w:rPr>
          <w:rFonts w:cs="Calibri"/>
          <w:color w:val="FF0000"/>
        </w:rPr>
      </w:pPr>
      <w:r w:rsidRPr="0046251E">
        <w:rPr>
          <w:rFonts w:cs="Calibri"/>
          <w:b/>
        </w:rPr>
        <w:lastRenderedPageBreak/>
        <w:t>Čl. 1</w:t>
      </w:r>
      <w:r>
        <w:rPr>
          <w:rFonts w:cs="Calibri"/>
          <w:b/>
        </w:rPr>
        <w:t>2</w:t>
      </w:r>
      <w:r w:rsidRPr="0046251E">
        <w:rPr>
          <w:rFonts w:cs="Calibri"/>
          <w:b/>
        </w:rPr>
        <w:t xml:space="preserve">. </w:t>
      </w:r>
      <w:r>
        <w:rPr>
          <w:rFonts w:cs="Calibri"/>
          <w:b/>
        </w:rPr>
        <w:t>INTEGROVANÝ DOPRAVNÍ SYSTÉM</w:t>
      </w:r>
      <w:r>
        <w:rPr>
          <w:rFonts w:cs="Calibri"/>
        </w:rPr>
        <w:t xml:space="preserve"> </w:t>
      </w:r>
      <w:r w:rsidRPr="0046251E">
        <w:rPr>
          <w:rFonts w:cs="Calibri"/>
          <w:color w:val="FF0000"/>
        </w:rPr>
        <w:t>– odst. 1</w:t>
      </w:r>
      <w:r>
        <w:rPr>
          <w:rFonts w:cs="Calibri"/>
          <w:color w:val="FF0000"/>
        </w:rPr>
        <w:t>2</w:t>
      </w:r>
      <w:r w:rsidRPr="0046251E">
        <w:rPr>
          <w:rFonts w:cs="Calibri"/>
          <w:color w:val="FF0000"/>
        </w:rPr>
        <w:t>.</w:t>
      </w:r>
      <w:r w:rsidR="00A15E27">
        <w:rPr>
          <w:rFonts w:cs="Calibri"/>
          <w:color w:val="FF0000"/>
        </w:rPr>
        <w:t>2</w:t>
      </w:r>
      <w:r w:rsidRPr="0046251E">
        <w:rPr>
          <w:rFonts w:cs="Calibri"/>
          <w:color w:val="FF0000"/>
        </w:rPr>
        <w:t>.</w:t>
      </w:r>
      <w:r w:rsidR="00A15E27">
        <w:rPr>
          <w:rFonts w:cs="Calibri"/>
          <w:color w:val="FF0000"/>
        </w:rPr>
        <w:t>2.</w:t>
      </w:r>
    </w:p>
    <w:p w:rsidR="00A15E27" w:rsidRPr="00A15E27" w:rsidRDefault="00A15E27" w:rsidP="008E2DD6">
      <w:pPr>
        <w:pStyle w:val="Odstavecseseznamem"/>
        <w:numPr>
          <w:ilvl w:val="2"/>
          <w:numId w:val="12"/>
        </w:numPr>
        <w:jc w:val="both"/>
        <w:rPr>
          <w:rFonts w:cs="Arial"/>
        </w:rPr>
      </w:pPr>
      <w:bookmarkStart w:id="9" w:name="_Ref433855317"/>
      <w:r w:rsidRPr="00A15E27">
        <w:rPr>
          <w:rFonts w:cs="Arial"/>
        </w:rPr>
        <w:t>na všech Vlacích provozovaných dle Smlouvy, akceptovat elektronické peníze nahrané na bezkontaktních čipových kartách IDS ZK (dále jako „</w:t>
      </w:r>
      <w:r w:rsidRPr="00A15E27">
        <w:rPr>
          <w:rFonts w:cs="Arial"/>
          <w:b/>
        </w:rPr>
        <w:t>Karta IDS ZK</w:t>
      </w:r>
      <w:r w:rsidRPr="00A15E27">
        <w:rPr>
          <w:rFonts w:cs="Arial"/>
        </w:rPr>
        <w:t>“) vydaných ostatními vydavateli Karet</w:t>
      </w:r>
      <w:r w:rsidRPr="00A15E27">
        <w:rPr>
          <w:rFonts w:cs="Arial"/>
          <w:b/>
        </w:rPr>
        <w:t xml:space="preserve"> </w:t>
      </w:r>
      <w:r w:rsidRPr="00A15E27">
        <w:rPr>
          <w:rFonts w:cs="Arial"/>
        </w:rPr>
        <w:t xml:space="preserve">IDS ZK (tj. akceptovat </w:t>
      </w:r>
      <w:r w:rsidRPr="00A15E27">
        <w:rPr>
          <w:rFonts w:cs="Calibri"/>
        </w:rPr>
        <w:t xml:space="preserve">jakékoliv vydané </w:t>
      </w:r>
      <w:r w:rsidRPr="00A15E27">
        <w:rPr>
          <w:rFonts w:cs="Arial"/>
        </w:rPr>
        <w:t>Karty</w:t>
      </w:r>
      <w:r w:rsidRPr="00A15E27">
        <w:rPr>
          <w:rFonts w:cs="Arial"/>
          <w:b/>
        </w:rPr>
        <w:t xml:space="preserve"> </w:t>
      </w:r>
      <w:r w:rsidRPr="00A15E27">
        <w:rPr>
          <w:rFonts w:cs="Calibri"/>
        </w:rPr>
        <w:t>IDS ZK dle požadavků stanovených v dokumentu „Karta IDS ZK“, který tvoří přílohu Smlouvy o přistoupení k IDS ZK - karta MIFARE DESFire EV1)</w:t>
      </w:r>
      <w:r w:rsidRPr="00A15E27">
        <w:rPr>
          <w:rFonts w:cs="Arial"/>
        </w:rPr>
        <w:t>;</w:t>
      </w:r>
      <w:bookmarkEnd w:id="9"/>
      <w:r w:rsidRPr="00A15E27">
        <w:rPr>
          <w:rFonts w:cs="Arial"/>
        </w:rPr>
        <w:t xml:space="preserve"> Koordinátor je také oprávněn Dopravci stanovit povinnost uznávání elektronických peněz nahraných na dalších bezkontaktních čipových kartách vydávaných mimo IDS ZK (zejména </w:t>
      </w:r>
      <w:r w:rsidRPr="00A15E27">
        <w:rPr>
          <w:rFonts w:cs="Calibri"/>
        </w:rPr>
        <w:t xml:space="preserve">karty MIFARE DESFire EV1 </w:t>
      </w:r>
      <w:r w:rsidRPr="00A15E27">
        <w:rPr>
          <w:rFonts w:cs="Calibri"/>
          <w:color w:val="FF0000"/>
        </w:rPr>
        <w:t xml:space="preserve">a EV3 </w:t>
      </w:r>
      <w:r w:rsidRPr="00A15E27">
        <w:rPr>
          <w:rFonts w:cs="Calibri"/>
        </w:rPr>
        <w:t>– např. „ODISka“</w:t>
      </w:r>
      <w:r w:rsidRPr="00A15E27">
        <w:rPr>
          <w:rFonts w:cs="Arial"/>
        </w:rPr>
        <w:t>);</w:t>
      </w:r>
    </w:p>
    <w:p w:rsidR="00A15E27" w:rsidRPr="00A15E27" w:rsidRDefault="00A15E27" w:rsidP="00A15E27">
      <w:pPr>
        <w:pStyle w:val="Odstavecseseznamem"/>
        <w:ind w:left="600"/>
        <w:jc w:val="both"/>
        <w:rPr>
          <w:rFonts w:cs="Calibri"/>
          <w:color w:val="FF0000"/>
        </w:rPr>
      </w:pPr>
    </w:p>
    <w:p w:rsidR="00A15E27" w:rsidRDefault="00A15E27" w:rsidP="00482F41">
      <w:pPr>
        <w:jc w:val="both"/>
        <w:rPr>
          <w:rFonts w:cs="Calibri"/>
          <w:color w:val="FF0000"/>
        </w:rPr>
      </w:pPr>
      <w:r w:rsidRPr="00A15E27">
        <w:rPr>
          <w:rFonts w:cs="Calibri"/>
          <w:b/>
        </w:rPr>
        <w:t>Čl. 17 DOBA TRVÁNÍ SMLOUVY</w:t>
      </w:r>
      <w:r>
        <w:rPr>
          <w:rFonts w:cs="Calibri"/>
          <w:color w:val="FF0000"/>
        </w:rPr>
        <w:t xml:space="preserve"> – nový odst. 17.10.</w:t>
      </w:r>
    </w:p>
    <w:p w:rsidR="00A15E27" w:rsidRPr="005001F7" w:rsidRDefault="00A15E27" w:rsidP="008E2DD6">
      <w:pPr>
        <w:pStyle w:val="Odstavecseseznamem"/>
        <w:numPr>
          <w:ilvl w:val="1"/>
          <w:numId w:val="13"/>
        </w:numPr>
        <w:jc w:val="both"/>
        <w:rPr>
          <w:rFonts w:cs="Calibri"/>
          <w:color w:val="FF0000"/>
        </w:rPr>
      </w:pPr>
      <w:r w:rsidRPr="00A15E27">
        <w:rPr>
          <w:rFonts w:cs="Calibri"/>
          <w:color w:val="FF0000"/>
        </w:rPr>
        <w:t>V případě předčasného ukončení smlouvy u jednoho z provozních souborů Provozní soubor A nebo provozní soubor D, tedy Smlouvy nebo Smlouvy o provozním souboru A, se smluvní strany zavazují postupovat dle čl. 3.4. této Smlouvy.</w:t>
      </w:r>
    </w:p>
    <w:p w:rsidR="00B654AC" w:rsidRDefault="00B654AC">
      <w:pPr>
        <w:rPr>
          <w:color w:val="FF0000"/>
        </w:rPr>
      </w:pPr>
      <w:r>
        <w:rPr>
          <w:rFonts w:cs="Segoe UI"/>
          <w:b/>
          <w:color w:val="000000"/>
          <w:lang w:eastAsia="cs-CZ"/>
        </w:rPr>
        <w:t xml:space="preserve">Příloha č. 1 - </w:t>
      </w:r>
      <w:r w:rsidRPr="00B654AC">
        <w:rPr>
          <w:rFonts w:cs="Segoe UI"/>
          <w:b/>
          <w:color w:val="000000"/>
          <w:lang w:eastAsia="cs-CZ"/>
        </w:rPr>
        <w:t>Vymezení dopravního výkonu provozovaného Dopravcem</w:t>
      </w:r>
      <w:r>
        <w:rPr>
          <w:rFonts w:cs="Segoe UI"/>
          <w:b/>
          <w:color w:val="000000"/>
          <w:lang w:eastAsia="cs-CZ"/>
        </w:rPr>
        <w:t xml:space="preserve"> </w:t>
      </w:r>
      <w:r w:rsidR="008A5637">
        <w:rPr>
          <w:rFonts w:cs="Segoe UI"/>
          <w:b/>
          <w:color w:val="000000"/>
          <w:lang w:eastAsia="cs-CZ"/>
        </w:rPr>
        <w:t>–</w:t>
      </w:r>
      <w:r>
        <w:rPr>
          <w:rFonts w:cs="Segoe UI"/>
          <w:b/>
          <w:color w:val="000000"/>
          <w:lang w:eastAsia="cs-CZ"/>
        </w:rPr>
        <w:t xml:space="preserve"> </w:t>
      </w:r>
      <w:r w:rsidR="001C21C2">
        <w:rPr>
          <w:color w:val="FF0000"/>
        </w:rPr>
        <w:t xml:space="preserve">ve znění </w:t>
      </w:r>
      <w:r w:rsidR="006B41D9">
        <w:rPr>
          <w:color w:val="FF0000"/>
        </w:rPr>
        <w:t>GVD 202</w:t>
      </w:r>
      <w:r w:rsidR="005001F7">
        <w:rPr>
          <w:color w:val="FF0000"/>
        </w:rPr>
        <w:t>3</w:t>
      </w:r>
      <w:r>
        <w:rPr>
          <w:color w:val="FF0000"/>
        </w:rPr>
        <w:t>/</w:t>
      </w:r>
      <w:r w:rsidR="00482F41">
        <w:rPr>
          <w:color w:val="FF0000"/>
        </w:rPr>
        <w:t>202</w:t>
      </w:r>
      <w:r w:rsidR="005001F7">
        <w:rPr>
          <w:color w:val="FF0000"/>
        </w:rPr>
        <w:t>4 a synergie s PS A</w:t>
      </w:r>
    </w:p>
    <w:p w:rsidR="001C21C2" w:rsidRDefault="001C21C2" w:rsidP="008E2DD6">
      <w:pPr>
        <w:pStyle w:val="Odstavecseseznamem"/>
        <w:numPr>
          <w:ilvl w:val="0"/>
          <w:numId w:val="3"/>
        </w:numPr>
        <w:rPr>
          <w:color w:val="FF0000"/>
        </w:rPr>
      </w:pPr>
      <w:r w:rsidRPr="001C21C2">
        <w:rPr>
          <w:lang w:val="cs-CZ"/>
        </w:rPr>
        <w:t xml:space="preserve">Příloha č. 1a – Jízdní řády </w:t>
      </w:r>
      <w:r>
        <w:rPr>
          <w:color w:val="FF0000"/>
          <w:lang w:val="cs-CZ"/>
        </w:rPr>
        <w:t xml:space="preserve">– </w:t>
      </w:r>
      <w:r w:rsidR="005001F7">
        <w:rPr>
          <w:color w:val="FF0000"/>
        </w:rPr>
        <w:t>ve znění GVD 2023</w:t>
      </w:r>
      <w:r w:rsidR="005E7053">
        <w:rPr>
          <w:color w:val="FF0000"/>
        </w:rPr>
        <w:t>/2</w:t>
      </w:r>
      <w:r w:rsidR="005001F7">
        <w:rPr>
          <w:color w:val="FF0000"/>
        </w:rPr>
        <w:t>024</w:t>
      </w:r>
    </w:p>
    <w:p w:rsidR="001C21C2" w:rsidRPr="001C21C2" w:rsidRDefault="001C21C2" w:rsidP="008E2DD6">
      <w:pPr>
        <w:pStyle w:val="Odstavecseseznamem"/>
        <w:numPr>
          <w:ilvl w:val="0"/>
          <w:numId w:val="3"/>
        </w:numPr>
        <w:rPr>
          <w:color w:val="FF0000"/>
        </w:rPr>
      </w:pPr>
      <w:r w:rsidRPr="001C21C2">
        <w:rPr>
          <w:lang w:val="cs-CZ"/>
        </w:rPr>
        <w:t>Příloha č. 1b – Vzorové oběhy</w:t>
      </w:r>
      <w:r>
        <w:rPr>
          <w:color w:val="FF0000"/>
          <w:lang w:val="cs-CZ"/>
        </w:rPr>
        <w:t xml:space="preserve"> – </w:t>
      </w:r>
      <w:r w:rsidR="005001F7">
        <w:rPr>
          <w:color w:val="FF0000"/>
        </w:rPr>
        <w:t>ve znění GVD 2023</w:t>
      </w:r>
      <w:r w:rsidR="005E7053">
        <w:rPr>
          <w:color w:val="FF0000"/>
        </w:rPr>
        <w:t>/2</w:t>
      </w:r>
      <w:r>
        <w:rPr>
          <w:color w:val="FF0000"/>
        </w:rPr>
        <w:t>02</w:t>
      </w:r>
      <w:r w:rsidR="005001F7">
        <w:rPr>
          <w:color w:val="FF0000"/>
          <w:lang w:val="cs-CZ"/>
        </w:rPr>
        <w:t>4</w:t>
      </w:r>
    </w:p>
    <w:p w:rsidR="005001F7" w:rsidRDefault="005001F7" w:rsidP="005001F7">
      <w:pPr>
        <w:rPr>
          <w:b/>
          <w:color w:val="000000" w:themeColor="text1"/>
        </w:rPr>
      </w:pPr>
      <w:r>
        <w:rPr>
          <w:b/>
        </w:rPr>
        <w:t xml:space="preserve">Příloha č. 2 – </w:t>
      </w:r>
      <w:r w:rsidRPr="005001F7">
        <w:rPr>
          <w:b/>
          <w:color w:val="000000" w:themeColor="text1"/>
        </w:rPr>
        <w:t>Standardy kvality, služby související s provozováním dopravy</w:t>
      </w:r>
      <w:r w:rsidR="007C2949">
        <w:rPr>
          <w:b/>
          <w:color w:val="000000" w:themeColor="text1"/>
        </w:rPr>
        <w:t xml:space="preserve"> </w:t>
      </w:r>
    </w:p>
    <w:p w:rsidR="007C2949" w:rsidRDefault="007C2949" w:rsidP="008E2DD6">
      <w:pPr>
        <w:pStyle w:val="Odstavecseseznamem"/>
        <w:numPr>
          <w:ilvl w:val="0"/>
          <w:numId w:val="3"/>
        </w:numPr>
        <w:rPr>
          <w:color w:val="FF0000"/>
        </w:rPr>
      </w:pPr>
      <w:r>
        <w:rPr>
          <w:lang w:val="cs-CZ"/>
        </w:rPr>
        <w:t xml:space="preserve">Příloha č. 2a – Standardy vozidel v provozním souboru D – </w:t>
      </w:r>
      <w:r w:rsidRPr="007C2949">
        <w:rPr>
          <w:color w:val="FF0000"/>
          <w:lang w:val="cs-CZ"/>
        </w:rPr>
        <w:t>aktualizace dle synergie s PS A</w:t>
      </w:r>
    </w:p>
    <w:p w:rsidR="007C2949" w:rsidRDefault="007C2949">
      <w:pPr>
        <w:rPr>
          <w:color w:val="FF0000"/>
        </w:rPr>
      </w:pPr>
      <w:r>
        <w:rPr>
          <w:b/>
          <w:color w:val="000000" w:themeColor="text1"/>
        </w:rPr>
        <w:t xml:space="preserve">Příloha č. 3 – Výchozí finanční model, změny Kompenzace </w:t>
      </w:r>
      <w:r w:rsidRPr="007C2949">
        <w:rPr>
          <w:color w:val="FF0000"/>
        </w:rPr>
        <w:t>– ve</w:t>
      </w:r>
      <w:r>
        <w:rPr>
          <w:color w:val="FF0000"/>
        </w:rPr>
        <w:t xml:space="preserve"> znění synergií mezi PS D a PS A</w:t>
      </w:r>
    </w:p>
    <w:p w:rsidR="007C2949" w:rsidRPr="007C2949" w:rsidRDefault="007C2949" w:rsidP="008E2DD6">
      <w:pPr>
        <w:pStyle w:val="Odstavecseseznamem"/>
        <w:numPr>
          <w:ilvl w:val="0"/>
          <w:numId w:val="3"/>
        </w:numPr>
        <w:rPr>
          <w:color w:val="FF0000"/>
        </w:rPr>
      </w:pPr>
      <w:r w:rsidRPr="007C2949">
        <w:rPr>
          <w:color w:val="FF0000"/>
          <w:lang w:val="cs-CZ"/>
        </w:rPr>
        <w:t>Příloha č. 3a – Výchozí finanční model</w:t>
      </w:r>
    </w:p>
    <w:p w:rsidR="007C2949" w:rsidRPr="007C2949" w:rsidRDefault="007C2949" w:rsidP="008E2DD6">
      <w:pPr>
        <w:pStyle w:val="Odstavecseseznamem"/>
        <w:numPr>
          <w:ilvl w:val="0"/>
          <w:numId w:val="3"/>
        </w:numPr>
        <w:rPr>
          <w:color w:val="FF0000"/>
        </w:rPr>
      </w:pPr>
      <w:r w:rsidRPr="007C2949">
        <w:rPr>
          <w:color w:val="FF0000"/>
          <w:lang w:val="cs-CZ"/>
        </w:rPr>
        <w:t>Příloha č. 3b – Výchozí model provozních aktiv</w:t>
      </w:r>
    </w:p>
    <w:p w:rsidR="007C2949" w:rsidRPr="007C2949" w:rsidRDefault="007C2949" w:rsidP="008E2DD6">
      <w:pPr>
        <w:pStyle w:val="Odstavecseseznamem"/>
        <w:numPr>
          <w:ilvl w:val="0"/>
          <w:numId w:val="3"/>
        </w:numPr>
        <w:rPr>
          <w:color w:val="FF0000"/>
        </w:rPr>
      </w:pPr>
      <w:r>
        <w:rPr>
          <w:lang w:val="cs-CZ"/>
        </w:rPr>
        <w:t xml:space="preserve">Příloha č. 3c – Pravidla pro </w:t>
      </w:r>
      <w:r w:rsidRPr="007C2949">
        <w:rPr>
          <w:color w:val="FF0000"/>
          <w:lang w:val="cs-CZ"/>
        </w:rPr>
        <w:t>předběžný</w:t>
      </w:r>
      <w:r>
        <w:rPr>
          <w:lang w:val="cs-CZ"/>
        </w:rPr>
        <w:t xml:space="preserve"> výpočet změny kompenzace</w:t>
      </w:r>
    </w:p>
    <w:p w:rsidR="007C2949" w:rsidRPr="007C2949" w:rsidRDefault="007C2949" w:rsidP="008E2DD6">
      <w:pPr>
        <w:pStyle w:val="Odstavecseseznamem"/>
        <w:numPr>
          <w:ilvl w:val="0"/>
          <w:numId w:val="3"/>
        </w:numPr>
        <w:rPr>
          <w:color w:val="FF0000"/>
        </w:rPr>
      </w:pPr>
      <w:r w:rsidRPr="007C2949">
        <w:rPr>
          <w:color w:val="FF0000"/>
          <w:lang w:val="cs-CZ"/>
        </w:rPr>
        <w:t>Příloha č. 3d – Pravidla pro výpočet změny kompenzace</w:t>
      </w:r>
    </w:p>
    <w:p w:rsidR="0039692A" w:rsidRDefault="0039692A">
      <w:pPr>
        <w:rPr>
          <w:b/>
        </w:rPr>
      </w:pPr>
      <w:r>
        <w:rPr>
          <w:b/>
        </w:rPr>
        <w:t>Příloha č. 5</w:t>
      </w:r>
      <w:r w:rsidR="007C2949" w:rsidRPr="007C2949">
        <w:rPr>
          <w:b/>
          <w:color w:val="FF0000"/>
        </w:rPr>
        <w:t>a</w:t>
      </w:r>
      <w:r>
        <w:rPr>
          <w:b/>
        </w:rPr>
        <w:t xml:space="preserve"> –</w:t>
      </w:r>
      <w:r w:rsidR="007C2949">
        <w:rPr>
          <w:b/>
        </w:rPr>
        <w:t xml:space="preserve"> </w:t>
      </w:r>
      <w:r w:rsidR="007C2949" w:rsidRPr="007C2949">
        <w:rPr>
          <w:b/>
        </w:rPr>
        <w:t>V</w:t>
      </w:r>
      <w:r w:rsidRPr="007C2949">
        <w:rPr>
          <w:b/>
        </w:rPr>
        <w:t>zorový formulář pro vyúčtování nákladů a výnosů</w:t>
      </w:r>
    </w:p>
    <w:p w:rsidR="007C2949" w:rsidRDefault="007C2949">
      <w:pPr>
        <w:rPr>
          <w:b/>
          <w:color w:val="FF0000"/>
        </w:rPr>
      </w:pPr>
      <w:r w:rsidRPr="007C2949">
        <w:rPr>
          <w:b/>
          <w:color w:val="FF0000"/>
        </w:rPr>
        <w:t>Příloha č. 5b – Vzorový formulář pro rozpis skutečných tržeb (výnosů)</w:t>
      </w:r>
      <w:r w:rsidR="00354902">
        <w:rPr>
          <w:b/>
          <w:color w:val="FF0000"/>
        </w:rPr>
        <w:t xml:space="preserve"> </w:t>
      </w:r>
      <w:r w:rsidR="00354902" w:rsidRPr="00354902">
        <w:rPr>
          <w:color w:val="FF0000"/>
        </w:rPr>
        <w:t>–</w:t>
      </w:r>
      <w:r w:rsidR="00354902">
        <w:rPr>
          <w:b/>
          <w:color w:val="FF0000"/>
        </w:rPr>
        <w:t xml:space="preserve"> </w:t>
      </w:r>
      <w:r w:rsidR="00354902" w:rsidRPr="00354902">
        <w:rPr>
          <w:color w:val="FF0000"/>
        </w:rPr>
        <w:t>nový formulář</w:t>
      </w:r>
    </w:p>
    <w:p w:rsidR="007C2949" w:rsidRPr="007C2949" w:rsidRDefault="007C2949">
      <w:pPr>
        <w:rPr>
          <w:color w:val="FF0000"/>
        </w:rPr>
      </w:pPr>
      <w:r w:rsidRPr="007C2949">
        <w:rPr>
          <w:b/>
        </w:rPr>
        <w:t xml:space="preserve">Příloha č. 6 – Evidence drážních vozidel </w:t>
      </w:r>
      <w:r w:rsidRPr="007C2949">
        <w:rPr>
          <w:color w:val="FF0000"/>
        </w:rPr>
        <w:t>– ve znění synergie s PS A</w:t>
      </w:r>
    </w:p>
    <w:p w:rsidR="0098360B" w:rsidRDefault="0098360B">
      <w:pPr>
        <w:rPr>
          <w:b/>
        </w:rPr>
      </w:pPr>
      <w:r>
        <w:rPr>
          <w:b/>
        </w:rPr>
        <w:t xml:space="preserve">Příloha č. 8 – Přehled kontaktních osob </w:t>
      </w:r>
      <w:r>
        <w:rPr>
          <w:color w:val="FF0000"/>
        </w:rPr>
        <w:t xml:space="preserve">– ve znění </w:t>
      </w:r>
      <w:r w:rsidRPr="0098360B">
        <w:rPr>
          <w:color w:val="FF0000"/>
        </w:rPr>
        <w:t>a</w:t>
      </w:r>
      <w:r>
        <w:rPr>
          <w:color w:val="FF0000"/>
        </w:rPr>
        <w:t>k</w:t>
      </w:r>
      <w:r w:rsidRPr="0098360B">
        <w:rPr>
          <w:color w:val="FF0000"/>
        </w:rPr>
        <w:t>tualizace</w:t>
      </w:r>
    </w:p>
    <w:p w:rsidR="007C2949" w:rsidRDefault="002B1446">
      <w:pPr>
        <w:rPr>
          <w:color w:val="FF0000"/>
        </w:rPr>
      </w:pPr>
      <w:r w:rsidRPr="002B1446">
        <w:rPr>
          <w:b/>
        </w:rPr>
        <w:t>Příloha č. 9 – Tabulka smluvních pokut –</w:t>
      </w:r>
      <w:r w:rsidRPr="002B1446">
        <w:t xml:space="preserve"> </w:t>
      </w:r>
      <w:r>
        <w:rPr>
          <w:color w:val="FF0000"/>
        </w:rPr>
        <w:t>ú</w:t>
      </w:r>
      <w:r w:rsidR="00354902">
        <w:rPr>
          <w:color w:val="FF0000"/>
        </w:rPr>
        <w:t>prava textu k odst</w:t>
      </w:r>
      <w:r w:rsidR="004D2319">
        <w:rPr>
          <w:color w:val="FF0000"/>
        </w:rPr>
        <w:t xml:space="preserve">. </w:t>
      </w:r>
      <w:r w:rsidR="007C2949">
        <w:rPr>
          <w:color w:val="FF0000"/>
        </w:rPr>
        <w:t xml:space="preserve">9.3. </w:t>
      </w:r>
      <w:r w:rsidR="00354902">
        <w:rPr>
          <w:color w:val="FF0000"/>
        </w:rPr>
        <w:t>a .10.10.</w:t>
      </w:r>
    </w:p>
    <w:p w:rsidR="002B1446" w:rsidRPr="002B1446" w:rsidRDefault="00DD530B">
      <w:pPr>
        <w:rPr>
          <w:color w:val="FF0000"/>
        </w:rPr>
      </w:pPr>
      <w:r>
        <w:rPr>
          <w:color w:val="FF0000"/>
        </w:rPr>
        <w:t>Příloha č. 11 – Výpis provedených změn</w:t>
      </w:r>
      <w:r w:rsidR="008A5637">
        <w:rPr>
          <w:color w:val="FF0000"/>
        </w:rPr>
        <w:t xml:space="preserve"> </w:t>
      </w:r>
      <w:r w:rsidR="00B830D7">
        <w:rPr>
          <w:color w:val="FF0000"/>
        </w:rPr>
        <w:t xml:space="preserve">ve znění tohoto Dodatku č. </w:t>
      </w:r>
      <w:r w:rsidR="007C2949">
        <w:rPr>
          <w:color w:val="FF0000"/>
        </w:rPr>
        <w:t>8</w:t>
      </w:r>
    </w:p>
    <w:sectPr w:rsidR="002B1446" w:rsidRPr="002B14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57B2"/>
    <w:multiLevelType w:val="multilevel"/>
    <w:tmpl w:val="29D41218"/>
    <w:lvl w:ilvl="0">
      <w:start w:val="17"/>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D41D79"/>
    <w:multiLevelType w:val="multilevel"/>
    <w:tmpl w:val="A6BC1C8A"/>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ascii="Calibri" w:hAnsi="Calibri" w:cs="Calibri" w:hint="default"/>
        <w:b w:val="0"/>
        <w:strike w:val="0"/>
        <w:sz w:val="22"/>
        <w:szCs w:val="22"/>
      </w:rPr>
    </w:lvl>
    <w:lvl w:ilvl="2">
      <w:start w:val="1"/>
      <w:numFmt w:val="lowerLetter"/>
      <w:lvlText w:val="%3)"/>
      <w:lvlJc w:val="left"/>
      <w:pPr>
        <w:ind w:left="1224" w:hanging="504"/>
      </w:p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30D8783D"/>
    <w:multiLevelType w:val="multilevel"/>
    <w:tmpl w:val="06D2274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781106"/>
    <w:multiLevelType w:val="multilevel"/>
    <w:tmpl w:val="A6BC1C8A"/>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ascii="Calibri" w:hAnsi="Calibri" w:cs="Calibri" w:hint="default"/>
        <w:b w:val="0"/>
        <w:strike w:val="0"/>
        <w:sz w:val="22"/>
        <w:szCs w:val="22"/>
      </w:rPr>
    </w:lvl>
    <w:lvl w:ilvl="2">
      <w:start w:val="1"/>
      <w:numFmt w:val="lowerLetter"/>
      <w:lvlText w:val="%3)"/>
      <w:lvlJc w:val="left"/>
      <w:pPr>
        <w:ind w:left="1224" w:hanging="504"/>
      </w:p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356404F5"/>
    <w:multiLevelType w:val="hybridMultilevel"/>
    <w:tmpl w:val="938022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92044A2"/>
    <w:multiLevelType w:val="multilevel"/>
    <w:tmpl w:val="14F8DBA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FB5717"/>
    <w:multiLevelType w:val="hybridMultilevel"/>
    <w:tmpl w:val="88DCF364"/>
    <w:lvl w:ilvl="0" w:tplc="D04C956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DB512AC"/>
    <w:multiLevelType w:val="multilevel"/>
    <w:tmpl w:val="0A7CA3F4"/>
    <w:lvl w:ilvl="0">
      <w:start w:val="9"/>
      <w:numFmt w:val="decimal"/>
      <w:lvlText w:val="%1."/>
      <w:lvlJc w:val="left"/>
      <w:pPr>
        <w:ind w:left="360" w:hanging="360"/>
      </w:pPr>
      <w:rPr>
        <w:rFonts w:cstheme="minorBidi" w:hint="default"/>
      </w:rPr>
    </w:lvl>
    <w:lvl w:ilvl="1">
      <w:start w:val="4"/>
      <w:numFmt w:val="decimal"/>
      <w:lvlText w:val="%1.%2."/>
      <w:lvlJc w:val="left"/>
      <w:pPr>
        <w:ind w:left="502" w:hanging="360"/>
      </w:pPr>
      <w:rPr>
        <w:rFonts w:cstheme="minorBidi" w:hint="default"/>
      </w:rPr>
    </w:lvl>
    <w:lvl w:ilvl="2">
      <w:start w:val="1"/>
      <w:numFmt w:val="decimal"/>
      <w:lvlText w:val="%1.%2.%3."/>
      <w:lvlJc w:val="left"/>
      <w:pPr>
        <w:ind w:left="1004" w:hanging="720"/>
      </w:pPr>
      <w:rPr>
        <w:rFonts w:cstheme="minorBidi" w:hint="default"/>
      </w:rPr>
    </w:lvl>
    <w:lvl w:ilvl="3">
      <w:start w:val="1"/>
      <w:numFmt w:val="decimal"/>
      <w:lvlText w:val="%1.%2.%3.%4."/>
      <w:lvlJc w:val="left"/>
      <w:pPr>
        <w:ind w:left="1146" w:hanging="720"/>
      </w:pPr>
      <w:rPr>
        <w:rFonts w:cstheme="minorBidi" w:hint="default"/>
      </w:rPr>
    </w:lvl>
    <w:lvl w:ilvl="4">
      <w:start w:val="1"/>
      <w:numFmt w:val="decimal"/>
      <w:lvlText w:val="%1.%2.%3.%4.%5."/>
      <w:lvlJc w:val="left"/>
      <w:pPr>
        <w:ind w:left="1648" w:hanging="1080"/>
      </w:pPr>
      <w:rPr>
        <w:rFonts w:cstheme="minorBidi" w:hint="default"/>
      </w:rPr>
    </w:lvl>
    <w:lvl w:ilvl="5">
      <w:start w:val="1"/>
      <w:numFmt w:val="decimal"/>
      <w:lvlText w:val="%1.%2.%3.%4.%5.%6."/>
      <w:lvlJc w:val="left"/>
      <w:pPr>
        <w:ind w:left="1790" w:hanging="1080"/>
      </w:pPr>
      <w:rPr>
        <w:rFonts w:cstheme="minorBidi" w:hint="default"/>
      </w:rPr>
    </w:lvl>
    <w:lvl w:ilvl="6">
      <w:start w:val="1"/>
      <w:numFmt w:val="decimal"/>
      <w:lvlText w:val="%1.%2.%3.%4.%5.%6.%7."/>
      <w:lvlJc w:val="left"/>
      <w:pPr>
        <w:ind w:left="2292" w:hanging="1440"/>
      </w:pPr>
      <w:rPr>
        <w:rFonts w:cstheme="minorBidi" w:hint="default"/>
      </w:rPr>
    </w:lvl>
    <w:lvl w:ilvl="7">
      <w:start w:val="1"/>
      <w:numFmt w:val="decimal"/>
      <w:lvlText w:val="%1.%2.%3.%4.%5.%6.%7.%8."/>
      <w:lvlJc w:val="left"/>
      <w:pPr>
        <w:ind w:left="2434" w:hanging="1440"/>
      </w:pPr>
      <w:rPr>
        <w:rFonts w:cstheme="minorBidi" w:hint="default"/>
      </w:rPr>
    </w:lvl>
    <w:lvl w:ilvl="8">
      <w:start w:val="1"/>
      <w:numFmt w:val="decimal"/>
      <w:lvlText w:val="%1.%2.%3.%4.%5.%6.%7.%8.%9."/>
      <w:lvlJc w:val="left"/>
      <w:pPr>
        <w:ind w:left="2936" w:hanging="1800"/>
      </w:pPr>
      <w:rPr>
        <w:rFonts w:cstheme="minorBidi" w:hint="default"/>
      </w:rPr>
    </w:lvl>
  </w:abstractNum>
  <w:abstractNum w:abstractNumId="8" w15:restartNumberingAfterBreak="0">
    <w:nsid w:val="442E5FB9"/>
    <w:multiLevelType w:val="multilevel"/>
    <w:tmpl w:val="F5963ABE"/>
    <w:lvl w:ilvl="0">
      <w:start w:val="10"/>
      <w:numFmt w:val="decimal"/>
      <w:lvlText w:val="%1."/>
      <w:lvlJc w:val="left"/>
      <w:pPr>
        <w:ind w:left="540" w:hanging="540"/>
      </w:pPr>
      <w:rPr>
        <w:rFonts w:hint="default"/>
        <w:b w:val="0"/>
      </w:rPr>
    </w:lvl>
    <w:lvl w:ilvl="1">
      <w:start w:val="10"/>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464A57DA"/>
    <w:multiLevelType w:val="multilevel"/>
    <w:tmpl w:val="2C4CCE12"/>
    <w:lvl w:ilvl="0">
      <w:start w:val="12"/>
      <w:numFmt w:val="decimal"/>
      <w:lvlText w:val="%1."/>
      <w:lvlJc w:val="left"/>
      <w:pPr>
        <w:ind w:left="600" w:hanging="600"/>
      </w:pPr>
      <w:rPr>
        <w:rFonts w:hint="default"/>
      </w:rPr>
    </w:lvl>
    <w:lvl w:ilvl="1">
      <w:start w:val="2"/>
      <w:numFmt w:val="decimal"/>
      <w:lvlText w:val="%1.%2."/>
      <w:lvlJc w:val="left"/>
      <w:pPr>
        <w:ind w:left="1025" w:hanging="60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 w15:restartNumberingAfterBreak="0">
    <w:nsid w:val="4BF7056A"/>
    <w:multiLevelType w:val="multilevel"/>
    <w:tmpl w:val="60D41578"/>
    <w:lvl w:ilvl="0">
      <w:start w:val="8"/>
      <w:numFmt w:val="decimal"/>
      <w:lvlText w:val="%1."/>
      <w:lvlJc w:val="left"/>
      <w:pPr>
        <w:ind w:left="360" w:hanging="360"/>
      </w:pPr>
      <w:rPr>
        <w:rFonts w:hint="default"/>
      </w:rPr>
    </w:lvl>
    <w:lvl w:ilvl="1">
      <w:start w:val="3"/>
      <w:numFmt w:val="decimal"/>
      <w:lvlText w:val="%1.%2."/>
      <w:lvlJc w:val="left"/>
      <w:pPr>
        <w:ind w:left="502" w:hanging="360"/>
      </w:pPr>
      <w:rPr>
        <w:rFonts w:hint="default"/>
        <w:color w:val="FF000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561B0C8A"/>
    <w:multiLevelType w:val="multilevel"/>
    <w:tmpl w:val="3C70EF1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6D75E0F"/>
    <w:multiLevelType w:val="multilevel"/>
    <w:tmpl w:val="50FA0978"/>
    <w:lvl w:ilvl="0">
      <w:start w:val="7"/>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7E9E41F7"/>
    <w:multiLevelType w:val="multilevel"/>
    <w:tmpl w:val="CB20FEA2"/>
    <w:lvl w:ilvl="0">
      <w:start w:val="6"/>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3"/>
  </w:num>
  <w:num w:numId="2">
    <w:abstractNumId w:val="1"/>
  </w:num>
  <w:num w:numId="3">
    <w:abstractNumId w:val="6"/>
  </w:num>
  <w:num w:numId="4">
    <w:abstractNumId w:val="11"/>
  </w:num>
  <w:num w:numId="5">
    <w:abstractNumId w:val="5"/>
  </w:num>
  <w:num w:numId="6">
    <w:abstractNumId w:val="2"/>
  </w:num>
  <w:num w:numId="7">
    <w:abstractNumId w:val="13"/>
  </w:num>
  <w:num w:numId="8">
    <w:abstractNumId w:val="12"/>
  </w:num>
  <w:num w:numId="9">
    <w:abstractNumId w:val="10"/>
  </w:num>
  <w:num w:numId="10">
    <w:abstractNumId w:val="7"/>
  </w:num>
  <w:num w:numId="11">
    <w:abstractNumId w:val="8"/>
  </w:num>
  <w:num w:numId="12">
    <w:abstractNumId w:val="9"/>
  </w:num>
  <w:num w:numId="13">
    <w:abstractNumId w:val="0"/>
  </w:num>
  <w:num w:numId="1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0CB"/>
    <w:rsid w:val="00006CB9"/>
    <w:rsid w:val="00007AF0"/>
    <w:rsid w:val="000922E7"/>
    <w:rsid w:val="000970EB"/>
    <w:rsid w:val="000E70B4"/>
    <w:rsid w:val="0010736F"/>
    <w:rsid w:val="00112E81"/>
    <w:rsid w:val="00124A54"/>
    <w:rsid w:val="00173CCC"/>
    <w:rsid w:val="00186754"/>
    <w:rsid w:val="00186EC8"/>
    <w:rsid w:val="001A6C9A"/>
    <w:rsid w:val="001A77D1"/>
    <w:rsid w:val="001B111C"/>
    <w:rsid w:val="001C1E64"/>
    <w:rsid w:val="001C21C2"/>
    <w:rsid w:val="001E62A4"/>
    <w:rsid w:val="00215A59"/>
    <w:rsid w:val="00231776"/>
    <w:rsid w:val="00242598"/>
    <w:rsid w:val="00244286"/>
    <w:rsid w:val="0027463D"/>
    <w:rsid w:val="002828A1"/>
    <w:rsid w:val="002B1446"/>
    <w:rsid w:val="00307AD7"/>
    <w:rsid w:val="00354902"/>
    <w:rsid w:val="0039692A"/>
    <w:rsid w:val="003B626E"/>
    <w:rsid w:val="003C313C"/>
    <w:rsid w:val="00417C52"/>
    <w:rsid w:val="0046251E"/>
    <w:rsid w:val="00482F41"/>
    <w:rsid w:val="004873E2"/>
    <w:rsid w:val="004B5CE0"/>
    <w:rsid w:val="004C1E34"/>
    <w:rsid w:val="004D2319"/>
    <w:rsid w:val="004E6CF7"/>
    <w:rsid w:val="005001F7"/>
    <w:rsid w:val="00547E7B"/>
    <w:rsid w:val="00565401"/>
    <w:rsid w:val="005765BD"/>
    <w:rsid w:val="00592B6E"/>
    <w:rsid w:val="0059570D"/>
    <w:rsid w:val="005C514D"/>
    <w:rsid w:val="005D0B85"/>
    <w:rsid w:val="005E7053"/>
    <w:rsid w:val="00621443"/>
    <w:rsid w:val="006258F7"/>
    <w:rsid w:val="006329F8"/>
    <w:rsid w:val="006516C9"/>
    <w:rsid w:val="00660243"/>
    <w:rsid w:val="006B41D9"/>
    <w:rsid w:val="006C1304"/>
    <w:rsid w:val="006C293B"/>
    <w:rsid w:val="006D69FF"/>
    <w:rsid w:val="006E2405"/>
    <w:rsid w:val="0071184E"/>
    <w:rsid w:val="007565E4"/>
    <w:rsid w:val="00760B8B"/>
    <w:rsid w:val="00792156"/>
    <w:rsid w:val="007C2949"/>
    <w:rsid w:val="007D35FA"/>
    <w:rsid w:val="007E3629"/>
    <w:rsid w:val="00814920"/>
    <w:rsid w:val="0082289D"/>
    <w:rsid w:val="0083440F"/>
    <w:rsid w:val="00887B57"/>
    <w:rsid w:val="008A5637"/>
    <w:rsid w:val="008B218E"/>
    <w:rsid w:val="008E2DD6"/>
    <w:rsid w:val="008E3D68"/>
    <w:rsid w:val="008F5618"/>
    <w:rsid w:val="00905E2D"/>
    <w:rsid w:val="00906DFC"/>
    <w:rsid w:val="00916107"/>
    <w:rsid w:val="009213D2"/>
    <w:rsid w:val="00926DCB"/>
    <w:rsid w:val="0094201A"/>
    <w:rsid w:val="00950D42"/>
    <w:rsid w:val="00956D63"/>
    <w:rsid w:val="0095703F"/>
    <w:rsid w:val="00975155"/>
    <w:rsid w:val="009770C7"/>
    <w:rsid w:val="0098360B"/>
    <w:rsid w:val="009E4742"/>
    <w:rsid w:val="009F0A90"/>
    <w:rsid w:val="00A03885"/>
    <w:rsid w:val="00A15E27"/>
    <w:rsid w:val="00A33077"/>
    <w:rsid w:val="00A35FD7"/>
    <w:rsid w:val="00A456FC"/>
    <w:rsid w:val="00A46AD0"/>
    <w:rsid w:val="00A54180"/>
    <w:rsid w:val="00A54934"/>
    <w:rsid w:val="00A759E3"/>
    <w:rsid w:val="00A8211F"/>
    <w:rsid w:val="00A95B08"/>
    <w:rsid w:val="00AA42DE"/>
    <w:rsid w:val="00B16C3E"/>
    <w:rsid w:val="00B25018"/>
    <w:rsid w:val="00B6029C"/>
    <w:rsid w:val="00B654AC"/>
    <w:rsid w:val="00B830D7"/>
    <w:rsid w:val="00C02D50"/>
    <w:rsid w:val="00C2504A"/>
    <w:rsid w:val="00C35871"/>
    <w:rsid w:val="00C72412"/>
    <w:rsid w:val="00CA5BCB"/>
    <w:rsid w:val="00D745CA"/>
    <w:rsid w:val="00DA0A0A"/>
    <w:rsid w:val="00DA2EB0"/>
    <w:rsid w:val="00DA538A"/>
    <w:rsid w:val="00DC3695"/>
    <w:rsid w:val="00DD530B"/>
    <w:rsid w:val="00DD70CB"/>
    <w:rsid w:val="00E03FB5"/>
    <w:rsid w:val="00E12AEC"/>
    <w:rsid w:val="00E160BA"/>
    <w:rsid w:val="00E24779"/>
    <w:rsid w:val="00E451E9"/>
    <w:rsid w:val="00E469FC"/>
    <w:rsid w:val="00E7614E"/>
    <w:rsid w:val="00E851E1"/>
    <w:rsid w:val="00EF4990"/>
    <w:rsid w:val="00F1185E"/>
    <w:rsid w:val="00F14B40"/>
    <w:rsid w:val="00F736D8"/>
    <w:rsid w:val="00F7652D"/>
    <w:rsid w:val="00F823FE"/>
    <w:rsid w:val="00F95A9C"/>
    <w:rsid w:val="00FC10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ACDCAB-D165-4628-ADA0-6ABDE834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15E2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DD70CB"/>
    <w:pPr>
      <w:ind w:left="720"/>
      <w:contextualSpacing/>
    </w:pPr>
    <w:rPr>
      <w:rFonts w:ascii="Calibri" w:eastAsia="Calibri" w:hAnsi="Calibri" w:cs="Times New Roman"/>
      <w:lang w:val="x-none"/>
    </w:rPr>
  </w:style>
  <w:style w:type="character" w:styleId="Odkaznakoment">
    <w:name w:val="annotation reference"/>
    <w:uiPriority w:val="99"/>
    <w:unhideWhenUsed/>
    <w:rsid w:val="00DD70CB"/>
    <w:rPr>
      <w:sz w:val="16"/>
      <w:szCs w:val="16"/>
    </w:rPr>
  </w:style>
  <w:style w:type="paragraph" w:styleId="Textkomente">
    <w:name w:val="annotation text"/>
    <w:basedOn w:val="Normln"/>
    <w:link w:val="TextkomenteChar"/>
    <w:uiPriority w:val="99"/>
    <w:unhideWhenUsed/>
    <w:rsid w:val="00DD70CB"/>
    <w:rPr>
      <w:rFonts w:ascii="Calibri" w:eastAsia="Calibri" w:hAnsi="Calibri" w:cs="Times New Roman"/>
      <w:sz w:val="20"/>
      <w:szCs w:val="20"/>
      <w:lang w:val="x-none"/>
    </w:rPr>
  </w:style>
  <w:style w:type="character" w:customStyle="1" w:styleId="TextkomenteChar">
    <w:name w:val="Text komentáře Char"/>
    <w:basedOn w:val="Standardnpsmoodstavce"/>
    <w:link w:val="Textkomente"/>
    <w:uiPriority w:val="99"/>
    <w:rsid w:val="00DD70CB"/>
    <w:rPr>
      <w:rFonts w:ascii="Calibri" w:eastAsia="Calibri" w:hAnsi="Calibri" w:cs="Times New Roman"/>
      <w:sz w:val="20"/>
      <w:szCs w:val="20"/>
      <w:lang w:val="x-none"/>
    </w:rPr>
  </w:style>
  <w:style w:type="character" w:customStyle="1" w:styleId="OdstavecseseznamemChar">
    <w:name w:val="Odstavec se seznamem Char"/>
    <w:link w:val="Odstavecseseznamem"/>
    <w:uiPriority w:val="34"/>
    <w:rsid w:val="00DD70CB"/>
    <w:rPr>
      <w:rFonts w:ascii="Calibri" w:eastAsia="Calibri" w:hAnsi="Calibri" w:cs="Times New Roman"/>
      <w:lang w:val="x-none"/>
    </w:rPr>
  </w:style>
  <w:style w:type="paragraph" w:styleId="Textbubliny">
    <w:name w:val="Balloon Text"/>
    <w:basedOn w:val="Normln"/>
    <w:link w:val="TextbublinyChar"/>
    <w:uiPriority w:val="99"/>
    <w:semiHidden/>
    <w:unhideWhenUsed/>
    <w:rsid w:val="00DD70C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70CB"/>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DD530B"/>
    <w:pPr>
      <w:spacing w:line="240" w:lineRule="auto"/>
    </w:pPr>
    <w:rPr>
      <w:rFonts w:asciiTheme="minorHAnsi" w:eastAsiaTheme="minorHAnsi" w:hAnsiTheme="minorHAnsi" w:cstheme="minorBidi"/>
      <w:b/>
      <w:bCs/>
      <w:lang w:val="cs-CZ"/>
    </w:rPr>
  </w:style>
  <w:style w:type="character" w:customStyle="1" w:styleId="PedmtkomenteChar">
    <w:name w:val="Předmět komentáře Char"/>
    <w:basedOn w:val="TextkomenteChar"/>
    <w:link w:val="Pedmtkomente"/>
    <w:uiPriority w:val="99"/>
    <w:semiHidden/>
    <w:rsid w:val="00DD530B"/>
    <w:rPr>
      <w:rFonts w:ascii="Calibri" w:eastAsia="Calibri" w:hAnsi="Calibri" w:cs="Times New Roman"/>
      <w:b/>
      <w:bCs/>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306D0-9FD0-4880-B4D6-39849DBE1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2659</Words>
  <Characters>15691</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ČD - Informační Systémy, a.s.</Company>
  <LinksUpToDate>false</LinksUpToDate>
  <CharactersWithSpaces>18314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Hradilová Markéta</dc:creator>
  <cp:lastModifiedBy>Hradilová Markéta</cp:lastModifiedBy>
  <cp:revision>2</cp:revision>
  <cp:lastPrinted>2023-10-03T10:08:00Z</cp:lastPrinted>
  <dcterms:created xsi:type="dcterms:W3CDTF">2023-12-05T13:35:00Z</dcterms:created>
  <dcterms:modified xsi:type="dcterms:W3CDTF">2023-12-05T13:35:00Z</dcterms:modified>
</cp:coreProperties>
</file>