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F589" w14:textId="77777777" w:rsidR="006D71E3" w:rsidRPr="006D71E3" w:rsidRDefault="006D71E3" w:rsidP="006D71E3">
      <w:pPr>
        <w:pStyle w:val="Default"/>
        <w:rPr>
          <w:rFonts w:ascii="Calibri" w:hAnsi="Calibri" w:cs="Calibri"/>
          <w:sz w:val="20"/>
          <w:szCs w:val="20"/>
        </w:rPr>
      </w:pPr>
    </w:p>
    <w:p w14:paraId="6A8E3523" w14:textId="77777777" w:rsidR="006D71E3" w:rsidRPr="006D71E3" w:rsidRDefault="006D71E3" w:rsidP="006D71E3">
      <w:pPr>
        <w:pStyle w:val="Default"/>
        <w:rPr>
          <w:rFonts w:ascii="Calibri" w:hAnsi="Calibri" w:cs="Calibri"/>
          <w:color w:val="auto"/>
          <w:sz w:val="20"/>
          <w:szCs w:val="20"/>
        </w:rPr>
      </w:pPr>
    </w:p>
    <w:p w14:paraId="6C99798C" w14:textId="530F0F4B" w:rsidR="006D71E3" w:rsidRPr="006D71E3" w:rsidRDefault="006D71E3" w:rsidP="006D71E3">
      <w:pPr>
        <w:pStyle w:val="Default"/>
        <w:rPr>
          <w:rFonts w:ascii="Calibri" w:hAnsi="Calibri" w:cs="Calibri"/>
          <w:color w:val="auto"/>
          <w:sz w:val="20"/>
          <w:szCs w:val="20"/>
        </w:rPr>
      </w:pPr>
      <w:r w:rsidRPr="006D71E3">
        <w:rPr>
          <w:rFonts w:ascii="Calibri" w:hAnsi="Calibri" w:cs="Calibri"/>
          <w:b/>
          <w:bCs/>
          <w:color w:val="auto"/>
          <w:sz w:val="20"/>
          <w:szCs w:val="20"/>
        </w:rPr>
        <w:t xml:space="preserve">Domov mládeže a školní jídelna Lovosická 42/439, Praha 9 </w:t>
      </w:r>
    </w:p>
    <w:p w14:paraId="56D8D709" w14:textId="77777777" w:rsidR="006D71E3" w:rsidRPr="006D71E3" w:rsidRDefault="006D71E3" w:rsidP="006D71E3">
      <w:pPr>
        <w:pStyle w:val="Default"/>
        <w:rPr>
          <w:rFonts w:ascii="Calibri" w:hAnsi="Calibri" w:cs="Calibri"/>
          <w:color w:val="auto"/>
          <w:sz w:val="20"/>
          <w:szCs w:val="20"/>
        </w:rPr>
      </w:pPr>
      <w:r w:rsidRPr="006D71E3">
        <w:rPr>
          <w:rFonts w:ascii="Calibri" w:hAnsi="Calibri" w:cs="Calibri"/>
          <w:color w:val="auto"/>
          <w:sz w:val="20"/>
          <w:szCs w:val="20"/>
        </w:rPr>
        <w:t xml:space="preserve">Lovosická 42/439 </w:t>
      </w:r>
    </w:p>
    <w:p w14:paraId="57BE52C1" w14:textId="77777777" w:rsidR="006D71E3" w:rsidRPr="006D71E3" w:rsidRDefault="006D71E3" w:rsidP="006D71E3">
      <w:pPr>
        <w:pStyle w:val="Default"/>
        <w:rPr>
          <w:rFonts w:ascii="Calibri" w:hAnsi="Calibri" w:cs="Calibri"/>
          <w:color w:val="auto"/>
          <w:sz w:val="20"/>
          <w:szCs w:val="20"/>
        </w:rPr>
      </w:pPr>
      <w:r w:rsidRPr="006D71E3">
        <w:rPr>
          <w:rFonts w:ascii="Calibri" w:hAnsi="Calibri" w:cs="Calibri"/>
          <w:color w:val="auto"/>
          <w:sz w:val="20"/>
          <w:szCs w:val="20"/>
        </w:rPr>
        <w:t xml:space="preserve">190 00 Praha 9 </w:t>
      </w:r>
    </w:p>
    <w:p w14:paraId="76460E45" w14:textId="77777777" w:rsidR="006D71E3" w:rsidRPr="006D71E3" w:rsidRDefault="006D71E3" w:rsidP="006D71E3">
      <w:pPr>
        <w:pStyle w:val="Default"/>
        <w:rPr>
          <w:rFonts w:ascii="Calibri" w:hAnsi="Calibri" w:cs="Calibri"/>
          <w:color w:val="auto"/>
          <w:sz w:val="20"/>
          <w:szCs w:val="20"/>
        </w:rPr>
      </w:pPr>
    </w:p>
    <w:p w14:paraId="3B7991D3" w14:textId="6460F28E" w:rsidR="006D71E3" w:rsidRPr="006D71E3" w:rsidRDefault="006D71E3" w:rsidP="006D71E3">
      <w:pPr>
        <w:pStyle w:val="Default"/>
        <w:rPr>
          <w:rFonts w:ascii="Calibri" w:hAnsi="Calibri" w:cs="Calibri"/>
          <w:color w:val="auto"/>
          <w:sz w:val="20"/>
          <w:szCs w:val="20"/>
        </w:rPr>
      </w:pPr>
      <w:r w:rsidRPr="006D71E3">
        <w:rPr>
          <w:rFonts w:ascii="Calibri" w:hAnsi="Calibri" w:cs="Calibri"/>
          <w:color w:val="auto"/>
          <w:sz w:val="20"/>
          <w:szCs w:val="20"/>
        </w:rPr>
        <w:t xml:space="preserve">V Brně 25.8.2023 </w:t>
      </w:r>
    </w:p>
    <w:p w14:paraId="6F09B64C" w14:textId="77777777" w:rsidR="006D71E3" w:rsidRPr="006D71E3" w:rsidRDefault="006D71E3" w:rsidP="006D71E3">
      <w:pPr>
        <w:pStyle w:val="Default"/>
        <w:rPr>
          <w:rFonts w:ascii="Calibri" w:hAnsi="Calibri" w:cs="Calibri"/>
          <w:b/>
          <w:bCs/>
          <w:color w:val="auto"/>
          <w:sz w:val="20"/>
          <w:szCs w:val="20"/>
        </w:rPr>
      </w:pPr>
    </w:p>
    <w:p w14:paraId="41DC3214" w14:textId="789E615A" w:rsidR="006D71E3" w:rsidRPr="006D71E3" w:rsidRDefault="006D71E3" w:rsidP="006D71E3">
      <w:pPr>
        <w:pStyle w:val="Default"/>
        <w:rPr>
          <w:rFonts w:ascii="Calibri" w:hAnsi="Calibri" w:cs="Calibri"/>
          <w:color w:val="auto"/>
          <w:sz w:val="20"/>
          <w:szCs w:val="20"/>
        </w:rPr>
      </w:pPr>
      <w:r w:rsidRPr="006D71E3">
        <w:rPr>
          <w:rFonts w:ascii="Calibri" w:hAnsi="Calibri" w:cs="Calibri"/>
          <w:b/>
          <w:bCs/>
          <w:color w:val="auto"/>
          <w:sz w:val="20"/>
          <w:szCs w:val="20"/>
        </w:rPr>
        <w:t xml:space="preserve">Věc: N2023543a: Cenová nabídka – Implementace SW CROSEUS CLOUD </w:t>
      </w:r>
    </w:p>
    <w:p w14:paraId="377A0EB8" w14:textId="77777777" w:rsidR="006D71E3" w:rsidRPr="006D71E3" w:rsidRDefault="006D71E3" w:rsidP="006D71E3">
      <w:pPr>
        <w:pStyle w:val="Default"/>
        <w:rPr>
          <w:rFonts w:ascii="Calibri" w:hAnsi="Calibri" w:cs="Calibri"/>
          <w:color w:val="auto"/>
          <w:sz w:val="20"/>
          <w:szCs w:val="20"/>
        </w:rPr>
      </w:pPr>
      <w:r w:rsidRPr="006D71E3">
        <w:rPr>
          <w:rFonts w:ascii="Calibri" w:hAnsi="Calibri" w:cs="Calibri"/>
          <w:color w:val="auto"/>
          <w:sz w:val="20"/>
          <w:szCs w:val="20"/>
        </w:rPr>
        <w:t xml:space="preserve">Předmět nabídky: </w:t>
      </w:r>
    </w:p>
    <w:p w14:paraId="6093806F" w14:textId="77777777" w:rsidR="006D71E3" w:rsidRPr="006D71E3" w:rsidRDefault="006D71E3" w:rsidP="006D71E3">
      <w:pPr>
        <w:pStyle w:val="Default"/>
        <w:rPr>
          <w:rFonts w:ascii="Calibri" w:hAnsi="Calibri" w:cs="Calibri"/>
          <w:color w:val="auto"/>
          <w:sz w:val="20"/>
          <w:szCs w:val="20"/>
        </w:rPr>
      </w:pPr>
      <w:r w:rsidRPr="006D71E3">
        <w:rPr>
          <w:rFonts w:ascii="Calibri" w:hAnsi="Calibri" w:cs="Calibri"/>
          <w:color w:val="auto"/>
          <w:sz w:val="20"/>
          <w:szCs w:val="20"/>
        </w:rPr>
        <w:t xml:space="preserve">Předmětem této nabídky je implementace informačního systému CROSEUS CLOUD (dále také „CC“). CC funguje prostřednictvím internetu a webového rozhraní dle podmínek stanovených v této nabídce a za níže uvedenou cenu. </w:t>
      </w:r>
    </w:p>
    <w:p w14:paraId="15B30921" w14:textId="77777777" w:rsidR="006D71E3" w:rsidRPr="006D71E3" w:rsidRDefault="006D71E3" w:rsidP="006D71E3">
      <w:pPr>
        <w:pStyle w:val="Default"/>
        <w:rPr>
          <w:rFonts w:ascii="Calibri" w:hAnsi="Calibri" w:cs="Calibri"/>
          <w:color w:val="auto"/>
          <w:sz w:val="20"/>
          <w:szCs w:val="20"/>
        </w:rPr>
      </w:pPr>
      <w:r w:rsidRPr="006D71E3">
        <w:rPr>
          <w:rFonts w:ascii="Calibri" w:hAnsi="Calibri" w:cs="Calibri"/>
          <w:color w:val="auto"/>
          <w:sz w:val="20"/>
          <w:szCs w:val="20"/>
        </w:rPr>
        <w:t xml:space="preserve">Účelem této nabídky je naplnění Hlavních cílů finanční kontroly dle ustanovení § 4 zákona č. 320/2001 Sb. o Finanční kontrole ve veřejné správě (dále jen ZFK), tj. prověřovat: </w:t>
      </w:r>
    </w:p>
    <w:p w14:paraId="1071F28F" w14:textId="77777777" w:rsidR="006D71E3" w:rsidRPr="006D71E3" w:rsidRDefault="006D71E3" w:rsidP="006D71E3">
      <w:pPr>
        <w:pStyle w:val="Default"/>
        <w:numPr>
          <w:ilvl w:val="0"/>
          <w:numId w:val="1"/>
        </w:numPr>
        <w:spacing w:after="37"/>
        <w:rPr>
          <w:rFonts w:ascii="Calibri" w:hAnsi="Calibri" w:cs="Calibri"/>
          <w:color w:val="auto"/>
          <w:sz w:val="20"/>
          <w:szCs w:val="20"/>
        </w:rPr>
      </w:pPr>
      <w:r w:rsidRPr="006D71E3">
        <w:rPr>
          <w:rFonts w:ascii="Calibri" w:hAnsi="Calibri" w:cs="Calibri"/>
          <w:color w:val="auto"/>
          <w:sz w:val="20"/>
          <w:szCs w:val="20"/>
        </w:rPr>
        <w:t xml:space="preserve">Dodržování právních předpisů a opatření přijatých orgány veřejné správy v mezích těchto předpisů při hospodaření s veřejnými prostředky k zajištění stanovených úkolů těmito orgány. </w:t>
      </w:r>
    </w:p>
    <w:p w14:paraId="7E731AEE" w14:textId="77777777" w:rsidR="006D71E3" w:rsidRPr="006D71E3" w:rsidRDefault="006D71E3" w:rsidP="006D71E3">
      <w:pPr>
        <w:pStyle w:val="Default"/>
        <w:numPr>
          <w:ilvl w:val="0"/>
          <w:numId w:val="1"/>
        </w:numPr>
        <w:spacing w:after="37"/>
        <w:rPr>
          <w:rFonts w:ascii="Calibri" w:hAnsi="Calibri" w:cs="Calibri"/>
          <w:color w:val="auto"/>
          <w:sz w:val="20"/>
          <w:szCs w:val="20"/>
        </w:rPr>
      </w:pPr>
      <w:r w:rsidRPr="006D71E3">
        <w:rPr>
          <w:rFonts w:ascii="Calibri" w:hAnsi="Calibri" w:cs="Calibri"/>
          <w:color w:val="auto"/>
          <w:sz w:val="20"/>
          <w:szCs w:val="20"/>
        </w:rPr>
        <w:t xml:space="preserve">Zajištění ochrany veřejných prostředků proti rizikům, nesrovnalostem nebo jiným nedostatkům způsobeným zejména porušením právních předpisů, nehospodárným, neúčelným a neefektivním nakládáním s veřejnými prostředky nebo trestnou činností. </w:t>
      </w:r>
    </w:p>
    <w:p w14:paraId="20DD2B80" w14:textId="77777777" w:rsidR="006D71E3" w:rsidRPr="006D71E3" w:rsidRDefault="006D71E3" w:rsidP="006D71E3">
      <w:pPr>
        <w:pStyle w:val="Default"/>
        <w:numPr>
          <w:ilvl w:val="0"/>
          <w:numId w:val="1"/>
        </w:numPr>
        <w:spacing w:after="37"/>
        <w:rPr>
          <w:rFonts w:ascii="Calibri" w:hAnsi="Calibri" w:cs="Calibri"/>
          <w:color w:val="auto"/>
          <w:sz w:val="20"/>
          <w:szCs w:val="20"/>
        </w:rPr>
      </w:pPr>
      <w:r w:rsidRPr="006D71E3">
        <w:rPr>
          <w:rFonts w:ascii="Calibri" w:hAnsi="Calibri" w:cs="Calibri"/>
          <w:color w:val="auto"/>
          <w:sz w:val="20"/>
          <w:szCs w:val="20"/>
        </w:rPr>
        <w:t xml:space="preserve">Včasné a spolehlivé informování vedoucích orgánů veřejné správy o nakládání s veřejnými prostředky, o prováděných operacích, o jejich průkazném účetním zpracování za účelem účinného usměrňování činnosti orgánů veřejné správy v souladu se stanovenými úkoly. </w:t>
      </w:r>
    </w:p>
    <w:p w14:paraId="5FDA9DE5" w14:textId="77777777" w:rsidR="006D71E3" w:rsidRPr="006D71E3" w:rsidRDefault="006D71E3" w:rsidP="006D71E3">
      <w:pPr>
        <w:pStyle w:val="Default"/>
        <w:numPr>
          <w:ilvl w:val="0"/>
          <w:numId w:val="1"/>
        </w:numPr>
        <w:rPr>
          <w:rFonts w:ascii="Calibri" w:hAnsi="Calibri" w:cs="Calibri"/>
          <w:color w:val="auto"/>
          <w:sz w:val="20"/>
          <w:szCs w:val="20"/>
        </w:rPr>
      </w:pPr>
      <w:r w:rsidRPr="006D71E3">
        <w:rPr>
          <w:rFonts w:ascii="Calibri" w:hAnsi="Calibri" w:cs="Calibri"/>
          <w:color w:val="auto"/>
          <w:sz w:val="20"/>
          <w:szCs w:val="20"/>
        </w:rPr>
        <w:t xml:space="preserve">Hospodárný, efektivní a účelný výkon veřejné správy. </w:t>
      </w:r>
    </w:p>
    <w:p w14:paraId="60E85692" w14:textId="77777777" w:rsidR="006D71E3" w:rsidRPr="006D71E3" w:rsidRDefault="006D71E3" w:rsidP="006D71E3">
      <w:pPr>
        <w:pStyle w:val="Default"/>
        <w:rPr>
          <w:rFonts w:ascii="Calibri" w:hAnsi="Calibri" w:cs="Calibri"/>
          <w:color w:val="auto"/>
          <w:sz w:val="20"/>
          <w:szCs w:val="20"/>
        </w:rPr>
      </w:pPr>
    </w:p>
    <w:p w14:paraId="4C4E0CF5" w14:textId="77777777" w:rsidR="006D71E3" w:rsidRPr="006D71E3" w:rsidRDefault="006D71E3" w:rsidP="006D71E3">
      <w:pPr>
        <w:pStyle w:val="Default"/>
        <w:rPr>
          <w:rFonts w:ascii="Calibri" w:hAnsi="Calibri" w:cs="Calibri"/>
          <w:color w:val="auto"/>
          <w:sz w:val="20"/>
          <w:szCs w:val="20"/>
        </w:rPr>
      </w:pPr>
      <w:r w:rsidRPr="006D71E3">
        <w:rPr>
          <w:rFonts w:ascii="Calibri" w:hAnsi="Calibri" w:cs="Calibri"/>
          <w:color w:val="auto"/>
          <w:sz w:val="20"/>
          <w:szCs w:val="20"/>
        </w:rPr>
        <w:t xml:space="preserve">Poskytovatel a Objednatel budou v rámci spolupráce usilovat o naplnění také těchto zákonných požadavků: </w:t>
      </w:r>
    </w:p>
    <w:p w14:paraId="6953FEC0" w14:textId="77777777" w:rsidR="006D71E3" w:rsidRPr="006D71E3" w:rsidRDefault="006D71E3" w:rsidP="006D71E3">
      <w:pPr>
        <w:pStyle w:val="Default"/>
        <w:numPr>
          <w:ilvl w:val="0"/>
          <w:numId w:val="2"/>
        </w:numPr>
        <w:spacing w:after="34"/>
        <w:rPr>
          <w:rFonts w:ascii="Calibri" w:hAnsi="Calibri" w:cs="Calibri"/>
          <w:color w:val="auto"/>
          <w:sz w:val="20"/>
          <w:szCs w:val="20"/>
        </w:rPr>
      </w:pPr>
      <w:r w:rsidRPr="006D71E3">
        <w:rPr>
          <w:rFonts w:ascii="Calibri" w:hAnsi="Calibri" w:cs="Calibri"/>
          <w:color w:val="auto"/>
          <w:sz w:val="20"/>
          <w:szCs w:val="20"/>
        </w:rPr>
        <w:t xml:space="preserve">Přiměřené a účinné nastavení vnitřního kontrolního systému dle § 5 a § 25 ZFK vycházející z mezinárodně uznávaných standardů COSO (www.coso.org) dle § 5 odst. 1. ZFK. </w:t>
      </w:r>
    </w:p>
    <w:p w14:paraId="5660ED3B" w14:textId="77777777" w:rsidR="006D71E3" w:rsidRPr="006D71E3" w:rsidRDefault="006D71E3" w:rsidP="006D71E3">
      <w:pPr>
        <w:pStyle w:val="Default"/>
        <w:numPr>
          <w:ilvl w:val="0"/>
          <w:numId w:val="2"/>
        </w:numPr>
        <w:spacing w:after="34"/>
        <w:rPr>
          <w:rFonts w:ascii="Calibri" w:hAnsi="Calibri" w:cs="Calibri"/>
          <w:color w:val="auto"/>
          <w:sz w:val="20"/>
          <w:szCs w:val="20"/>
        </w:rPr>
      </w:pPr>
      <w:r w:rsidRPr="006D71E3">
        <w:rPr>
          <w:rFonts w:ascii="Calibri" w:hAnsi="Calibri" w:cs="Calibri"/>
          <w:color w:val="auto"/>
          <w:sz w:val="20"/>
          <w:szCs w:val="20"/>
        </w:rPr>
        <w:t xml:space="preserve">Výkon finanční kontroly zaměstnanci s kvalifikačními předpoklady dle §5 odst. 1 písm. b) ZFK. </w:t>
      </w:r>
    </w:p>
    <w:p w14:paraId="5F79D656" w14:textId="77777777" w:rsidR="006D71E3" w:rsidRPr="006D71E3" w:rsidRDefault="006D71E3" w:rsidP="006D71E3">
      <w:pPr>
        <w:pStyle w:val="Default"/>
        <w:numPr>
          <w:ilvl w:val="0"/>
          <w:numId w:val="2"/>
        </w:numPr>
        <w:spacing w:after="34"/>
        <w:rPr>
          <w:rFonts w:ascii="Calibri" w:hAnsi="Calibri" w:cs="Calibri"/>
          <w:color w:val="auto"/>
          <w:sz w:val="20"/>
          <w:szCs w:val="20"/>
        </w:rPr>
      </w:pPr>
      <w:r w:rsidRPr="006D71E3">
        <w:rPr>
          <w:rFonts w:ascii="Calibri" w:hAnsi="Calibri" w:cs="Calibri"/>
          <w:color w:val="auto"/>
          <w:sz w:val="20"/>
          <w:szCs w:val="20"/>
        </w:rPr>
        <w:t xml:space="preserve">Průběžné sledování a vyhodnocování výsledků finanční kontroly a při zjištění nedostatků neprodlené přijímání konkrétní opatření k nápravě, jakož i systémová opatření, která mají za cíl předcházet a včas odhalovat nesprávné operace a jejich příčiny dle § 5 odst. 1 písm. e) ZFK. </w:t>
      </w:r>
    </w:p>
    <w:p w14:paraId="60207C47" w14:textId="77777777" w:rsidR="006D71E3" w:rsidRPr="006D71E3" w:rsidRDefault="006D71E3" w:rsidP="006D71E3">
      <w:pPr>
        <w:pStyle w:val="Default"/>
        <w:numPr>
          <w:ilvl w:val="0"/>
          <w:numId w:val="2"/>
        </w:numPr>
        <w:spacing w:after="34"/>
        <w:rPr>
          <w:rFonts w:ascii="Calibri" w:hAnsi="Calibri" w:cs="Calibri"/>
          <w:color w:val="auto"/>
          <w:sz w:val="20"/>
          <w:szCs w:val="20"/>
        </w:rPr>
      </w:pPr>
      <w:r w:rsidRPr="006D71E3">
        <w:rPr>
          <w:rFonts w:ascii="Calibri" w:hAnsi="Calibri" w:cs="Calibri"/>
          <w:color w:val="auto"/>
          <w:sz w:val="20"/>
          <w:szCs w:val="20"/>
        </w:rPr>
        <w:t xml:space="preserve">Nejméně jednou ročně zajištění prověření účinnosti vnitřního kontrolního systému, který zahrnuje všechny kontrolní činnosti v rámci vnitřního provozního a finančního řízení dle § 30 ZFK. </w:t>
      </w:r>
    </w:p>
    <w:p w14:paraId="594CA43B" w14:textId="77777777" w:rsidR="006D71E3" w:rsidRPr="006D71E3" w:rsidRDefault="006D71E3" w:rsidP="006D71E3">
      <w:pPr>
        <w:pStyle w:val="Default"/>
        <w:numPr>
          <w:ilvl w:val="0"/>
          <w:numId w:val="2"/>
        </w:numPr>
        <w:rPr>
          <w:rFonts w:ascii="Calibri" w:hAnsi="Calibri" w:cs="Calibri"/>
          <w:color w:val="auto"/>
          <w:sz w:val="20"/>
          <w:szCs w:val="20"/>
        </w:rPr>
      </w:pPr>
      <w:r w:rsidRPr="006D71E3">
        <w:rPr>
          <w:rFonts w:ascii="Calibri" w:hAnsi="Calibri" w:cs="Calibri"/>
          <w:color w:val="auto"/>
          <w:sz w:val="20"/>
          <w:szCs w:val="20"/>
        </w:rPr>
        <w:t xml:space="preserve">Řádný výkon předběžné, průběžné a následné řídící kontroly dle § 26 a § 27 ZFK a dodržení kontrolních metod a postupů dle požadavků prováděcí vyhlášky č. 416/2004 Sb. </w:t>
      </w:r>
    </w:p>
    <w:p w14:paraId="7B8BB3BE" w14:textId="77777777" w:rsidR="006D71E3" w:rsidRPr="006D71E3" w:rsidRDefault="006D71E3" w:rsidP="006D71E3">
      <w:pPr>
        <w:pStyle w:val="Default"/>
        <w:pageBreakBefore/>
        <w:rPr>
          <w:rFonts w:ascii="Calibri" w:hAnsi="Calibri" w:cs="Calibri"/>
          <w:color w:val="auto"/>
          <w:sz w:val="20"/>
          <w:szCs w:val="20"/>
        </w:rPr>
      </w:pPr>
    </w:p>
    <w:p w14:paraId="397B81F3" w14:textId="77777777" w:rsidR="006D71E3" w:rsidRPr="006D71E3" w:rsidRDefault="006D71E3" w:rsidP="006D71E3">
      <w:pPr>
        <w:pStyle w:val="Default"/>
        <w:numPr>
          <w:ilvl w:val="0"/>
          <w:numId w:val="3"/>
        </w:numPr>
        <w:rPr>
          <w:rFonts w:ascii="Calibri" w:hAnsi="Calibri" w:cs="Calibri"/>
          <w:color w:val="auto"/>
          <w:sz w:val="20"/>
          <w:szCs w:val="20"/>
        </w:rPr>
      </w:pPr>
      <w:r w:rsidRPr="006D71E3">
        <w:rPr>
          <w:rFonts w:ascii="Calibri" w:hAnsi="Calibri" w:cs="Calibri"/>
          <w:color w:val="auto"/>
          <w:sz w:val="20"/>
          <w:szCs w:val="20"/>
        </w:rPr>
        <w:t xml:space="preserve">Nastavení systému řízení rizik tak, aby byl způsobilý včas zjišťovat, vyhodnocovat a minimalizovat provozní, finanční, právní a jiná rizika vznikající v souvislosti s plněním schválených záměrů a cílů orgánu veřejné správy. Interní audit potom v souladu s § 28 odst. 2 písm. b) ZFK přezkoumává a vyhodnocuje, zda rizika vztahující se k činnosti orgánu veřejné správy jsou včas rozpoznávána a zda jsou přijímána odpovídající opatření k jejich vyloučení nebo zmírnění dle požadavků. </w:t>
      </w:r>
    </w:p>
    <w:p w14:paraId="52351FEB" w14:textId="77777777" w:rsidR="006D71E3" w:rsidRPr="006D71E3" w:rsidRDefault="006D71E3" w:rsidP="006D71E3">
      <w:pPr>
        <w:pStyle w:val="Default"/>
        <w:rPr>
          <w:rFonts w:ascii="Calibri" w:hAnsi="Calibri" w:cs="Calibri"/>
          <w:color w:val="auto"/>
          <w:sz w:val="20"/>
          <w:szCs w:val="20"/>
        </w:rPr>
      </w:pPr>
    </w:p>
    <w:p w14:paraId="5B164FA3" w14:textId="77777777" w:rsidR="006D71E3" w:rsidRPr="006D71E3" w:rsidRDefault="006D71E3" w:rsidP="006D71E3">
      <w:pPr>
        <w:pStyle w:val="Default"/>
        <w:rPr>
          <w:rFonts w:ascii="Calibri" w:hAnsi="Calibri" w:cs="Calibri"/>
          <w:color w:val="auto"/>
          <w:sz w:val="20"/>
          <w:szCs w:val="20"/>
        </w:rPr>
      </w:pPr>
      <w:r w:rsidRPr="006D71E3">
        <w:rPr>
          <w:rFonts w:ascii="Calibri" w:hAnsi="Calibri" w:cs="Calibri"/>
          <w:color w:val="auto"/>
          <w:sz w:val="20"/>
          <w:szCs w:val="20"/>
        </w:rPr>
        <w:t xml:space="preserve">Poskytovatel předpokládá, že objednatel naplňuje zákonné povinnosti v oblasti příjímání elektronických dokumentů ISDOC. </w:t>
      </w:r>
    </w:p>
    <w:p w14:paraId="01FA152F" w14:textId="77777777" w:rsidR="006D71E3" w:rsidRPr="006D71E3" w:rsidRDefault="006D71E3" w:rsidP="006D71E3">
      <w:pPr>
        <w:pStyle w:val="Default"/>
        <w:numPr>
          <w:ilvl w:val="0"/>
          <w:numId w:val="4"/>
        </w:numPr>
        <w:spacing w:after="137"/>
        <w:ind w:left="360" w:hanging="360"/>
        <w:rPr>
          <w:rFonts w:ascii="Calibri" w:hAnsi="Calibri" w:cs="Calibri"/>
          <w:color w:val="auto"/>
          <w:sz w:val="20"/>
          <w:szCs w:val="20"/>
        </w:rPr>
      </w:pPr>
      <w:r w:rsidRPr="006D71E3">
        <w:rPr>
          <w:rFonts w:ascii="Calibri" w:hAnsi="Calibri" w:cs="Calibri"/>
          <w:color w:val="auto"/>
          <w:sz w:val="20"/>
          <w:szCs w:val="20"/>
        </w:rPr>
        <w:t xml:space="preserve">Místem plnění je </w:t>
      </w:r>
      <w:r w:rsidRPr="006D71E3">
        <w:rPr>
          <w:rFonts w:ascii="Calibri" w:hAnsi="Calibri" w:cs="Calibri"/>
          <w:b/>
          <w:bCs/>
          <w:color w:val="auto"/>
          <w:sz w:val="20"/>
          <w:szCs w:val="20"/>
        </w:rPr>
        <w:t>sídlo Objednatele</w:t>
      </w:r>
      <w:r w:rsidRPr="006D71E3">
        <w:rPr>
          <w:rFonts w:ascii="Calibri" w:hAnsi="Calibri" w:cs="Calibri"/>
          <w:color w:val="auto"/>
          <w:sz w:val="20"/>
          <w:szCs w:val="20"/>
        </w:rPr>
        <w:t xml:space="preserve">. </w:t>
      </w:r>
    </w:p>
    <w:p w14:paraId="720B4DF0" w14:textId="77777777" w:rsidR="006D71E3" w:rsidRPr="006D71E3" w:rsidRDefault="006D71E3" w:rsidP="006D71E3">
      <w:pPr>
        <w:pStyle w:val="Default"/>
        <w:numPr>
          <w:ilvl w:val="0"/>
          <w:numId w:val="4"/>
        </w:numPr>
        <w:spacing w:after="137"/>
        <w:ind w:left="360" w:hanging="360"/>
        <w:rPr>
          <w:rFonts w:ascii="Calibri" w:hAnsi="Calibri" w:cs="Calibri"/>
          <w:color w:val="auto"/>
          <w:sz w:val="20"/>
          <w:szCs w:val="20"/>
        </w:rPr>
      </w:pPr>
      <w:r w:rsidRPr="006D71E3">
        <w:rPr>
          <w:rFonts w:ascii="Calibri" w:hAnsi="Calibri" w:cs="Calibri"/>
          <w:color w:val="auto"/>
          <w:sz w:val="20"/>
          <w:szCs w:val="20"/>
        </w:rPr>
        <w:t xml:space="preserve">Poskytovatel je oprávněn poskytovat plnění prostřednictvím technických prostředků vzdálenou formou (MS Teams, HelpDesku Poskytovatele, telefonicky, případně e-mailem). </w:t>
      </w:r>
    </w:p>
    <w:p w14:paraId="36B9F44A" w14:textId="77777777" w:rsidR="006D71E3" w:rsidRPr="006D71E3" w:rsidRDefault="006D71E3" w:rsidP="006D71E3">
      <w:pPr>
        <w:pStyle w:val="Default"/>
        <w:numPr>
          <w:ilvl w:val="0"/>
          <w:numId w:val="4"/>
        </w:numPr>
        <w:ind w:left="360" w:hanging="360"/>
        <w:rPr>
          <w:rFonts w:ascii="Calibri" w:hAnsi="Calibri" w:cs="Calibri"/>
          <w:color w:val="auto"/>
          <w:sz w:val="20"/>
          <w:szCs w:val="20"/>
        </w:rPr>
      </w:pPr>
      <w:r w:rsidRPr="006D71E3">
        <w:rPr>
          <w:rFonts w:ascii="Calibri" w:hAnsi="Calibri" w:cs="Calibri"/>
          <w:color w:val="auto"/>
          <w:sz w:val="20"/>
          <w:szCs w:val="20"/>
        </w:rPr>
        <w:t xml:space="preserve">Harmonogram realizace je uveden v příloze č. 2 této nabídky. </w:t>
      </w:r>
    </w:p>
    <w:p w14:paraId="16DD8E48" w14:textId="77777777" w:rsidR="006D71E3" w:rsidRPr="006D71E3" w:rsidRDefault="006D71E3" w:rsidP="006D71E3">
      <w:pPr>
        <w:pStyle w:val="Default"/>
        <w:rPr>
          <w:rFonts w:ascii="Calibri" w:hAnsi="Calibri" w:cs="Calibri"/>
          <w:color w:val="auto"/>
          <w:sz w:val="20"/>
          <w:szCs w:val="20"/>
        </w:rPr>
      </w:pPr>
    </w:p>
    <w:p w14:paraId="4CA81A00" w14:textId="77777777" w:rsidR="006D71E3" w:rsidRPr="006D71E3" w:rsidRDefault="006D71E3" w:rsidP="006D71E3">
      <w:pPr>
        <w:pStyle w:val="Default"/>
        <w:rPr>
          <w:rFonts w:ascii="Calibri" w:hAnsi="Calibri" w:cs="Calibri"/>
          <w:color w:val="auto"/>
          <w:sz w:val="20"/>
          <w:szCs w:val="20"/>
        </w:rPr>
      </w:pPr>
      <w:r w:rsidRPr="006D71E3">
        <w:rPr>
          <w:rFonts w:ascii="Calibri" w:hAnsi="Calibri" w:cs="Calibri"/>
          <w:b/>
          <w:bCs/>
          <w:color w:val="auto"/>
          <w:sz w:val="20"/>
          <w:szCs w:val="20"/>
        </w:rPr>
        <w:t xml:space="preserve">Cena zahrnuje: </w:t>
      </w:r>
    </w:p>
    <w:p w14:paraId="67FA5487" w14:textId="77777777" w:rsidR="006D71E3" w:rsidRPr="006D71E3" w:rsidRDefault="006D71E3" w:rsidP="006D71E3">
      <w:pPr>
        <w:pStyle w:val="Default"/>
        <w:numPr>
          <w:ilvl w:val="1"/>
          <w:numId w:val="5"/>
        </w:numPr>
        <w:spacing w:after="138"/>
        <w:rPr>
          <w:rFonts w:ascii="Calibri" w:hAnsi="Calibri" w:cs="Calibri"/>
          <w:color w:val="auto"/>
          <w:sz w:val="20"/>
          <w:szCs w:val="20"/>
        </w:rPr>
      </w:pPr>
      <w:r w:rsidRPr="006D71E3">
        <w:rPr>
          <w:rFonts w:ascii="Calibri" w:hAnsi="Calibri" w:cs="Calibri"/>
          <w:color w:val="auto"/>
          <w:sz w:val="20"/>
          <w:szCs w:val="20"/>
        </w:rPr>
        <w:t xml:space="preserve">Poskytnutí užívacích práv (licence – </w:t>
      </w:r>
      <w:r w:rsidRPr="006D71E3">
        <w:rPr>
          <w:rFonts w:ascii="Calibri" w:hAnsi="Calibri" w:cs="Calibri"/>
          <w:b/>
          <w:bCs/>
          <w:color w:val="auto"/>
          <w:sz w:val="20"/>
          <w:szCs w:val="20"/>
        </w:rPr>
        <w:t>TYP31</w:t>
      </w:r>
      <w:r w:rsidRPr="006D71E3">
        <w:rPr>
          <w:rFonts w:ascii="Calibri" w:hAnsi="Calibri" w:cs="Calibri"/>
          <w:color w:val="auto"/>
          <w:sz w:val="20"/>
          <w:szCs w:val="20"/>
        </w:rPr>
        <w:t xml:space="preserve">)) formou </w:t>
      </w:r>
      <w:r w:rsidRPr="006D71E3">
        <w:rPr>
          <w:rFonts w:ascii="Calibri" w:hAnsi="Calibri" w:cs="Calibri"/>
          <w:b/>
          <w:bCs/>
          <w:color w:val="auto"/>
          <w:sz w:val="20"/>
          <w:szCs w:val="20"/>
        </w:rPr>
        <w:t xml:space="preserve">služby </w:t>
      </w:r>
      <w:r w:rsidRPr="006D71E3">
        <w:rPr>
          <w:rFonts w:ascii="Calibri" w:hAnsi="Calibri" w:cs="Calibri"/>
          <w:color w:val="auto"/>
          <w:sz w:val="20"/>
          <w:szCs w:val="20"/>
        </w:rPr>
        <w:t xml:space="preserve">k SW CROSEUS CLOUD a údržba SW nástroje, který se skládá z těchto modulů: finanční kontrola, </w:t>
      </w:r>
    </w:p>
    <w:p w14:paraId="0989B9C7" w14:textId="77777777" w:rsidR="006D71E3" w:rsidRPr="006D71E3" w:rsidRDefault="006D71E3" w:rsidP="006D71E3">
      <w:pPr>
        <w:pStyle w:val="Default"/>
        <w:numPr>
          <w:ilvl w:val="1"/>
          <w:numId w:val="5"/>
        </w:numPr>
        <w:spacing w:after="138"/>
        <w:rPr>
          <w:rFonts w:ascii="Calibri" w:hAnsi="Calibri" w:cs="Calibri"/>
          <w:color w:val="auto"/>
          <w:sz w:val="20"/>
          <w:szCs w:val="20"/>
        </w:rPr>
      </w:pPr>
      <w:r w:rsidRPr="006D71E3">
        <w:rPr>
          <w:rFonts w:ascii="Calibri" w:hAnsi="Calibri" w:cs="Calibri"/>
          <w:color w:val="auto"/>
          <w:sz w:val="20"/>
          <w:szCs w:val="20"/>
        </w:rPr>
        <w:t xml:space="preserve">rozpočet </w:t>
      </w:r>
    </w:p>
    <w:p w14:paraId="03A8CF01" w14:textId="77777777" w:rsidR="006D71E3" w:rsidRPr="006D71E3" w:rsidRDefault="006D71E3" w:rsidP="006D71E3">
      <w:pPr>
        <w:pStyle w:val="Default"/>
        <w:numPr>
          <w:ilvl w:val="1"/>
          <w:numId w:val="5"/>
        </w:numPr>
        <w:spacing w:after="138"/>
        <w:rPr>
          <w:rFonts w:ascii="Calibri" w:hAnsi="Calibri" w:cs="Calibri"/>
          <w:color w:val="auto"/>
          <w:sz w:val="20"/>
          <w:szCs w:val="20"/>
        </w:rPr>
      </w:pPr>
      <w:r w:rsidRPr="006D71E3">
        <w:rPr>
          <w:rFonts w:ascii="Calibri" w:hAnsi="Calibri" w:cs="Calibri"/>
          <w:color w:val="auto"/>
          <w:sz w:val="20"/>
          <w:szCs w:val="20"/>
        </w:rPr>
        <w:t xml:space="preserve">archiv, </w:t>
      </w:r>
    </w:p>
    <w:p w14:paraId="7E1A0651" w14:textId="77777777" w:rsidR="006D71E3" w:rsidRPr="006D71E3" w:rsidRDefault="006D71E3" w:rsidP="006D71E3">
      <w:pPr>
        <w:pStyle w:val="Default"/>
        <w:numPr>
          <w:ilvl w:val="1"/>
          <w:numId w:val="5"/>
        </w:numPr>
        <w:rPr>
          <w:rFonts w:ascii="Calibri" w:hAnsi="Calibri" w:cs="Calibri"/>
          <w:color w:val="auto"/>
          <w:sz w:val="20"/>
          <w:szCs w:val="20"/>
        </w:rPr>
      </w:pPr>
      <w:r w:rsidRPr="006D71E3">
        <w:rPr>
          <w:rFonts w:ascii="Calibri" w:hAnsi="Calibri" w:cs="Calibri"/>
          <w:color w:val="auto"/>
          <w:sz w:val="20"/>
          <w:szCs w:val="20"/>
        </w:rPr>
        <w:t xml:space="preserve">uveřejňování závazků do registru smluv. </w:t>
      </w:r>
    </w:p>
    <w:p w14:paraId="47715107" w14:textId="77777777" w:rsidR="006D71E3" w:rsidRPr="006D71E3" w:rsidRDefault="006D71E3" w:rsidP="006D71E3">
      <w:pPr>
        <w:pStyle w:val="Default"/>
        <w:numPr>
          <w:ilvl w:val="1"/>
          <w:numId w:val="5"/>
        </w:numPr>
        <w:rPr>
          <w:rFonts w:ascii="Calibri" w:hAnsi="Calibri" w:cs="Calibri"/>
          <w:color w:val="auto"/>
          <w:sz w:val="20"/>
          <w:szCs w:val="20"/>
        </w:rPr>
      </w:pPr>
    </w:p>
    <w:p w14:paraId="613E6045" w14:textId="77777777" w:rsidR="006D71E3" w:rsidRPr="006D71E3" w:rsidRDefault="006D71E3" w:rsidP="006D71E3">
      <w:pPr>
        <w:pStyle w:val="Default"/>
        <w:numPr>
          <w:ilvl w:val="1"/>
          <w:numId w:val="5"/>
        </w:numPr>
        <w:rPr>
          <w:rFonts w:ascii="Calibri" w:hAnsi="Calibri" w:cs="Calibri"/>
          <w:color w:val="auto"/>
          <w:sz w:val="20"/>
          <w:szCs w:val="20"/>
        </w:rPr>
      </w:pPr>
      <w:r w:rsidRPr="006D71E3">
        <w:rPr>
          <w:rFonts w:ascii="Calibri" w:hAnsi="Calibri" w:cs="Calibri"/>
          <w:b/>
          <w:bCs/>
          <w:color w:val="auto"/>
          <w:sz w:val="20"/>
          <w:szCs w:val="20"/>
        </w:rPr>
        <w:t xml:space="preserve">Implementace </w:t>
      </w:r>
      <w:r w:rsidRPr="006D71E3">
        <w:rPr>
          <w:rFonts w:ascii="Calibri" w:hAnsi="Calibri" w:cs="Calibri"/>
          <w:color w:val="auto"/>
          <w:sz w:val="20"/>
          <w:szCs w:val="20"/>
        </w:rPr>
        <w:t>do organizace (</w:t>
      </w:r>
      <w:r w:rsidRPr="006D71E3">
        <w:rPr>
          <w:rFonts w:ascii="Calibri" w:hAnsi="Calibri" w:cs="Calibri"/>
          <w:b/>
          <w:bCs/>
          <w:color w:val="auto"/>
          <w:sz w:val="20"/>
          <w:szCs w:val="20"/>
        </w:rPr>
        <w:t>finanční kontrola, rozpočet, registr smluv a archiv</w:t>
      </w:r>
      <w:r w:rsidRPr="006D71E3">
        <w:rPr>
          <w:rFonts w:ascii="Calibri" w:hAnsi="Calibri" w:cs="Calibri"/>
          <w:color w:val="auto"/>
          <w:sz w:val="20"/>
          <w:szCs w:val="20"/>
        </w:rPr>
        <w:t xml:space="preserve">). </w:t>
      </w:r>
    </w:p>
    <w:p w14:paraId="31001208" w14:textId="77777777" w:rsidR="006D71E3" w:rsidRPr="006D71E3" w:rsidRDefault="006D71E3" w:rsidP="006D71E3">
      <w:pPr>
        <w:pStyle w:val="Default"/>
        <w:numPr>
          <w:ilvl w:val="1"/>
          <w:numId w:val="5"/>
        </w:numPr>
        <w:rPr>
          <w:rFonts w:ascii="Calibri" w:hAnsi="Calibri" w:cs="Calibri"/>
          <w:color w:val="auto"/>
          <w:sz w:val="20"/>
          <w:szCs w:val="20"/>
        </w:rPr>
      </w:pPr>
      <w:proofErr w:type="spellStart"/>
      <w:r w:rsidRPr="006D71E3">
        <w:rPr>
          <w:rFonts w:ascii="Calibri" w:hAnsi="Calibri" w:cs="Calibri"/>
          <w:color w:val="auto"/>
          <w:sz w:val="20"/>
          <w:szCs w:val="20"/>
        </w:rPr>
        <w:t>předimplementační</w:t>
      </w:r>
      <w:proofErr w:type="spellEnd"/>
      <w:r w:rsidRPr="006D71E3">
        <w:rPr>
          <w:rFonts w:ascii="Calibri" w:hAnsi="Calibri" w:cs="Calibri"/>
          <w:color w:val="auto"/>
          <w:sz w:val="20"/>
          <w:szCs w:val="20"/>
        </w:rPr>
        <w:t xml:space="preserve"> analýza, </w:t>
      </w:r>
    </w:p>
    <w:p w14:paraId="6AC08403" w14:textId="77777777" w:rsidR="006D71E3" w:rsidRPr="006D71E3" w:rsidRDefault="006D71E3" w:rsidP="006D71E3">
      <w:pPr>
        <w:pStyle w:val="Default"/>
        <w:numPr>
          <w:ilvl w:val="1"/>
          <w:numId w:val="5"/>
        </w:numPr>
        <w:rPr>
          <w:rFonts w:ascii="Calibri" w:hAnsi="Calibri" w:cs="Calibri"/>
          <w:color w:val="auto"/>
          <w:sz w:val="20"/>
          <w:szCs w:val="20"/>
        </w:rPr>
      </w:pPr>
      <w:r w:rsidRPr="006D71E3">
        <w:rPr>
          <w:rFonts w:ascii="Calibri" w:hAnsi="Calibri" w:cs="Calibri"/>
          <w:color w:val="auto"/>
          <w:sz w:val="20"/>
          <w:szCs w:val="20"/>
        </w:rPr>
        <w:t xml:space="preserve">konfigurace SW na míru organizace, </w:t>
      </w:r>
    </w:p>
    <w:p w14:paraId="76954F63" w14:textId="77777777" w:rsidR="006D71E3" w:rsidRPr="006D71E3" w:rsidRDefault="006D71E3" w:rsidP="006D71E3">
      <w:pPr>
        <w:pStyle w:val="Default"/>
        <w:numPr>
          <w:ilvl w:val="1"/>
          <w:numId w:val="5"/>
        </w:numPr>
        <w:rPr>
          <w:rFonts w:ascii="Calibri" w:hAnsi="Calibri" w:cs="Calibri"/>
          <w:color w:val="auto"/>
          <w:sz w:val="20"/>
          <w:szCs w:val="20"/>
        </w:rPr>
      </w:pPr>
      <w:r w:rsidRPr="006D71E3">
        <w:rPr>
          <w:rFonts w:ascii="Calibri" w:hAnsi="Calibri" w:cs="Calibri"/>
          <w:color w:val="auto"/>
          <w:sz w:val="20"/>
          <w:szCs w:val="20"/>
        </w:rPr>
        <w:t xml:space="preserve">předání nové interní směrnice týkající se vnitřního kontrolního systému </w:t>
      </w:r>
    </w:p>
    <w:p w14:paraId="5913832C" w14:textId="77777777" w:rsidR="006D71E3" w:rsidRPr="006D71E3" w:rsidRDefault="006D71E3" w:rsidP="006D71E3">
      <w:pPr>
        <w:pStyle w:val="Default"/>
        <w:numPr>
          <w:ilvl w:val="1"/>
          <w:numId w:val="5"/>
        </w:numPr>
        <w:rPr>
          <w:rFonts w:ascii="Calibri" w:hAnsi="Calibri" w:cs="Calibri"/>
          <w:color w:val="auto"/>
          <w:sz w:val="20"/>
          <w:szCs w:val="20"/>
        </w:rPr>
      </w:pPr>
      <w:r w:rsidRPr="006D71E3">
        <w:rPr>
          <w:rFonts w:ascii="Calibri" w:hAnsi="Calibri" w:cs="Calibri"/>
          <w:color w:val="auto"/>
          <w:sz w:val="20"/>
          <w:szCs w:val="20"/>
        </w:rPr>
        <w:t xml:space="preserve">školení uživatelů (v max. rozsahu 2x3 h), </w:t>
      </w:r>
    </w:p>
    <w:p w14:paraId="5C9C12B6" w14:textId="77777777" w:rsidR="006D71E3" w:rsidRPr="006D71E3" w:rsidRDefault="006D71E3" w:rsidP="006D71E3">
      <w:pPr>
        <w:pStyle w:val="Default"/>
        <w:rPr>
          <w:rFonts w:ascii="Calibri" w:hAnsi="Calibri" w:cs="Calibri"/>
          <w:color w:val="auto"/>
          <w:sz w:val="20"/>
          <w:szCs w:val="20"/>
        </w:rPr>
      </w:pPr>
    </w:p>
    <w:p w14:paraId="6A86C740" w14:textId="62A38482" w:rsidR="006D71E3" w:rsidRPr="006D71E3" w:rsidRDefault="006D71E3" w:rsidP="006D71E3">
      <w:pPr>
        <w:pStyle w:val="Default"/>
        <w:rPr>
          <w:rFonts w:ascii="Calibri" w:hAnsi="Calibri" w:cs="Calibri"/>
          <w:color w:val="auto"/>
          <w:sz w:val="20"/>
          <w:szCs w:val="20"/>
        </w:rPr>
      </w:pPr>
      <w:r w:rsidRPr="006D71E3">
        <w:rPr>
          <w:rFonts w:ascii="Calibri" w:hAnsi="Calibri" w:cs="Calibri"/>
          <w:sz w:val="20"/>
          <w:szCs w:val="20"/>
        </w:rPr>
        <w:t xml:space="preserve">1 Velikost licence TYP3 znamená, že organizace může mít v aplikaci CROSEUS až 25 uživatelů a je plátcem DPH. </w:t>
      </w:r>
    </w:p>
    <w:p w14:paraId="4F96DB1C" w14:textId="77777777" w:rsidR="006D71E3" w:rsidRPr="006D71E3" w:rsidRDefault="006D71E3" w:rsidP="006D71E3">
      <w:pPr>
        <w:pStyle w:val="Default"/>
        <w:rPr>
          <w:rFonts w:ascii="Calibri" w:hAnsi="Calibri" w:cs="Calibri"/>
          <w:color w:val="auto"/>
          <w:sz w:val="20"/>
          <w:szCs w:val="20"/>
        </w:rPr>
      </w:pPr>
    </w:p>
    <w:p w14:paraId="69609A7C" w14:textId="77777777" w:rsidR="006D71E3" w:rsidRPr="006D71E3" w:rsidRDefault="006D71E3" w:rsidP="006D71E3">
      <w:pPr>
        <w:pStyle w:val="Default"/>
        <w:pageBreakBefore/>
        <w:rPr>
          <w:rFonts w:ascii="Calibri" w:hAnsi="Calibri" w:cs="Calibri"/>
          <w:color w:val="auto"/>
          <w:sz w:val="20"/>
          <w:szCs w:val="20"/>
        </w:rPr>
      </w:pPr>
      <w:r w:rsidRPr="006D71E3">
        <w:rPr>
          <w:rFonts w:ascii="Calibri" w:hAnsi="Calibri" w:cs="Calibri"/>
          <w:color w:val="auto"/>
          <w:sz w:val="20"/>
          <w:szCs w:val="20"/>
        </w:rPr>
        <w:lastRenderedPageBreak/>
        <w:t xml:space="preserve">Cenová kalkulace: </w:t>
      </w:r>
    </w:p>
    <w:tbl>
      <w:tblPr>
        <w:tblW w:w="932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30"/>
        <w:gridCol w:w="2330"/>
        <w:gridCol w:w="2330"/>
        <w:gridCol w:w="2330"/>
      </w:tblGrid>
      <w:tr w:rsidR="006D71E3" w:rsidRPr="006D71E3" w14:paraId="01DFD671" w14:textId="77777777" w:rsidTr="006D71E3">
        <w:tblPrEx>
          <w:tblCellMar>
            <w:top w:w="0" w:type="dxa"/>
            <w:bottom w:w="0" w:type="dxa"/>
          </w:tblCellMar>
        </w:tblPrEx>
        <w:trPr>
          <w:trHeight w:val="110"/>
        </w:trPr>
        <w:tc>
          <w:tcPr>
            <w:tcW w:w="2330" w:type="dxa"/>
            <w:tcBorders>
              <w:top w:val="none" w:sz="6" w:space="0" w:color="auto"/>
              <w:bottom w:val="none" w:sz="6" w:space="0" w:color="auto"/>
              <w:right w:val="none" w:sz="6" w:space="0" w:color="auto"/>
            </w:tcBorders>
          </w:tcPr>
          <w:p w14:paraId="3A1374AB" w14:textId="77777777" w:rsidR="006D71E3" w:rsidRPr="006D71E3" w:rsidRDefault="006D71E3">
            <w:pPr>
              <w:pStyle w:val="Default"/>
              <w:rPr>
                <w:rFonts w:ascii="Calibri" w:hAnsi="Calibri" w:cs="Calibri"/>
                <w:sz w:val="20"/>
                <w:szCs w:val="20"/>
              </w:rPr>
            </w:pPr>
            <w:r w:rsidRPr="006D71E3">
              <w:rPr>
                <w:rFonts w:ascii="Calibri" w:hAnsi="Calibri" w:cs="Calibri"/>
                <w:color w:val="auto"/>
                <w:sz w:val="20"/>
                <w:szCs w:val="20"/>
              </w:rPr>
              <w:t xml:space="preserve">Cena za implementaci systému do organizace (jednorázově) </w:t>
            </w:r>
            <w:r w:rsidRPr="006D71E3">
              <w:rPr>
                <w:rFonts w:ascii="Calibri" w:hAnsi="Calibri" w:cs="Calibri"/>
                <w:b/>
                <w:bCs/>
                <w:sz w:val="20"/>
                <w:szCs w:val="20"/>
              </w:rPr>
              <w:t xml:space="preserve">Popis </w:t>
            </w:r>
          </w:p>
        </w:tc>
        <w:tc>
          <w:tcPr>
            <w:tcW w:w="2330" w:type="dxa"/>
            <w:tcBorders>
              <w:top w:val="none" w:sz="6" w:space="0" w:color="auto"/>
              <w:left w:val="none" w:sz="6" w:space="0" w:color="auto"/>
              <w:bottom w:val="none" w:sz="6" w:space="0" w:color="auto"/>
              <w:right w:val="none" w:sz="6" w:space="0" w:color="auto"/>
            </w:tcBorders>
          </w:tcPr>
          <w:p w14:paraId="176F93FF" w14:textId="77777777" w:rsidR="006D71E3" w:rsidRPr="006D71E3" w:rsidRDefault="006D71E3">
            <w:pPr>
              <w:pStyle w:val="Default"/>
              <w:rPr>
                <w:rFonts w:ascii="Calibri" w:hAnsi="Calibri" w:cs="Calibri"/>
                <w:sz w:val="20"/>
                <w:szCs w:val="20"/>
              </w:rPr>
            </w:pPr>
            <w:r w:rsidRPr="006D71E3">
              <w:rPr>
                <w:rFonts w:ascii="Calibri" w:hAnsi="Calibri" w:cs="Calibri"/>
                <w:b/>
                <w:bCs/>
                <w:sz w:val="20"/>
                <w:szCs w:val="20"/>
              </w:rPr>
              <w:t xml:space="preserve">Cena bez DPH </w:t>
            </w:r>
          </w:p>
        </w:tc>
        <w:tc>
          <w:tcPr>
            <w:tcW w:w="2330" w:type="dxa"/>
            <w:tcBorders>
              <w:top w:val="none" w:sz="6" w:space="0" w:color="auto"/>
              <w:left w:val="none" w:sz="6" w:space="0" w:color="auto"/>
              <w:bottom w:val="none" w:sz="6" w:space="0" w:color="auto"/>
              <w:right w:val="none" w:sz="6" w:space="0" w:color="auto"/>
            </w:tcBorders>
          </w:tcPr>
          <w:p w14:paraId="2E8D693E" w14:textId="77777777" w:rsidR="006D71E3" w:rsidRPr="006D71E3" w:rsidRDefault="006D71E3">
            <w:pPr>
              <w:pStyle w:val="Default"/>
              <w:rPr>
                <w:rFonts w:ascii="Calibri" w:hAnsi="Calibri" w:cs="Calibri"/>
                <w:sz w:val="20"/>
                <w:szCs w:val="20"/>
              </w:rPr>
            </w:pPr>
            <w:r w:rsidRPr="006D71E3">
              <w:rPr>
                <w:rFonts w:ascii="Calibri" w:hAnsi="Calibri" w:cs="Calibri"/>
                <w:b/>
                <w:bCs/>
                <w:sz w:val="20"/>
                <w:szCs w:val="20"/>
              </w:rPr>
              <w:t xml:space="preserve">DPH </w:t>
            </w:r>
          </w:p>
        </w:tc>
        <w:tc>
          <w:tcPr>
            <w:tcW w:w="2330" w:type="dxa"/>
            <w:tcBorders>
              <w:top w:val="none" w:sz="6" w:space="0" w:color="auto"/>
              <w:left w:val="none" w:sz="6" w:space="0" w:color="auto"/>
              <w:bottom w:val="none" w:sz="6" w:space="0" w:color="auto"/>
            </w:tcBorders>
          </w:tcPr>
          <w:p w14:paraId="020B2D91" w14:textId="77777777" w:rsidR="006D71E3" w:rsidRPr="006D71E3" w:rsidRDefault="006D71E3">
            <w:pPr>
              <w:pStyle w:val="Default"/>
              <w:rPr>
                <w:rFonts w:ascii="Calibri" w:hAnsi="Calibri" w:cs="Calibri"/>
                <w:sz w:val="20"/>
                <w:szCs w:val="20"/>
              </w:rPr>
            </w:pPr>
            <w:r w:rsidRPr="006D71E3">
              <w:rPr>
                <w:rFonts w:ascii="Calibri" w:hAnsi="Calibri" w:cs="Calibri"/>
                <w:b/>
                <w:bCs/>
                <w:sz w:val="20"/>
                <w:szCs w:val="20"/>
              </w:rPr>
              <w:t xml:space="preserve">Cena s DPH </w:t>
            </w:r>
          </w:p>
        </w:tc>
      </w:tr>
      <w:tr w:rsidR="006D71E3" w:rsidRPr="006D71E3" w14:paraId="7487E89C" w14:textId="77777777" w:rsidTr="006D71E3">
        <w:tblPrEx>
          <w:tblCellMar>
            <w:top w:w="0" w:type="dxa"/>
            <w:bottom w:w="0" w:type="dxa"/>
          </w:tblCellMar>
        </w:tblPrEx>
        <w:trPr>
          <w:trHeight w:val="115"/>
        </w:trPr>
        <w:tc>
          <w:tcPr>
            <w:tcW w:w="2330" w:type="dxa"/>
            <w:tcBorders>
              <w:top w:val="none" w:sz="6" w:space="0" w:color="auto"/>
              <w:bottom w:val="none" w:sz="6" w:space="0" w:color="auto"/>
              <w:right w:val="none" w:sz="6" w:space="0" w:color="auto"/>
            </w:tcBorders>
          </w:tcPr>
          <w:p w14:paraId="03325A77" w14:textId="77777777" w:rsidR="006D71E3" w:rsidRPr="006D71E3" w:rsidRDefault="006D71E3">
            <w:pPr>
              <w:pStyle w:val="Default"/>
              <w:rPr>
                <w:rFonts w:ascii="Calibri" w:hAnsi="Calibri" w:cs="Calibri"/>
                <w:sz w:val="20"/>
                <w:szCs w:val="20"/>
              </w:rPr>
            </w:pPr>
            <w:r w:rsidRPr="006D71E3">
              <w:rPr>
                <w:rFonts w:ascii="Calibri" w:hAnsi="Calibri" w:cs="Calibri"/>
                <w:sz w:val="20"/>
                <w:szCs w:val="20"/>
              </w:rPr>
              <w:t xml:space="preserve">Implementace </w:t>
            </w:r>
          </w:p>
        </w:tc>
        <w:tc>
          <w:tcPr>
            <w:tcW w:w="2330" w:type="dxa"/>
            <w:tcBorders>
              <w:top w:val="none" w:sz="6" w:space="0" w:color="auto"/>
              <w:left w:val="none" w:sz="6" w:space="0" w:color="auto"/>
              <w:bottom w:val="none" w:sz="6" w:space="0" w:color="auto"/>
              <w:right w:val="none" w:sz="6" w:space="0" w:color="auto"/>
            </w:tcBorders>
          </w:tcPr>
          <w:p w14:paraId="3DC52E30" w14:textId="77777777" w:rsidR="006D71E3" w:rsidRPr="006D71E3" w:rsidRDefault="006D71E3">
            <w:pPr>
              <w:pStyle w:val="Default"/>
              <w:rPr>
                <w:rFonts w:ascii="Calibri" w:hAnsi="Calibri" w:cs="Calibri"/>
                <w:sz w:val="20"/>
                <w:szCs w:val="20"/>
              </w:rPr>
            </w:pPr>
            <w:r w:rsidRPr="006D71E3">
              <w:rPr>
                <w:rFonts w:ascii="Calibri" w:hAnsi="Calibri" w:cs="Calibri"/>
                <w:sz w:val="20"/>
                <w:szCs w:val="20"/>
              </w:rPr>
              <w:t xml:space="preserve">149 000,00 Kč </w:t>
            </w:r>
          </w:p>
        </w:tc>
        <w:tc>
          <w:tcPr>
            <w:tcW w:w="2330" w:type="dxa"/>
            <w:tcBorders>
              <w:top w:val="none" w:sz="6" w:space="0" w:color="auto"/>
              <w:left w:val="none" w:sz="6" w:space="0" w:color="auto"/>
              <w:bottom w:val="none" w:sz="6" w:space="0" w:color="auto"/>
              <w:right w:val="none" w:sz="6" w:space="0" w:color="auto"/>
            </w:tcBorders>
          </w:tcPr>
          <w:p w14:paraId="5089CB08" w14:textId="77777777" w:rsidR="006D71E3" w:rsidRPr="006D71E3" w:rsidRDefault="006D71E3">
            <w:pPr>
              <w:pStyle w:val="Default"/>
              <w:rPr>
                <w:rFonts w:ascii="Calibri" w:hAnsi="Calibri" w:cs="Calibri"/>
                <w:sz w:val="20"/>
                <w:szCs w:val="20"/>
              </w:rPr>
            </w:pPr>
            <w:r w:rsidRPr="006D71E3">
              <w:rPr>
                <w:rFonts w:ascii="Calibri" w:hAnsi="Calibri" w:cs="Calibri"/>
                <w:sz w:val="20"/>
                <w:szCs w:val="20"/>
              </w:rPr>
              <w:t xml:space="preserve">31 290,00 Kč </w:t>
            </w:r>
          </w:p>
        </w:tc>
        <w:tc>
          <w:tcPr>
            <w:tcW w:w="2330" w:type="dxa"/>
            <w:tcBorders>
              <w:top w:val="none" w:sz="6" w:space="0" w:color="auto"/>
              <w:left w:val="none" w:sz="6" w:space="0" w:color="auto"/>
              <w:bottom w:val="none" w:sz="6" w:space="0" w:color="auto"/>
            </w:tcBorders>
          </w:tcPr>
          <w:p w14:paraId="513EE299" w14:textId="77777777" w:rsidR="006D71E3" w:rsidRPr="006D71E3" w:rsidRDefault="006D71E3">
            <w:pPr>
              <w:pStyle w:val="Default"/>
              <w:rPr>
                <w:rFonts w:ascii="Calibri" w:hAnsi="Calibri" w:cs="Calibri"/>
                <w:sz w:val="20"/>
                <w:szCs w:val="20"/>
              </w:rPr>
            </w:pPr>
            <w:r w:rsidRPr="006D71E3">
              <w:rPr>
                <w:rFonts w:ascii="Calibri" w:hAnsi="Calibri" w:cs="Calibri"/>
                <w:sz w:val="20"/>
                <w:szCs w:val="20"/>
              </w:rPr>
              <w:t xml:space="preserve">180 290,00 Kč </w:t>
            </w:r>
          </w:p>
        </w:tc>
      </w:tr>
      <w:tr w:rsidR="006D71E3" w:rsidRPr="006D71E3" w14:paraId="590CAD69" w14:textId="77777777" w:rsidTr="006D71E3">
        <w:tblPrEx>
          <w:tblCellMar>
            <w:top w:w="0" w:type="dxa"/>
            <w:bottom w:w="0" w:type="dxa"/>
          </w:tblCellMar>
        </w:tblPrEx>
        <w:trPr>
          <w:trHeight w:val="110"/>
        </w:trPr>
        <w:tc>
          <w:tcPr>
            <w:tcW w:w="2330" w:type="dxa"/>
            <w:tcBorders>
              <w:top w:val="none" w:sz="6" w:space="0" w:color="auto"/>
              <w:bottom w:val="none" w:sz="6" w:space="0" w:color="auto"/>
              <w:right w:val="none" w:sz="6" w:space="0" w:color="auto"/>
            </w:tcBorders>
          </w:tcPr>
          <w:p w14:paraId="1CF3B17E" w14:textId="77777777" w:rsidR="006D71E3" w:rsidRPr="006D71E3" w:rsidRDefault="006D71E3">
            <w:pPr>
              <w:pStyle w:val="Default"/>
              <w:rPr>
                <w:rFonts w:ascii="Calibri" w:hAnsi="Calibri" w:cs="Calibri"/>
                <w:sz w:val="20"/>
                <w:szCs w:val="20"/>
              </w:rPr>
            </w:pPr>
            <w:r w:rsidRPr="006D71E3">
              <w:rPr>
                <w:rFonts w:ascii="Calibri" w:hAnsi="Calibri" w:cs="Calibri"/>
                <w:b/>
                <w:bCs/>
                <w:sz w:val="20"/>
                <w:szCs w:val="20"/>
              </w:rPr>
              <w:t xml:space="preserve">Celkem </w:t>
            </w:r>
          </w:p>
        </w:tc>
        <w:tc>
          <w:tcPr>
            <w:tcW w:w="2330" w:type="dxa"/>
            <w:tcBorders>
              <w:top w:val="none" w:sz="6" w:space="0" w:color="auto"/>
              <w:left w:val="none" w:sz="6" w:space="0" w:color="auto"/>
              <w:bottom w:val="none" w:sz="6" w:space="0" w:color="auto"/>
              <w:right w:val="none" w:sz="6" w:space="0" w:color="auto"/>
            </w:tcBorders>
          </w:tcPr>
          <w:p w14:paraId="4BECFC53" w14:textId="77777777" w:rsidR="006D71E3" w:rsidRPr="006D71E3" w:rsidRDefault="006D71E3">
            <w:pPr>
              <w:pStyle w:val="Default"/>
              <w:rPr>
                <w:rFonts w:ascii="Calibri" w:hAnsi="Calibri" w:cs="Calibri"/>
                <w:sz w:val="20"/>
                <w:szCs w:val="20"/>
              </w:rPr>
            </w:pPr>
            <w:r w:rsidRPr="006D71E3">
              <w:rPr>
                <w:rFonts w:ascii="Calibri" w:hAnsi="Calibri" w:cs="Calibri"/>
                <w:b/>
                <w:bCs/>
                <w:sz w:val="20"/>
                <w:szCs w:val="20"/>
              </w:rPr>
              <w:t xml:space="preserve">149 000,00 Kč </w:t>
            </w:r>
          </w:p>
        </w:tc>
        <w:tc>
          <w:tcPr>
            <w:tcW w:w="2330" w:type="dxa"/>
            <w:tcBorders>
              <w:top w:val="none" w:sz="6" w:space="0" w:color="auto"/>
              <w:left w:val="none" w:sz="6" w:space="0" w:color="auto"/>
              <w:bottom w:val="none" w:sz="6" w:space="0" w:color="auto"/>
              <w:right w:val="none" w:sz="6" w:space="0" w:color="auto"/>
            </w:tcBorders>
          </w:tcPr>
          <w:p w14:paraId="5D98D5EA" w14:textId="77777777" w:rsidR="006D71E3" w:rsidRPr="006D71E3" w:rsidRDefault="006D71E3">
            <w:pPr>
              <w:pStyle w:val="Default"/>
              <w:rPr>
                <w:rFonts w:ascii="Calibri" w:hAnsi="Calibri" w:cs="Calibri"/>
                <w:sz w:val="20"/>
                <w:szCs w:val="20"/>
              </w:rPr>
            </w:pPr>
            <w:r w:rsidRPr="006D71E3">
              <w:rPr>
                <w:rFonts w:ascii="Calibri" w:hAnsi="Calibri" w:cs="Calibri"/>
                <w:b/>
                <w:bCs/>
                <w:sz w:val="20"/>
                <w:szCs w:val="20"/>
              </w:rPr>
              <w:t xml:space="preserve">31 290,00 Kč </w:t>
            </w:r>
          </w:p>
        </w:tc>
        <w:tc>
          <w:tcPr>
            <w:tcW w:w="2330" w:type="dxa"/>
            <w:tcBorders>
              <w:top w:val="none" w:sz="6" w:space="0" w:color="auto"/>
              <w:left w:val="none" w:sz="6" w:space="0" w:color="auto"/>
              <w:bottom w:val="none" w:sz="6" w:space="0" w:color="auto"/>
            </w:tcBorders>
          </w:tcPr>
          <w:p w14:paraId="4B536313" w14:textId="77777777" w:rsidR="006D71E3" w:rsidRPr="006D71E3" w:rsidRDefault="006D71E3">
            <w:pPr>
              <w:pStyle w:val="Default"/>
              <w:rPr>
                <w:rFonts w:ascii="Calibri" w:hAnsi="Calibri" w:cs="Calibri"/>
                <w:sz w:val="20"/>
                <w:szCs w:val="20"/>
              </w:rPr>
            </w:pPr>
            <w:r w:rsidRPr="006D71E3">
              <w:rPr>
                <w:rFonts w:ascii="Calibri" w:hAnsi="Calibri" w:cs="Calibri"/>
                <w:b/>
                <w:bCs/>
                <w:sz w:val="20"/>
                <w:szCs w:val="20"/>
              </w:rPr>
              <w:t xml:space="preserve">180 290,00 Kč </w:t>
            </w:r>
          </w:p>
        </w:tc>
      </w:tr>
    </w:tbl>
    <w:p w14:paraId="480FA0B2"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 </w:t>
      </w:r>
      <w:r w:rsidRPr="006D71E3">
        <w:rPr>
          <w:rFonts w:ascii="Calibri" w:hAnsi="Calibri" w:cs="Calibri"/>
          <w:color w:val="000000"/>
          <w:kern w:val="0"/>
          <w:sz w:val="20"/>
          <w:szCs w:val="20"/>
        </w:rPr>
        <w:t xml:space="preserve">Celková implementace může proběhnout online formou a cena cestovného tedy není započítána v ceně implementace. V případě potřeby budeme účtovat ad hoc 14,-Kč za kilometr.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30"/>
        <w:gridCol w:w="2330"/>
        <w:gridCol w:w="2330"/>
        <w:gridCol w:w="2330"/>
      </w:tblGrid>
      <w:tr w:rsidR="006D71E3" w:rsidRPr="006D71E3" w14:paraId="4EFD6197" w14:textId="77777777">
        <w:tblPrEx>
          <w:tblCellMar>
            <w:top w:w="0" w:type="dxa"/>
            <w:bottom w:w="0" w:type="dxa"/>
          </w:tblCellMar>
        </w:tblPrEx>
        <w:trPr>
          <w:trHeight w:val="110"/>
        </w:trPr>
        <w:tc>
          <w:tcPr>
            <w:tcW w:w="2330" w:type="dxa"/>
            <w:tcBorders>
              <w:top w:val="none" w:sz="6" w:space="0" w:color="auto"/>
              <w:bottom w:val="none" w:sz="6" w:space="0" w:color="auto"/>
              <w:right w:val="none" w:sz="6" w:space="0" w:color="auto"/>
            </w:tcBorders>
          </w:tcPr>
          <w:p w14:paraId="1A949F50"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Cena za služby CC a servisní podporu pro organizaci (měsíčně) </w:t>
            </w:r>
            <w:r w:rsidRPr="006D71E3">
              <w:rPr>
                <w:rFonts w:ascii="Calibri" w:hAnsi="Calibri" w:cs="Calibri"/>
                <w:b/>
                <w:bCs/>
                <w:color w:val="000000"/>
                <w:kern w:val="0"/>
                <w:sz w:val="20"/>
                <w:szCs w:val="20"/>
              </w:rPr>
              <w:t xml:space="preserve">Popis </w:t>
            </w:r>
          </w:p>
        </w:tc>
        <w:tc>
          <w:tcPr>
            <w:tcW w:w="2330" w:type="dxa"/>
            <w:tcBorders>
              <w:top w:val="none" w:sz="6" w:space="0" w:color="auto"/>
              <w:left w:val="none" w:sz="6" w:space="0" w:color="auto"/>
              <w:bottom w:val="none" w:sz="6" w:space="0" w:color="auto"/>
              <w:right w:val="none" w:sz="6" w:space="0" w:color="auto"/>
            </w:tcBorders>
          </w:tcPr>
          <w:p w14:paraId="52B080F3"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Cena bez DPH </w:t>
            </w:r>
          </w:p>
        </w:tc>
        <w:tc>
          <w:tcPr>
            <w:tcW w:w="2330" w:type="dxa"/>
            <w:tcBorders>
              <w:top w:val="none" w:sz="6" w:space="0" w:color="auto"/>
              <w:left w:val="none" w:sz="6" w:space="0" w:color="auto"/>
              <w:bottom w:val="none" w:sz="6" w:space="0" w:color="auto"/>
              <w:right w:val="none" w:sz="6" w:space="0" w:color="auto"/>
            </w:tcBorders>
          </w:tcPr>
          <w:p w14:paraId="584FCFA7"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DPH </w:t>
            </w:r>
          </w:p>
        </w:tc>
        <w:tc>
          <w:tcPr>
            <w:tcW w:w="2330" w:type="dxa"/>
            <w:tcBorders>
              <w:top w:val="none" w:sz="6" w:space="0" w:color="auto"/>
              <w:left w:val="none" w:sz="6" w:space="0" w:color="auto"/>
              <w:bottom w:val="none" w:sz="6" w:space="0" w:color="auto"/>
            </w:tcBorders>
          </w:tcPr>
          <w:p w14:paraId="08DE30A8"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Cena s DPH </w:t>
            </w:r>
          </w:p>
        </w:tc>
      </w:tr>
      <w:tr w:rsidR="006D71E3" w:rsidRPr="006D71E3" w14:paraId="3A6E8C06" w14:textId="77777777">
        <w:tblPrEx>
          <w:tblCellMar>
            <w:top w:w="0" w:type="dxa"/>
            <w:bottom w:w="0" w:type="dxa"/>
          </w:tblCellMar>
        </w:tblPrEx>
        <w:trPr>
          <w:trHeight w:val="110"/>
        </w:trPr>
        <w:tc>
          <w:tcPr>
            <w:tcW w:w="2330" w:type="dxa"/>
            <w:tcBorders>
              <w:top w:val="none" w:sz="6" w:space="0" w:color="auto"/>
              <w:bottom w:val="none" w:sz="6" w:space="0" w:color="auto"/>
              <w:right w:val="none" w:sz="6" w:space="0" w:color="auto"/>
            </w:tcBorders>
          </w:tcPr>
          <w:p w14:paraId="6995BF69"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Údržba, provoz a podpora/měsíčně </w:t>
            </w:r>
          </w:p>
        </w:tc>
        <w:tc>
          <w:tcPr>
            <w:tcW w:w="2330" w:type="dxa"/>
            <w:tcBorders>
              <w:top w:val="none" w:sz="6" w:space="0" w:color="auto"/>
              <w:left w:val="none" w:sz="6" w:space="0" w:color="auto"/>
              <w:bottom w:val="none" w:sz="6" w:space="0" w:color="auto"/>
              <w:right w:val="none" w:sz="6" w:space="0" w:color="auto"/>
            </w:tcBorders>
          </w:tcPr>
          <w:p w14:paraId="30DD0C04"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9 700 Kč </w:t>
            </w:r>
          </w:p>
        </w:tc>
        <w:tc>
          <w:tcPr>
            <w:tcW w:w="2330" w:type="dxa"/>
            <w:tcBorders>
              <w:top w:val="none" w:sz="6" w:space="0" w:color="auto"/>
              <w:left w:val="none" w:sz="6" w:space="0" w:color="auto"/>
              <w:bottom w:val="none" w:sz="6" w:space="0" w:color="auto"/>
              <w:right w:val="none" w:sz="6" w:space="0" w:color="auto"/>
            </w:tcBorders>
          </w:tcPr>
          <w:p w14:paraId="2B22CC5F"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2 037 Kč </w:t>
            </w:r>
          </w:p>
        </w:tc>
        <w:tc>
          <w:tcPr>
            <w:tcW w:w="2330" w:type="dxa"/>
            <w:tcBorders>
              <w:top w:val="none" w:sz="6" w:space="0" w:color="auto"/>
              <w:left w:val="none" w:sz="6" w:space="0" w:color="auto"/>
              <w:bottom w:val="none" w:sz="6" w:space="0" w:color="auto"/>
            </w:tcBorders>
          </w:tcPr>
          <w:p w14:paraId="710726F5"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11 737 Kč </w:t>
            </w:r>
          </w:p>
        </w:tc>
      </w:tr>
      <w:tr w:rsidR="006D71E3" w:rsidRPr="006D71E3" w14:paraId="68248A2A" w14:textId="77777777">
        <w:tblPrEx>
          <w:tblCellMar>
            <w:top w:w="0" w:type="dxa"/>
            <w:bottom w:w="0" w:type="dxa"/>
          </w:tblCellMar>
        </w:tblPrEx>
        <w:trPr>
          <w:trHeight w:val="110"/>
        </w:trPr>
        <w:tc>
          <w:tcPr>
            <w:tcW w:w="2330" w:type="dxa"/>
            <w:tcBorders>
              <w:top w:val="none" w:sz="6" w:space="0" w:color="auto"/>
              <w:bottom w:val="none" w:sz="6" w:space="0" w:color="auto"/>
              <w:right w:val="none" w:sz="6" w:space="0" w:color="auto"/>
            </w:tcBorders>
          </w:tcPr>
          <w:p w14:paraId="3DFEA84F"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Celkem 12 měsíců </w:t>
            </w:r>
          </w:p>
        </w:tc>
        <w:tc>
          <w:tcPr>
            <w:tcW w:w="2330" w:type="dxa"/>
            <w:tcBorders>
              <w:top w:val="none" w:sz="6" w:space="0" w:color="auto"/>
              <w:left w:val="none" w:sz="6" w:space="0" w:color="auto"/>
              <w:bottom w:val="none" w:sz="6" w:space="0" w:color="auto"/>
              <w:right w:val="none" w:sz="6" w:space="0" w:color="auto"/>
            </w:tcBorders>
          </w:tcPr>
          <w:p w14:paraId="6D8BA847"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116 400 Kč </w:t>
            </w:r>
          </w:p>
        </w:tc>
        <w:tc>
          <w:tcPr>
            <w:tcW w:w="2330" w:type="dxa"/>
            <w:tcBorders>
              <w:top w:val="none" w:sz="6" w:space="0" w:color="auto"/>
              <w:left w:val="none" w:sz="6" w:space="0" w:color="auto"/>
              <w:bottom w:val="none" w:sz="6" w:space="0" w:color="auto"/>
              <w:right w:val="none" w:sz="6" w:space="0" w:color="auto"/>
            </w:tcBorders>
          </w:tcPr>
          <w:p w14:paraId="21C393DF"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24 444 Kč </w:t>
            </w:r>
          </w:p>
        </w:tc>
        <w:tc>
          <w:tcPr>
            <w:tcW w:w="2330" w:type="dxa"/>
            <w:tcBorders>
              <w:top w:val="none" w:sz="6" w:space="0" w:color="auto"/>
              <w:left w:val="none" w:sz="6" w:space="0" w:color="auto"/>
              <w:bottom w:val="none" w:sz="6" w:space="0" w:color="auto"/>
            </w:tcBorders>
          </w:tcPr>
          <w:p w14:paraId="670C9106"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140 844 Kč </w:t>
            </w:r>
          </w:p>
        </w:tc>
      </w:tr>
    </w:tbl>
    <w:p w14:paraId="02BEAFD4" w14:textId="77777777" w:rsidR="006D71E3" w:rsidRPr="006D71E3" w:rsidRDefault="006D71E3">
      <w:pPr>
        <w:rPr>
          <w:rFonts w:ascii="Calibri" w:hAnsi="Calibri" w:cs="Calibri"/>
          <w:sz w:val="20"/>
          <w:szCs w:val="20"/>
        </w:rPr>
      </w:pPr>
    </w:p>
    <w:p w14:paraId="7C278E1C"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i/>
          <w:iCs/>
          <w:color w:val="000000"/>
          <w:kern w:val="0"/>
          <w:sz w:val="20"/>
          <w:szCs w:val="20"/>
        </w:rPr>
        <w:t xml:space="preserve">Pokud bude poskytnuta podpora nad rámec předplaceného rozsahu, který je stanoven výše, bude společností DYNATECH s.r.o. účtována hodinová sazba ve výši 1.900, - Kč bez DPH za 1 hodinu poskytnuté zákaznické, technické nebo metodické podpory. K této hodinové sazbě bude připočteno DPH. </w:t>
      </w:r>
    </w:p>
    <w:p w14:paraId="1483B426"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i/>
          <w:iCs/>
          <w:color w:val="000000"/>
          <w:kern w:val="0"/>
          <w:sz w:val="20"/>
          <w:szCs w:val="20"/>
        </w:rPr>
        <w:t xml:space="preserve">Podpora nad rámec rozsahu, který je stanoven výše, bude poskytnuta na základě odhadu pracnosti vypracovaného obchodní společností DYNATECH s.r.o., který schválí odpovědná osoba určená druhou smluvní stranou. </w:t>
      </w:r>
    </w:p>
    <w:p w14:paraId="1BA2D678"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Doba poskytování služby 1, 3 a 4. </w:t>
      </w:r>
    </w:p>
    <w:p w14:paraId="510A8A11"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Služby budou poskytovány na dobu určitou a to 12 měsíců od uzavření smluvního vztahu s výpovědní lhůtou 6 měsíců, která začne běžet prvním dnem následujícího kalendářního měsíce po doručení výpovědi druhé smluvní straně. Platnost smlouvy se automaticky prodlužuje o další rok v případě, že do 1 měsíce před uplynutím lhůty, na níž byla uzavřena </w:t>
      </w:r>
      <w:proofErr w:type="gramStart"/>
      <w:r w:rsidRPr="006D71E3">
        <w:rPr>
          <w:rFonts w:ascii="Calibri" w:hAnsi="Calibri" w:cs="Calibri"/>
          <w:color w:val="000000"/>
          <w:kern w:val="0"/>
          <w:sz w:val="20"/>
          <w:szCs w:val="20"/>
        </w:rPr>
        <w:t>nevyjádří</w:t>
      </w:r>
      <w:proofErr w:type="gramEnd"/>
      <w:r w:rsidRPr="006D71E3">
        <w:rPr>
          <w:rFonts w:ascii="Calibri" w:hAnsi="Calibri" w:cs="Calibri"/>
          <w:color w:val="000000"/>
          <w:kern w:val="0"/>
          <w:sz w:val="20"/>
          <w:szCs w:val="20"/>
        </w:rPr>
        <w:t xml:space="preserve"> písemně smluvní strana vůli platnost smlouvy neprodlužovat. Smluvní strany se také dohodly, že v každém dalším roce trvání této smlouvy bude odměna za služby zvyšována o průměrnou roční míru inflace uveřejněnou Českým statistickým úřadem, či jakýmkoliv jiným úřadem ČR tento nahrazujícím, za uplynulý kalendářní rok. Zvýšení nabude účinnosti doručením písemného oznámení Poskytovatele Objednateli, které bude obsahovat novou výši odměny. </w:t>
      </w:r>
    </w:p>
    <w:p w14:paraId="1C5F8B2A"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Objednatel je povinen zaplatit Poskytovateli odměnu na základě příslušného daňového dokladu </w:t>
      </w:r>
    </w:p>
    <w:p w14:paraId="4ACAAB6C" w14:textId="5A7607BD"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color w:val="000000"/>
          <w:kern w:val="0"/>
          <w:sz w:val="20"/>
          <w:szCs w:val="20"/>
        </w:rPr>
        <w:t>(faktury) vystaveného Poskytovatelem bez zbytečného odkladu Zasláním předávacího protokolu Objednateli po dokončení služeb implementace je zahájen proces akceptace služeb implementace. Objednatel má možnost ve lhůtě 2 kalendářních týdnů upozornit na zjištěné vady služeb implementace. Pokud Objednatel tak neučiní, považují se služby implementace za akceptované a předané bez vad. Pokud Objednatel služby implementace neakceptuje, je povinen vystavit protokol o odmítnutí akceptace služeb implementace se specifikací důvodů odmítnutí. Pokud bude příčina na straně Poskytovatele, zajistí Poskytovatel, aby služby implementace odpovídaly požadavkům uvedených v této smlouvě</w:t>
      </w:r>
      <w:r w:rsidRPr="006D71E3">
        <w:rPr>
          <w:rFonts w:ascii="Calibri" w:hAnsi="Calibri" w:cs="Calibri"/>
          <w:color w:val="000000"/>
          <w:kern w:val="0"/>
          <w:sz w:val="20"/>
          <w:szCs w:val="20"/>
        </w:rPr>
        <w:t>.</w:t>
      </w:r>
    </w:p>
    <w:p w14:paraId="5C1F2C31" w14:textId="77777777" w:rsidR="006D71E3" w:rsidRPr="006D71E3" w:rsidRDefault="006D71E3" w:rsidP="006D71E3">
      <w:pPr>
        <w:pageBreakBefore/>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lastRenderedPageBreak/>
        <w:t xml:space="preserve">po akceptaci služeb implementace ve smyslu čl. V, odstavce 1. Splatnost daňového dokladu (faktury) činí 14 kalendářních dnů ode dne doručení daňového dokladu (faktury) Objednateli. </w:t>
      </w:r>
    </w:p>
    <w:p w14:paraId="32EF4B76"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DPH bude dopočítána a uhrazena ve výši dle právních předpisů účinných ke dni uskutečnění zdanitelného plnění. </w:t>
      </w:r>
    </w:p>
    <w:p w14:paraId="212ECAC8" w14:textId="77777777" w:rsidR="006D71E3" w:rsidRPr="006D71E3" w:rsidRDefault="006D71E3" w:rsidP="006D71E3">
      <w:pPr>
        <w:numPr>
          <w:ilvl w:val="1"/>
          <w:numId w:val="6"/>
        </w:numPr>
        <w:autoSpaceDE w:val="0"/>
        <w:autoSpaceDN w:val="0"/>
        <w:adjustRightInd w:val="0"/>
        <w:spacing w:after="18" w:line="240" w:lineRule="auto"/>
        <w:ind w:hanging="360"/>
        <w:rPr>
          <w:rFonts w:ascii="Calibri" w:hAnsi="Calibri" w:cs="Calibri"/>
          <w:kern w:val="0"/>
          <w:sz w:val="20"/>
          <w:szCs w:val="20"/>
        </w:rPr>
      </w:pPr>
      <w:r w:rsidRPr="006D71E3">
        <w:rPr>
          <w:rFonts w:ascii="Calibri" w:hAnsi="Calibri" w:cs="Calibri"/>
          <w:kern w:val="0"/>
          <w:sz w:val="20"/>
          <w:szCs w:val="20"/>
        </w:rPr>
        <w:t xml:space="preserve">Faktura musí obsahovat: náležitosti daňového dokladu dle zákona č. 235/2004 Sb., o dani z přidané hodnoty, ve znění pozdějších předpisů, </w:t>
      </w:r>
    </w:p>
    <w:p w14:paraId="1B261720" w14:textId="77777777" w:rsidR="006D71E3" w:rsidRPr="006D71E3" w:rsidRDefault="006D71E3" w:rsidP="006D71E3">
      <w:pPr>
        <w:numPr>
          <w:ilvl w:val="1"/>
          <w:numId w:val="6"/>
        </w:numPr>
        <w:autoSpaceDE w:val="0"/>
        <w:autoSpaceDN w:val="0"/>
        <w:adjustRightInd w:val="0"/>
        <w:spacing w:after="18" w:line="240" w:lineRule="auto"/>
        <w:ind w:hanging="360"/>
        <w:rPr>
          <w:rFonts w:ascii="Calibri" w:hAnsi="Calibri" w:cs="Calibri"/>
          <w:kern w:val="0"/>
          <w:sz w:val="20"/>
          <w:szCs w:val="20"/>
        </w:rPr>
      </w:pPr>
      <w:r w:rsidRPr="006D71E3">
        <w:rPr>
          <w:rFonts w:ascii="Calibri" w:hAnsi="Calibri" w:cs="Calibri"/>
          <w:kern w:val="0"/>
          <w:sz w:val="20"/>
          <w:szCs w:val="20"/>
        </w:rPr>
        <w:t xml:space="preserve">číslo a název Smlouvy a označení případných dodatků Smlouvy, </w:t>
      </w:r>
    </w:p>
    <w:p w14:paraId="1F51F082" w14:textId="77777777" w:rsidR="006D71E3" w:rsidRPr="006D71E3" w:rsidRDefault="006D71E3" w:rsidP="006D71E3">
      <w:pPr>
        <w:numPr>
          <w:ilvl w:val="1"/>
          <w:numId w:val="6"/>
        </w:numPr>
        <w:autoSpaceDE w:val="0"/>
        <w:autoSpaceDN w:val="0"/>
        <w:adjustRightInd w:val="0"/>
        <w:spacing w:after="0" w:line="240" w:lineRule="auto"/>
        <w:ind w:hanging="360"/>
        <w:rPr>
          <w:rFonts w:ascii="Calibri" w:hAnsi="Calibri" w:cs="Calibri"/>
          <w:kern w:val="0"/>
          <w:sz w:val="20"/>
          <w:szCs w:val="20"/>
        </w:rPr>
      </w:pPr>
      <w:r w:rsidRPr="006D71E3">
        <w:rPr>
          <w:rFonts w:ascii="Calibri" w:hAnsi="Calibri" w:cs="Calibri"/>
          <w:kern w:val="0"/>
          <w:sz w:val="20"/>
          <w:szCs w:val="20"/>
        </w:rPr>
        <w:t xml:space="preserve">popis plnění Poskytovatele. </w:t>
      </w:r>
    </w:p>
    <w:p w14:paraId="25846273" w14:textId="77777777" w:rsidR="006D71E3" w:rsidRPr="006D71E3" w:rsidRDefault="006D71E3" w:rsidP="006D71E3">
      <w:pPr>
        <w:numPr>
          <w:ilvl w:val="1"/>
          <w:numId w:val="6"/>
        </w:numPr>
        <w:autoSpaceDE w:val="0"/>
        <w:autoSpaceDN w:val="0"/>
        <w:adjustRightInd w:val="0"/>
        <w:spacing w:after="0" w:line="240" w:lineRule="auto"/>
        <w:ind w:hanging="360"/>
        <w:rPr>
          <w:rFonts w:ascii="Calibri" w:hAnsi="Calibri" w:cs="Calibri"/>
          <w:kern w:val="0"/>
          <w:sz w:val="20"/>
          <w:szCs w:val="20"/>
        </w:rPr>
      </w:pPr>
    </w:p>
    <w:p w14:paraId="62C1AA98" w14:textId="77777777" w:rsidR="006D71E3" w:rsidRPr="006D71E3" w:rsidRDefault="006D71E3" w:rsidP="006D71E3">
      <w:pPr>
        <w:numPr>
          <w:ilvl w:val="1"/>
          <w:numId w:val="6"/>
        </w:numPr>
        <w:autoSpaceDE w:val="0"/>
        <w:autoSpaceDN w:val="0"/>
        <w:adjustRightInd w:val="0"/>
        <w:spacing w:after="0" w:line="240" w:lineRule="auto"/>
        <w:ind w:left="360" w:hanging="360"/>
        <w:rPr>
          <w:rFonts w:ascii="Calibri" w:hAnsi="Calibri" w:cs="Calibri"/>
          <w:kern w:val="0"/>
          <w:sz w:val="20"/>
          <w:szCs w:val="20"/>
        </w:rPr>
      </w:pPr>
      <w:r w:rsidRPr="006D71E3">
        <w:rPr>
          <w:rFonts w:ascii="Calibri" w:hAnsi="Calibri" w:cs="Calibri"/>
          <w:kern w:val="0"/>
          <w:sz w:val="20"/>
          <w:szCs w:val="20"/>
        </w:rPr>
        <w:t xml:space="preserve">Fakturu, která neobsahuje tyto náležitosti nebo jsou-li uvedeny nesprávně či neúplně, popř. obsahuje-li jiné chyby či nedostatky, je Objednatel oprávněn do konce doby splatnosti vrátit. Po doručení řádně vystavené faktury začne běžet znovu sjednaná doba splatnosti. </w:t>
      </w:r>
    </w:p>
    <w:p w14:paraId="3ABA7ABC" w14:textId="77777777" w:rsidR="006D71E3" w:rsidRPr="006D71E3" w:rsidRDefault="006D71E3" w:rsidP="006D71E3">
      <w:pPr>
        <w:numPr>
          <w:ilvl w:val="1"/>
          <w:numId w:val="6"/>
        </w:numPr>
        <w:autoSpaceDE w:val="0"/>
        <w:autoSpaceDN w:val="0"/>
        <w:adjustRightInd w:val="0"/>
        <w:spacing w:after="0" w:line="240" w:lineRule="auto"/>
        <w:ind w:left="360" w:hanging="360"/>
        <w:rPr>
          <w:rFonts w:ascii="Calibri" w:hAnsi="Calibri" w:cs="Calibri"/>
          <w:kern w:val="0"/>
          <w:sz w:val="20"/>
          <w:szCs w:val="20"/>
        </w:rPr>
      </w:pPr>
      <w:r w:rsidRPr="006D71E3">
        <w:rPr>
          <w:rFonts w:ascii="Calibri" w:hAnsi="Calibri" w:cs="Calibri"/>
          <w:kern w:val="0"/>
          <w:sz w:val="20"/>
          <w:szCs w:val="20"/>
        </w:rPr>
        <w:t xml:space="preserve">Bude-li k datu uskutečnění zdanitelného plnění Poskytovatel nespolehlivým plátcem ve smyslu § 106a zákona č. 235/2004 Sb., o dani z přidané hodnoty, ve znění pozdějších předpisů (dále jen </w:t>
      </w:r>
      <w:proofErr w:type="spellStart"/>
      <w:r w:rsidRPr="006D71E3">
        <w:rPr>
          <w:rFonts w:ascii="Calibri" w:hAnsi="Calibri" w:cs="Calibri"/>
          <w:kern w:val="0"/>
          <w:sz w:val="20"/>
          <w:szCs w:val="20"/>
        </w:rPr>
        <w:t>ZoDPH</w:t>
      </w:r>
      <w:proofErr w:type="spellEnd"/>
      <w:r w:rsidRPr="006D71E3">
        <w:rPr>
          <w:rFonts w:ascii="Calibri" w:hAnsi="Calibri" w:cs="Calibri"/>
          <w:kern w:val="0"/>
          <w:sz w:val="20"/>
          <w:szCs w:val="20"/>
        </w:rPr>
        <w:t xml:space="preserve">), nebo bude-li na faktuře uveden bankovní účet nezveřejněný v souladu s § 109 odst. 2 písm. c) </w:t>
      </w:r>
      <w:proofErr w:type="spellStart"/>
      <w:r w:rsidRPr="006D71E3">
        <w:rPr>
          <w:rFonts w:ascii="Calibri" w:hAnsi="Calibri" w:cs="Calibri"/>
          <w:kern w:val="0"/>
          <w:sz w:val="20"/>
          <w:szCs w:val="20"/>
        </w:rPr>
        <w:t>ZoDPH</w:t>
      </w:r>
      <w:proofErr w:type="spellEnd"/>
      <w:r w:rsidRPr="006D71E3">
        <w:rPr>
          <w:rFonts w:ascii="Calibri" w:hAnsi="Calibri" w:cs="Calibri"/>
          <w:kern w:val="0"/>
          <w:sz w:val="20"/>
          <w:szCs w:val="20"/>
        </w:rPr>
        <w:t xml:space="preserve">, je Objednatel oprávněn postupovat dle § 109a </w:t>
      </w:r>
      <w:proofErr w:type="spellStart"/>
      <w:r w:rsidRPr="006D71E3">
        <w:rPr>
          <w:rFonts w:ascii="Calibri" w:hAnsi="Calibri" w:cs="Calibri"/>
          <w:kern w:val="0"/>
          <w:sz w:val="20"/>
          <w:szCs w:val="20"/>
        </w:rPr>
        <w:t>ZoDPH</w:t>
      </w:r>
      <w:proofErr w:type="spellEnd"/>
      <w:r w:rsidRPr="006D71E3">
        <w:rPr>
          <w:rFonts w:ascii="Calibri" w:hAnsi="Calibri" w:cs="Calibri"/>
          <w:kern w:val="0"/>
          <w:sz w:val="20"/>
          <w:szCs w:val="20"/>
        </w:rPr>
        <w:t xml:space="preserve">, tj. uhradit část Ceny (víceprací) odpovídající výši vypočtené daně z přidané hodnoty přímo na bankovní účet příslušného správce daně (jako úhradu daně za poskytovatele zdanitelného plnění z takového zdanitelného plnění), přičemž se tímto považuje daná část Ceny za uhrazenou. </w:t>
      </w:r>
    </w:p>
    <w:p w14:paraId="1F035F42"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5F6A1C19"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Platnost nabídky: 13.11.2023 </w:t>
      </w:r>
    </w:p>
    <w:p w14:paraId="04C4E2F9"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S úctou, </w:t>
      </w:r>
    </w:p>
    <w:p w14:paraId="10440F8D"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b/>
          <w:bCs/>
          <w:kern w:val="0"/>
          <w:sz w:val="20"/>
          <w:szCs w:val="20"/>
        </w:rPr>
        <w:t xml:space="preserve">DYNATECH s.r.o. </w:t>
      </w:r>
    </w:p>
    <w:p w14:paraId="785C7C34"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74BA60F8" w14:textId="7D13B6E5"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Právník </w:t>
      </w:r>
    </w:p>
    <w:p w14:paraId="4C670714" w14:textId="0F15D16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Specialista digitální transformace veřejné správy </w:t>
      </w:r>
    </w:p>
    <w:p w14:paraId="27877185" w14:textId="77777777" w:rsidR="006D71E3" w:rsidRPr="006D71E3" w:rsidRDefault="006D71E3" w:rsidP="006D71E3">
      <w:pPr>
        <w:pageBreakBefore/>
        <w:autoSpaceDE w:val="0"/>
        <w:autoSpaceDN w:val="0"/>
        <w:adjustRightInd w:val="0"/>
        <w:spacing w:after="0" w:line="240" w:lineRule="auto"/>
        <w:rPr>
          <w:rFonts w:ascii="Calibri" w:hAnsi="Calibri" w:cs="Calibri"/>
          <w:kern w:val="0"/>
          <w:sz w:val="20"/>
          <w:szCs w:val="20"/>
        </w:rPr>
      </w:pPr>
      <w:r w:rsidRPr="006D71E3">
        <w:rPr>
          <w:rFonts w:ascii="Calibri" w:hAnsi="Calibri" w:cs="Calibri"/>
          <w:b/>
          <w:bCs/>
          <w:kern w:val="0"/>
          <w:sz w:val="20"/>
          <w:szCs w:val="20"/>
        </w:rPr>
        <w:lastRenderedPageBreak/>
        <w:t xml:space="preserve">Příloha č. 1 Služby implementace k IS CROSEUS® </w:t>
      </w:r>
    </w:p>
    <w:p w14:paraId="121ABA56"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b/>
          <w:bCs/>
          <w:kern w:val="0"/>
          <w:sz w:val="20"/>
          <w:szCs w:val="20"/>
        </w:rPr>
        <w:t xml:space="preserve">Předpoklady užívání služeb IS CROSEUS® </w:t>
      </w:r>
    </w:p>
    <w:p w14:paraId="266B1F81" w14:textId="77777777" w:rsidR="006D71E3" w:rsidRPr="006D71E3" w:rsidRDefault="006D71E3" w:rsidP="006D71E3">
      <w:pPr>
        <w:numPr>
          <w:ilvl w:val="0"/>
          <w:numId w:val="7"/>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Klientské stanice uživatelů musí mít přístup na internet minimálně 2 Mbit/s. </w:t>
      </w:r>
    </w:p>
    <w:p w14:paraId="76A45C6B" w14:textId="77777777" w:rsidR="006D71E3" w:rsidRPr="006D71E3" w:rsidRDefault="006D71E3" w:rsidP="006D71E3">
      <w:pPr>
        <w:numPr>
          <w:ilvl w:val="0"/>
          <w:numId w:val="7"/>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Zadavatel dokladů musí mít pro případ digitalizace dokladů přístup ke skeneru. </w:t>
      </w:r>
    </w:p>
    <w:p w14:paraId="1A7A7CCB" w14:textId="77777777" w:rsidR="006D71E3" w:rsidRPr="006D71E3" w:rsidRDefault="006D71E3" w:rsidP="006D71E3">
      <w:pPr>
        <w:numPr>
          <w:ilvl w:val="0"/>
          <w:numId w:val="7"/>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Uživatelé musí být obeznámení se svými povinnostmi vyplývajícími z vnitřních předpisů a zákonné úpravy v rozsahu splnění kvalifikačních předpokladů dle §5 odst. 1, písm. b) zákona č. 320/2001 Sb., o finanční kontrole. </w:t>
      </w:r>
      <w:r w:rsidRPr="006D71E3">
        <w:rPr>
          <w:rFonts w:ascii="Calibri" w:hAnsi="Calibri" w:cs="Calibri"/>
          <w:b/>
          <w:bCs/>
          <w:kern w:val="0"/>
          <w:sz w:val="20"/>
          <w:szCs w:val="20"/>
        </w:rPr>
        <w:t xml:space="preserve">1.1.1 </w:t>
      </w:r>
      <w:r w:rsidRPr="006D71E3">
        <w:rPr>
          <w:rFonts w:ascii="Calibri" w:hAnsi="Calibri" w:cs="Calibri"/>
          <w:kern w:val="0"/>
          <w:sz w:val="20"/>
          <w:szCs w:val="20"/>
        </w:rPr>
        <w:t xml:space="preserve">Minimální konfigurace klientské stanice </w:t>
      </w:r>
    </w:p>
    <w:p w14:paraId="68123E67" w14:textId="77777777" w:rsidR="006D71E3" w:rsidRPr="006D71E3" w:rsidRDefault="006D71E3" w:rsidP="006D71E3">
      <w:pPr>
        <w:numPr>
          <w:ilvl w:val="0"/>
          <w:numId w:val="7"/>
        </w:numPr>
        <w:autoSpaceDE w:val="0"/>
        <w:autoSpaceDN w:val="0"/>
        <w:adjustRightInd w:val="0"/>
        <w:spacing w:after="0" w:line="240" w:lineRule="auto"/>
        <w:rPr>
          <w:rFonts w:ascii="Calibri" w:hAnsi="Calibri" w:cs="Calibri"/>
          <w:kern w:val="0"/>
          <w:sz w:val="20"/>
          <w:szCs w:val="20"/>
        </w:rPr>
      </w:pPr>
    </w:p>
    <w:p w14:paraId="1EF0DA46"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18F275A4" w14:textId="77777777" w:rsidR="006D71E3" w:rsidRPr="006D71E3" w:rsidRDefault="006D71E3" w:rsidP="006D71E3">
      <w:pPr>
        <w:numPr>
          <w:ilvl w:val="0"/>
          <w:numId w:val="8"/>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HW konfigurace: 2GHz CPU, 2 GB RAM, 100 Mbit/s NIC, rozlišení alespoň 1024x768, propustnost sítě ve směru k aplikačnímu serveru alespoň 2 Mbit/s. </w:t>
      </w:r>
    </w:p>
    <w:p w14:paraId="2897CFA0" w14:textId="77777777" w:rsidR="006D71E3" w:rsidRPr="006D71E3" w:rsidRDefault="006D71E3" w:rsidP="006D71E3">
      <w:pPr>
        <w:numPr>
          <w:ilvl w:val="0"/>
          <w:numId w:val="8"/>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Microsoft Windows 10 a vyšší. </w:t>
      </w:r>
    </w:p>
    <w:p w14:paraId="6304E5B2" w14:textId="77777777" w:rsidR="006D71E3" w:rsidRPr="006D71E3" w:rsidRDefault="006D71E3" w:rsidP="006D71E3">
      <w:pPr>
        <w:numPr>
          <w:ilvl w:val="0"/>
          <w:numId w:val="8"/>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Moderní internetový prohlížeč (Microsoft </w:t>
      </w:r>
      <w:proofErr w:type="spellStart"/>
      <w:r w:rsidRPr="006D71E3">
        <w:rPr>
          <w:rFonts w:ascii="Calibri" w:hAnsi="Calibri" w:cs="Calibri"/>
          <w:kern w:val="0"/>
          <w:sz w:val="20"/>
          <w:szCs w:val="20"/>
        </w:rPr>
        <w:t>Edge</w:t>
      </w:r>
      <w:proofErr w:type="spellEnd"/>
      <w:r w:rsidRPr="006D71E3">
        <w:rPr>
          <w:rFonts w:ascii="Calibri" w:hAnsi="Calibri" w:cs="Calibri"/>
          <w:kern w:val="0"/>
          <w:sz w:val="20"/>
          <w:szCs w:val="20"/>
        </w:rPr>
        <w:t xml:space="preserve">). </w:t>
      </w:r>
    </w:p>
    <w:p w14:paraId="4DECBCD3"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0E14B85B"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b/>
          <w:bCs/>
          <w:kern w:val="0"/>
          <w:sz w:val="20"/>
          <w:szCs w:val="20"/>
        </w:rPr>
        <w:t xml:space="preserve">Provoz IS CROSEUS® </w:t>
      </w:r>
    </w:p>
    <w:p w14:paraId="4BF13C65"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Poskytovatel zajišťuje provoz těchto modulů z hostingového centra, s výjimkou jejich pravidelné údržby, v režimu 5/10. </w:t>
      </w:r>
    </w:p>
    <w:p w14:paraId="00A6D785"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b/>
          <w:bCs/>
          <w:kern w:val="0"/>
          <w:sz w:val="20"/>
          <w:szCs w:val="20"/>
        </w:rPr>
        <w:t xml:space="preserve">IS CROSEUS® zahrnuje tyto moduly: </w:t>
      </w:r>
    </w:p>
    <w:p w14:paraId="1BA6C137" w14:textId="77777777" w:rsidR="006D71E3" w:rsidRPr="006D71E3" w:rsidRDefault="006D71E3" w:rsidP="006D71E3">
      <w:pPr>
        <w:numPr>
          <w:ilvl w:val="0"/>
          <w:numId w:val="9"/>
        </w:numPr>
        <w:autoSpaceDE w:val="0"/>
        <w:autoSpaceDN w:val="0"/>
        <w:adjustRightInd w:val="0"/>
        <w:spacing w:after="18" w:line="240" w:lineRule="auto"/>
        <w:ind w:left="360" w:hanging="360"/>
        <w:rPr>
          <w:rFonts w:ascii="Calibri" w:hAnsi="Calibri" w:cs="Calibri"/>
          <w:kern w:val="0"/>
          <w:sz w:val="20"/>
          <w:szCs w:val="20"/>
        </w:rPr>
      </w:pPr>
      <w:r w:rsidRPr="006D71E3">
        <w:rPr>
          <w:rFonts w:ascii="Calibri" w:hAnsi="Calibri" w:cs="Calibri"/>
          <w:kern w:val="0"/>
          <w:sz w:val="20"/>
          <w:szCs w:val="20"/>
        </w:rPr>
        <w:t xml:space="preserve">Finanční kontrola </w:t>
      </w:r>
    </w:p>
    <w:p w14:paraId="674F21C9" w14:textId="77777777" w:rsidR="006D71E3" w:rsidRPr="006D71E3" w:rsidRDefault="006D71E3" w:rsidP="006D71E3">
      <w:pPr>
        <w:numPr>
          <w:ilvl w:val="0"/>
          <w:numId w:val="9"/>
        </w:numPr>
        <w:autoSpaceDE w:val="0"/>
        <w:autoSpaceDN w:val="0"/>
        <w:adjustRightInd w:val="0"/>
        <w:spacing w:after="18" w:line="240" w:lineRule="auto"/>
        <w:ind w:left="360" w:hanging="360"/>
        <w:rPr>
          <w:rFonts w:ascii="Calibri" w:hAnsi="Calibri" w:cs="Calibri"/>
          <w:kern w:val="0"/>
          <w:sz w:val="20"/>
          <w:szCs w:val="20"/>
        </w:rPr>
      </w:pPr>
      <w:r w:rsidRPr="006D71E3">
        <w:rPr>
          <w:rFonts w:ascii="Calibri" w:hAnsi="Calibri" w:cs="Calibri"/>
          <w:kern w:val="0"/>
          <w:sz w:val="20"/>
          <w:szCs w:val="20"/>
        </w:rPr>
        <w:t xml:space="preserve">Registr smluv </w:t>
      </w:r>
    </w:p>
    <w:p w14:paraId="61D01A4F" w14:textId="77777777" w:rsidR="006D71E3" w:rsidRPr="006D71E3" w:rsidRDefault="006D71E3" w:rsidP="006D71E3">
      <w:pPr>
        <w:numPr>
          <w:ilvl w:val="0"/>
          <w:numId w:val="9"/>
        </w:numPr>
        <w:autoSpaceDE w:val="0"/>
        <w:autoSpaceDN w:val="0"/>
        <w:adjustRightInd w:val="0"/>
        <w:spacing w:after="0" w:line="240" w:lineRule="auto"/>
        <w:ind w:left="360" w:hanging="360"/>
        <w:rPr>
          <w:rFonts w:ascii="Calibri" w:hAnsi="Calibri" w:cs="Calibri"/>
          <w:kern w:val="0"/>
          <w:sz w:val="20"/>
          <w:szCs w:val="20"/>
        </w:rPr>
      </w:pPr>
      <w:r w:rsidRPr="006D71E3">
        <w:rPr>
          <w:rFonts w:ascii="Calibri" w:hAnsi="Calibri" w:cs="Calibri"/>
          <w:kern w:val="0"/>
          <w:sz w:val="20"/>
          <w:szCs w:val="20"/>
        </w:rPr>
        <w:t xml:space="preserve">Archiv </w:t>
      </w:r>
    </w:p>
    <w:p w14:paraId="078E3BA5"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7692CE7A"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b/>
          <w:bCs/>
          <w:kern w:val="0"/>
          <w:sz w:val="20"/>
          <w:szCs w:val="20"/>
        </w:rPr>
        <w:t xml:space="preserve">Finanční kontrola </w:t>
      </w:r>
    </w:p>
    <w:p w14:paraId="79081E98"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Modul </w:t>
      </w:r>
      <w:proofErr w:type="gramStart"/>
      <w:r w:rsidRPr="006D71E3">
        <w:rPr>
          <w:rFonts w:ascii="Calibri" w:hAnsi="Calibri" w:cs="Calibri"/>
          <w:kern w:val="0"/>
          <w:sz w:val="20"/>
          <w:szCs w:val="20"/>
        </w:rPr>
        <w:t>slouží</w:t>
      </w:r>
      <w:proofErr w:type="gramEnd"/>
      <w:r w:rsidRPr="006D71E3">
        <w:rPr>
          <w:rFonts w:ascii="Calibri" w:hAnsi="Calibri" w:cs="Calibri"/>
          <w:kern w:val="0"/>
          <w:sz w:val="20"/>
          <w:szCs w:val="20"/>
        </w:rPr>
        <w:t xml:space="preserve"> pro splnění povinností při nakládání s veřejnými prostředky zejména pro schvalování finančních a majetkových operací dle zákona č. 320/2001 Sb. O finanční kontrole ve veřejné správě. </w:t>
      </w:r>
    </w:p>
    <w:p w14:paraId="478AAC39"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Modul automaticky </w:t>
      </w:r>
      <w:proofErr w:type="gramStart"/>
      <w:r w:rsidRPr="006D71E3">
        <w:rPr>
          <w:rFonts w:ascii="Calibri" w:hAnsi="Calibri" w:cs="Calibri"/>
          <w:kern w:val="0"/>
          <w:sz w:val="20"/>
          <w:szCs w:val="20"/>
        </w:rPr>
        <w:t>vytváří</w:t>
      </w:r>
      <w:proofErr w:type="gramEnd"/>
      <w:r w:rsidRPr="006D71E3">
        <w:rPr>
          <w:rFonts w:ascii="Calibri" w:hAnsi="Calibri" w:cs="Calibri"/>
          <w:kern w:val="0"/>
          <w:sz w:val="20"/>
          <w:szCs w:val="20"/>
        </w:rPr>
        <w:t xml:space="preserve"> záznam (auditní stopu) o provedení předběžné finanční kontroly před a po vzniku závazku i nároku, nebo provedení průběžné a následné finanční kontroly k jednotlivým operacím. </w:t>
      </w:r>
    </w:p>
    <w:p w14:paraId="2DFDDC0D"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Výsledkem schvalování je doklad o provedení finanční kontroly a detailní záznam obsahující časovou posloupnost provedených kroků a všechny příslušné dokumenty formou přílohy ve formátu PDF/A. </w:t>
      </w:r>
    </w:p>
    <w:p w14:paraId="7EEFB44A"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Legislativní rámec: </w:t>
      </w:r>
    </w:p>
    <w:p w14:paraId="4CE4655B" w14:textId="77777777" w:rsidR="006D71E3" w:rsidRPr="006D71E3" w:rsidRDefault="006D71E3" w:rsidP="006D71E3">
      <w:pPr>
        <w:numPr>
          <w:ilvl w:val="0"/>
          <w:numId w:val="10"/>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Zákon č. 320/2001 Sb. o finanční kontrole ve veřejné správě a o změně některých zákonů (zákon o finanční kontrole). </w:t>
      </w:r>
    </w:p>
    <w:p w14:paraId="7111323E" w14:textId="77777777" w:rsidR="006D71E3" w:rsidRPr="006D71E3" w:rsidRDefault="006D71E3" w:rsidP="006D71E3">
      <w:pPr>
        <w:numPr>
          <w:ilvl w:val="0"/>
          <w:numId w:val="10"/>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Vyhláška č. 416/2004 Sb., kterou se provádí zákon č. 320/2001 Sb. o finanční kontrole. </w:t>
      </w:r>
    </w:p>
    <w:p w14:paraId="3BC15ABA" w14:textId="77777777" w:rsidR="006D71E3" w:rsidRPr="006D71E3" w:rsidRDefault="006D71E3" w:rsidP="006D71E3">
      <w:pPr>
        <w:numPr>
          <w:ilvl w:val="0"/>
          <w:numId w:val="10"/>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Metodické pokyny Centrální harmonizační jednotky Ministerstva financí. </w:t>
      </w:r>
    </w:p>
    <w:p w14:paraId="03C2621F" w14:textId="77777777" w:rsidR="006D71E3" w:rsidRPr="006D71E3" w:rsidRDefault="006D71E3" w:rsidP="006D71E3">
      <w:pPr>
        <w:numPr>
          <w:ilvl w:val="0"/>
          <w:numId w:val="10"/>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Průkaznost účetních záznamů v souladu s § 33a zákona č. 563/1991 Sb., o účetnictví. </w:t>
      </w:r>
    </w:p>
    <w:p w14:paraId="533AFCDA" w14:textId="77777777" w:rsidR="006D71E3" w:rsidRPr="006D71E3" w:rsidRDefault="006D71E3" w:rsidP="006D71E3">
      <w:pPr>
        <w:numPr>
          <w:ilvl w:val="0"/>
          <w:numId w:val="10"/>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Zákon č. 418/2011 Sb. o trestní odpovědnosti právnických osob a řízení proti nim. </w:t>
      </w:r>
    </w:p>
    <w:p w14:paraId="2EFCECAB" w14:textId="77777777" w:rsidR="006D71E3" w:rsidRPr="006D71E3" w:rsidRDefault="006D71E3" w:rsidP="006D71E3">
      <w:pPr>
        <w:pageBreakBefore/>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lastRenderedPageBreak/>
        <w:t xml:space="preserve">Modul obsahuje tyto základní kontrolní mechanismy (algoritmicky identifikovatelná rizika) </w:t>
      </w:r>
    </w:p>
    <w:p w14:paraId="381018D0" w14:textId="77777777" w:rsidR="006D71E3" w:rsidRPr="006D71E3" w:rsidRDefault="006D71E3" w:rsidP="006D71E3">
      <w:pPr>
        <w:numPr>
          <w:ilvl w:val="0"/>
          <w:numId w:val="11"/>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Soulad časového období. </w:t>
      </w:r>
    </w:p>
    <w:p w14:paraId="5C94C258" w14:textId="77777777" w:rsidR="006D71E3" w:rsidRPr="006D71E3" w:rsidRDefault="006D71E3" w:rsidP="006D71E3">
      <w:pPr>
        <w:numPr>
          <w:ilvl w:val="0"/>
          <w:numId w:val="11"/>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Soulad chronologie řídící kontroly. </w:t>
      </w:r>
    </w:p>
    <w:p w14:paraId="51F0A18E" w14:textId="77777777" w:rsidR="006D71E3" w:rsidRPr="006D71E3" w:rsidRDefault="006D71E3" w:rsidP="006D71E3">
      <w:pPr>
        <w:numPr>
          <w:ilvl w:val="0"/>
          <w:numId w:val="11"/>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Soulad finanční výše. </w:t>
      </w:r>
    </w:p>
    <w:p w14:paraId="17729A88" w14:textId="77777777" w:rsidR="006D71E3" w:rsidRPr="006D71E3" w:rsidRDefault="006D71E3" w:rsidP="006D71E3">
      <w:pPr>
        <w:numPr>
          <w:ilvl w:val="0"/>
          <w:numId w:val="11"/>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Soulad subjektů. </w:t>
      </w:r>
    </w:p>
    <w:p w14:paraId="229F13FF" w14:textId="77777777" w:rsidR="006D71E3" w:rsidRPr="006D71E3" w:rsidRDefault="006D71E3" w:rsidP="006D71E3">
      <w:pPr>
        <w:numPr>
          <w:ilvl w:val="0"/>
          <w:numId w:val="11"/>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Soulad finančního krytí. </w:t>
      </w:r>
    </w:p>
    <w:p w14:paraId="4BCEE724" w14:textId="77777777" w:rsidR="006D71E3" w:rsidRPr="006D71E3" w:rsidRDefault="006D71E3" w:rsidP="006D71E3">
      <w:pPr>
        <w:numPr>
          <w:ilvl w:val="0"/>
          <w:numId w:val="11"/>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Shoda položek věcného plnění, finančního krytí a předkontace s celkovou částkou. </w:t>
      </w:r>
    </w:p>
    <w:p w14:paraId="5B86312F" w14:textId="77777777" w:rsidR="006D71E3" w:rsidRPr="006D71E3" w:rsidRDefault="006D71E3" w:rsidP="006D71E3">
      <w:pPr>
        <w:numPr>
          <w:ilvl w:val="0"/>
          <w:numId w:val="11"/>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Kontrola obsazení rolí s právem rozhodnutí. </w:t>
      </w:r>
    </w:p>
    <w:p w14:paraId="4619C180" w14:textId="77777777" w:rsidR="006D71E3" w:rsidRPr="006D71E3" w:rsidRDefault="006D71E3" w:rsidP="006D71E3">
      <w:pPr>
        <w:numPr>
          <w:ilvl w:val="0"/>
          <w:numId w:val="11"/>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Kontrola připojení dokladu po vzniku závazku/nároku k dokladu před vznikem závazku/nároku. </w:t>
      </w:r>
    </w:p>
    <w:p w14:paraId="652114C7" w14:textId="77777777" w:rsidR="006D71E3" w:rsidRPr="006D71E3" w:rsidRDefault="006D71E3" w:rsidP="006D71E3">
      <w:pPr>
        <w:numPr>
          <w:ilvl w:val="0"/>
          <w:numId w:val="11"/>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Kontrola spolehlivosti plátce DPH a zveřejnění účtu. </w:t>
      </w:r>
    </w:p>
    <w:p w14:paraId="412708DC"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118BAF59"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b/>
          <w:bCs/>
          <w:kern w:val="0"/>
          <w:sz w:val="20"/>
          <w:szCs w:val="20"/>
        </w:rPr>
        <w:t xml:space="preserve">Registr smluv </w:t>
      </w:r>
    </w:p>
    <w:p w14:paraId="36D2B17D"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Modul </w:t>
      </w:r>
      <w:proofErr w:type="gramStart"/>
      <w:r w:rsidRPr="006D71E3">
        <w:rPr>
          <w:rFonts w:ascii="Calibri" w:hAnsi="Calibri" w:cs="Calibri"/>
          <w:kern w:val="0"/>
          <w:sz w:val="20"/>
          <w:szCs w:val="20"/>
        </w:rPr>
        <w:t>slouží</w:t>
      </w:r>
      <w:proofErr w:type="gramEnd"/>
      <w:r w:rsidRPr="006D71E3">
        <w:rPr>
          <w:rFonts w:ascii="Calibri" w:hAnsi="Calibri" w:cs="Calibri"/>
          <w:kern w:val="0"/>
          <w:sz w:val="20"/>
          <w:szCs w:val="20"/>
        </w:rPr>
        <w:t xml:space="preserve"> ke splnění povinností uveřejnění do Registru smluv dle zákona č. 340/2015 Sb. Zákon o zvláštních podmínkách účinnosti některých smluv, uveřejňování těchto smluv a o registru smluv (zákon o registru smluv) přímo v rámci schvalovacího procesu finančních a majetkových operací v modulu Finanční kontrola. </w:t>
      </w:r>
    </w:p>
    <w:p w14:paraId="4BEFDF2D"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Legislativní rámec: </w:t>
      </w:r>
    </w:p>
    <w:p w14:paraId="4C51A839" w14:textId="77777777" w:rsidR="006D71E3" w:rsidRPr="006D71E3" w:rsidRDefault="006D71E3" w:rsidP="006D71E3">
      <w:pPr>
        <w:numPr>
          <w:ilvl w:val="0"/>
          <w:numId w:val="12"/>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Zákon č. 340/2015 Sb., o registru smluv. </w:t>
      </w:r>
    </w:p>
    <w:p w14:paraId="73AF7B9B"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2E25CE8A"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Modul obsahuje tyto základní kontrolní mechanismy (algoritmicky identifikovatelná rizika) </w:t>
      </w:r>
    </w:p>
    <w:p w14:paraId="7B7146E4" w14:textId="77777777" w:rsidR="006D71E3" w:rsidRPr="006D71E3" w:rsidRDefault="006D71E3" w:rsidP="006D71E3">
      <w:pPr>
        <w:numPr>
          <w:ilvl w:val="0"/>
          <w:numId w:val="13"/>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strojově čitelná příloha </w:t>
      </w:r>
    </w:p>
    <w:p w14:paraId="43B992F6" w14:textId="77777777" w:rsidR="006D71E3" w:rsidRPr="006D71E3" w:rsidRDefault="006D71E3" w:rsidP="006D71E3">
      <w:pPr>
        <w:numPr>
          <w:ilvl w:val="0"/>
          <w:numId w:val="13"/>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datum uzavření a uveřejnění smlouvy </w:t>
      </w:r>
    </w:p>
    <w:p w14:paraId="4147C434" w14:textId="77777777" w:rsidR="006D71E3" w:rsidRPr="006D71E3" w:rsidRDefault="006D71E3" w:rsidP="006D71E3">
      <w:pPr>
        <w:numPr>
          <w:ilvl w:val="0"/>
          <w:numId w:val="13"/>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chybějící hodnota </w:t>
      </w:r>
    </w:p>
    <w:p w14:paraId="793EDAC0" w14:textId="77777777" w:rsidR="006D71E3" w:rsidRPr="006D71E3" w:rsidRDefault="006D71E3" w:rsidP="006D71E3">
      <w:pPr>
        <w:numPr>
          <w:ilvl w:val="0"/>
          <w:numId w:val="13"/>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nevyplněné IČ </w:t>
      </w:r>
    </w:p>
    <w:p w14:paraId="7B5AEC1C" w14:textId="77777777" w:rsidR="006D71E3" w:rsidRPr="006D71E3" w:rsidRDefault="006D71E3" w:rsidP="006D71E3">
      <w:pPr>
        <w:numPr>
          <w:ilvl w:val="0"/>
          <w:numId w:val="13"/>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chybně vyplněný subjekt </w:t>
      </w:r>
    </w:p>
    <w:p w14:paraId="6A20F1D2" w14:textId="77777777" w:rsidR="006D71E3" w:rsidRPr="006D71E3" w:rsidRDefault="006D71E3" w:rsidP="006D71E3">
      <w:pPr>
        <w:numPr>
          <w:ilvl w:val="0"/>
          <w:numId w:val="13"/>
        </w:numPr>
        <w:autoSpaceDE w:val="0"/>
        <w:autoSpaceDN w:val="0"/>
        <w:adjustRightInd w:val="0"/>
        <w:spacing w:after="30" w:line="240" w:lineRule="auto"/>
        <w:rPr>
          <w:rFonts w:ascii="Calibri" w:hAnsi="Calibri" w:cs="Calibri"/>
          <w:kern w:val="0"/>
          <w:sz w:val="20"/>
          <w:szCs w:val="20"/>
        </w:rPr>
      </w:pPr>
      <w:r w:rsidRPr="006D71E3">
        <w:rPr>
          <w:rFonts w:ascii="Calibri" w:hAnsi="Calibri" w:cs="Calibri"/>
          <w:kern w:val="0"/>
          <w:sz w:val="20"/>
          <w:szCs w:val="20"/>
        </w:rPr>
        <w:t xml:space="preserve">vznik subjektu </w:t>
      </w:r>
    </w:p>
    <w:p w14:paraId="0CE9E4AD" w14:textId="77777777" w:rsidR="006D71E3" w:rsidRPr="006D71E3" w:rsidRDefault="006D71E3" w:rsidP="006D71E3">
      <w:pPr>
        <w:numPr>
          <w:ilvl w:val="0"/>
          <w:numId w:val="13"/>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chybně identifikované smluvní strany </w:t>
      </w:r>
    </w:p>
    <w:p w14:paraId="03F67D18"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2229B6B2"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b/>
          <w:bCs/>
          <w:kern w:val="0"/>
          <w:sz w:val="20"/>
          <w:szCs w:val="20"/>
        </w:rPr>
        <w:t xml:space="preserve">Archiv </w:t>
      </w:r>
    </w:p>
    <w:p w14:paraId="35528E40"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Archiv je rozšiřujícím modulem IS CROSEUS© Cloud. Modul archiv obsahuje databázi všech auditních stop, které organizace v rámci svých schvalovacích procesů řídící kontroly vytvořila. Uživatelskou přívětivost modulu dotváří možnost pokročilého filtrování (sloupcové filtrování, full-textové filtrování) či možnost jednotlivého nebo hromadného exportu auditních stop do formátu „.zip“. </w:t>
      </w:r>
    </w:p>
    <w:p w14:paraId="3B2800F2"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Modul archiv je významnou pomocí pro organizaci, která získá ucelený přehled o svých auditních stopách, ale také pro zřizovatele, který může přehledně a efektivně vykonávat veřejnosprávní kontrolu na průkazných záznamech ze schvalovacích procesů v rámci řídící kontroly. </w:t>
      </w:r>
    </w:p>
    <w:p w14:paraId="08B919A3"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Legislativní rámec: </w:t>
      </w:r>
    </w:p>
    <w:p w14:paraId="40192DE6" w14:textId="77777777" w:rsidR="006D71E3" w:rsidRPr="006D71E3" w:rsidRDefault="006D71E3" w:rsidP="006D71E3">
      <w:pPr>
        <w:numPr>
          <w:ilvl w:val="0"/>
          <w:numId w:val="14"/>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Zákon č. 499/2004 Sb., o archivnictví a spisové službě. </w:t>
      </w:r>
    </w:p>
    <w:p w14:paraId="7E7FFAF7" w14:textId="77777777" w:rsidR="006D71E3" w:rsidRPr="006D71E3" w:rsidRDefault="006D71E3" w:rsidP="006D71E3">
      <w:pPr>
        <w:pageBreakBefore/>
        <w:autoSpaceDE w:val="0"/>
        <w:autoSpaceDN w:val="0"/>
        <w:adjustRightInd w:val="0"/>
        <w:spacing w:after="0" w:line="240" w:lineRule="auto"/>
        <w:rPr>
          <w:rFonts w:ascii="Calibri" w:hAnsi="Calibri" w:cs="Calibri"/>
          <w:kern w:val="0"/>
          <w:sz w:val="20"/>
          <w:szCs w:val="20"/>
        </w:rPr>
      </w:pPr>
      <w:r w:rsidRPr="006D71E3">
        <w:rPr>
          <w:rFonts w:ascii="Calibri" w:hAnsi="Calibri" w:cs="Calibri"/>
          <w:b/>
          <w:bCs/>
          <w:kern w:val="0"/>
          <w:sz w:val="20"/>
          <w:szCs w:val="20"/>
        </w:rPr>
        <w:lastRenderedPageBreak/>
        <w:t xml:space="preserve">Rozpočet </w:t>
      </w:r>
    </w:p>
    <w:p w14:paraId="0ECBDCD4"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Modul </w:t>
      </w:r>
      <w:proofErr w:type="gramStart"/>
      <w:r w:rsidRPr="006D71E3">
        <w:rPr>
          <w:rFonts w:ascii="Calibri" w:hAnsi="Calibri" w:cs="Calibri"/>
          <w:kern w:val="0"/>
          <w:sz w:val="20"/>
          <w:szCs w:val="20"/>
        </w:rPr>
        <w:t>slouží</w:t>
      </w:r>
      <w:proofErr w:type="gramEnd"/>
      <w:r w:rsidRPr="006D71E3">
        <w:rPr>
          <w:rFonts w:ascii="Calibri" w:hAnsi="Calibri" w:cs="Calibri"/>
          <w:kern w:val="0"/>
          <w:sz w:val="20"/>
          <w:szCs w:val="20"/>
        </w:rPr>
        <w:t xml:space="preserve"> k sestavení, realizaci a sledování finančního plánu příjmů a výdajů organizace, včetně jejích peněžních fondů. </w:t>
      </w:r>
    </w:p>
    <w:p w14:paraId="3DE377AC"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Rozpočet je možné sestavit dle uživatelsky nastavitelných dimenzí, pro které je možné plánovat a sledovat toky finančních prostředků. Realizace Rozpočtu, tj. rezervace finančních prostředků a výdaje a příjmy se děje automaticky při schvalování jednotlivých finančních operací v rámci modulu Finanční kontrola. </w:t>
      </w:r>
    </w:p>
    <w:p w14:paraId="5A72E656"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Legislativní rámec: </w:t>
      </w:r>
    </w:p>
    <w:p w14:paraId="04FB5DD1" w14:textId="77777777" w:rsidR="006D71E3" w:rsidRPr="006D71E3" w:rsidRDefault="006D71E3" w:rsidP="006D71E3">
      <w:pPr>
        <w:numPr>
          <w:ilvl w:val="0"/>
          <w:numId w:val="15"/>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Zákon č. 250/2000 Sb., o rozpočtových pravidlech územních rozpočtů, ve znění pozdějších předpisů </w:t>
      </w:r>
    </w:p>
    <w:p w14:paraId="3A4AD5F8"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63FF6A07"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Rozpočet a každá jeho položka umožňuje evidovat tyto informace: </w:t>
      </w:r>
    </w:p>
    <w:p w14:paraId="58936DB3" w14:textId="77777777" w:rsidR="006D71E3" w:rsidRPr="006D71E3" w:rsidRDefault="006D71E3" w:rsidP="006D71E3">
      <w:pPr>
        <w:numPr>
          <w:ilvl w:val="0"/>
          <w:numId w:val="16"/>
        </w:numPr>
        <w:autoSpaceDE w:val="0"/>
        <w:autoSpaceDN w:val="0"/>
        <w:adjustRightInd w:val="0"/>
        <w:spacing w:after="18" w:line="240" w:lineRule="auto"/>
        <w:rPr>
          <w:rFonts w:ascii="Calibri" w:hAnsi="Calibri" w:cs="Calibri"/>
          <w:kern w:val="0"/>
          <w:sz w:val="20"/>
          <w:szCs w:val="20"/>
        </w:rPr>
      </w:pPr>
      <w:r w:rsidRPr="006D71E3">
        <w:rPr>
          <w:rFonts w:ascii="Calibri" w:hAnsi="Calibri" w:cs="Calibri"/>
          <w:kern w:val="0"/>
          <w:sz w:val="20"/>
          <w:szCs w:val="20"/>
        </w:rPr>
        <w:t xml:space="preserve">Navrhovaná výše </w:t>
      </w:r>
    </w:p>
    <w:p w14:paraId="2AE46018" w14:textId="77777777" w:rsidR="006D71E3" w:rsidRPr="006D71E3" w:rsidRDefault="006D71E3" w:rsidP="006D71E3">
      <w:pPr>
        <w:numPr>
          <w:ilvl w:val="0"/>
          <w:numId w:val="16"/>
        </w:numPr>
        <w:autoSpaceDE w:val="0"/>
        <w:autoSpaceDN w:val="0"/>
        <w:adjustRightInd w:val="0"/>
        <w:spacing w:after="18" w:line="240" w:lineRule="auto"/>
        <w:rPr>
          <w:rFonts w:ascii="Calibri" w:hAnsi="Calibri" w:cs="Calibri"/>
          <w:kern w:val="0"/>
          <w:sz w:val="20"/>
          <w:szCs w:val="20"/>
        </w:rPr>
      </w:pPr>
      <w:r w:rsidRPr="006D71E3">
        <w:rPr>
          <w:rFonts w:ascii="Calibri" w:hAnsi="Calibri" w:cs="Calibri"/>
          <w:kern w:val="0"/>
          <w:sz w:val="20"/>
          <w:szCs w:val="20"/>
        </w:rPr>
        <w:t xml:space="preserve">Schválená výše </w:t>
      </w:r>
    </w:p>
    <w:p w14:paraId="16473A0F" w14:textId="77777777" w:rsidR="006D71E3" w:rsidRPr="006D71E3" w:rsidRDefault="006D71E3" w:rsidP="006D71E3">
      <w:pPr>
        <w:numPr>
          <w:ilvl w:val="0"/>
          <w:numId w:val="16"/>
        </w:numPr>
        <w:autoSpaceDE w:val="0"/>
        <w:autoSpaceDN w:val="0"/>
        <w:adjustRightInd w:val="0"/>
        <w:spacing w:after="18" w:line="240" w:lineRule="auto"/>
        <w:rPr>
          <w:rFonts w:ascii="Calibri" w:hAnsi="Calibri" w:cs="Calibri"/>
          <w:kern w:val="0"/>
          <w:sz w:val="20"/>
          <w:szCs w:val="20"/>
        </w:rPr>
      </w:pPr>
      <w:r w:rsidRPr="006D71E3">
        <w:rPr>
          <w:rFonts w:ascii="Calibri" w:hAnsi="Calibri" w:cs="Calibri"/>
          <w:kern w:val="0"/>
          <w:sz w:val="20"/>
          <w:szCs w:val="20"/>
        </w:rPr>
        <w:t xml:space="preserve">Výše po změnách </w:t>
      </w:r>
    </w:p>
    <w:p w14:paraId="458B13E9" w14:textId="77777777" w:rsidR="006D71E3" w:rsidRPr="006D71E3" w:rsidRDefault="006D71E3" w:rsidP="006D71E3">
      <w:pPr>
        <w:numPr>
          <w:ilvl w:val="0"/>
          <w:numId w:val="16"/>
        </w:numPr>
        <w:autoSpaceDE w:val="0"/>
        <w:autoSpaceDN w:val="0"/>
        <w:adjustRightInd w:val="0"/>
        <w:spacing w:after="18" w:line="240" w:lineRule="auto"/>
        <w:rPr>
          <w:rFonts w:ascii="Calibri" w:hAnsi="Calibri" w:cs="Calibri"/>
          <w:kern w:val="0"/>
          <w:sz w:val="20"/>
          <w:szCs w:val="20"/>
        </w:rPr>
      </w:pPr>
      <w:r w:rsidRPr="006D71E3">
        <w:rPr>
          <w:rFonts w:ascii="Calibri" w:hAnsi="Calibri" w:cs="Calibri"/>
          <w:kern w:val="0"/>
          <w:sz w:val="20"/>
          <w:szCs w:val="20"/>
        </w:rPr>
        <w:t xml:space="preserve">Aktuální plnění </w:t>
      </w:r>
    </w:p>
    <w:p w14:paraId="0387AFE9" w14:textId="77777777" w:rsidR="006D71E3" w:rsidRPr="006D71E3" w:rsidRDefault="006D71E3" w:rsidP="006D71E3">
      <w:pPr>
        <w:numPr>
          <w:ilvl w:val="0"/>
          <w:numId w:val="16"/>
        </w:numPr>
        <w:autoSpaceDE w:val="0"/>
        <w:autoSpaceDN w:val="0"/>
        <w:adjustRightInd w:val="0"/>
        <w:spacing w:after="18" w:line="240" w:lineRule="auto"/>
        <w:rPr>
          <w:rFonts w:ascii="Calibri" w:hAnsi="Calibri" w:cs="Calibri"/>
          <w:kern w:val="0"/>
          <w:sz w:val="20"/>
          <w:szCs w:val="20"/>
        </w:rPr>
      </w:pPr>
      <w:r w:rsidRPr="006D71E3">
        <w:rPr>
          <w:rFonts w:ascii="Calibri" w:hAnsi="Calibri" w:cs="Calibri"/>
          <w:kern w:val="0"/>
          <w:sz w:val="20"/>
          <w:szCs w:val="20"/>
        </w:rPr>
        <w:t xml:space="preserve">Rezervováno (právní fáze) </w:t>
      </w:r>
    </w:p>
    <w:p w14:paraId="07741E18" w14:textId="77777777" w:rsidR="006D71E3" w:rsidRPr="006D71E3" w:rsidRDefault="006D71E3" w:rsidP="006D71E3">
      <w:pPr>
        <w:numPr>
          <w:ilvl w:val="0"/>
          <w:numId w:val="16"/>
        </w:numPr>
        <w:autoSpaceDE w:val="0"/>
        <w:autoSpaceDN w:val="0"/>
        <w:adjustRightInd w:val="0"/>
        <w:spacing w:after="18" w:line="240" w:lineRule="auto"/>
        <w:rPr>
          <w:rFonts w:ascii="Calibri" w:hAnsi="Calibri" w:cs="Calibri"/>
          <w:kern w:val="0"/>
          <w:sz w:val="20"/>
          <w:szCs w:val="20"/>
        </w:rPr>
      </w:pPr>
      <w:r w:rsidRPr="006D71E3">
        <w:rPr>
          <w:rFonts w:ascii="Calibri" w:hAnsi="Calibri" w:cs="Calibri"/>
          <w:kern w:val="0"/>
          <w:sz w:val="20"/>
          <w:szCs w:val="20"/>
        </w:rPr>
        <w:t xml:space="preserve">Schváleno (právní fáze) </w:t>
      </w:r>
    </w:p>
    <w:p w14:paraId="0CB324C9" w14:textId="77777777" w:rsidR="006D71E3" w:rsidRPr="006D71E3" w:rsidRDefault="006D71E3" w:rsidP="006D71E3">
      <w:pPr>
        <w:numPr>
          <w:ilvl w:val="0"/>
          <w:numId w:val="16"/>
        </w:numPr>
        <w:autoSpaceDE w:val="0"/>
        <w:autoSpaceDN w:val="0"/>
        <w:adjustRightInd w:val="0"/>
        <w:spacing w:after="18" w:line="240" w:lineRule="auto"/>
        <w:rPr>
          <w:rFonts w:ascii="Calibri" w:hAnsi="Calibri" w:cs="Calibri"/>
          <w:kern w:val="0"/>
          <w:sz w:val="20"/>
          <w:szCs w:val="20"/>
        </w:rPr>
      </w:pPr>
      <w:r w:rsidRPr="006D71E3">
        <w:rPr>
          <w:rFonts w:ascii="Calibri" w:hAnsi="Calibri" w:cs="Calibri"/>
          <w:kern w:val="0"/>
          <w:sz w:val="20"/>
          <w:szCs w:val="20"/>
        </w:rPr>
        <w:t xml:space="preserve">Rezervováno (finanční fáze) </w:t>
      </w:r>
    </w:p>
    <w:p w14:paraId="4F96F0FC" w14:textId="77777777" w:rsidR="006D71E3" w:rsidRPr="006D71E3" w:rsidRDefault="006D71E3" w:rsidP="006D71E3">
      <w:pPr>
        <w:numPr>
          <w:ilvl w:val="0"/>
          <w:numId w:val="16"/>
        </w:numPr>
        <w:autoSpaceDE w:val="0"/>
        <w:autoSpaceDN w:val="0"/>
        <w:adjustRightInd w:val="0"/>
        <w:spacing w:after="18" w:line="240" w:lineRule="auto"/>
        <w:rPr>
          <w:rFonts w:ascii="Calibri" w:hAnsi="Calibri" w:cs="Calibri"/>
          <w:kern w:val="0"/>
          <w:sz w:val="20"/>
          <w:szCs w:val="20"/>
        </w:rPr>
      </w:pPr>
      <w:r w:rsidRPr="006D71E3">
        <w:rPr>
          <w:rFonts w:ascii="Calibri" w:hAnsi="Calibri" w:cs="Calibri"/>
          <w:kern w:val="0"/>
          <w:sz w:val="20"/>
          <w:szCs w:val="20"/>
        </w:rPr>
        <w:t xml:space="preserve">Schváleno (finanční fáze) </w:t>
      </w:r>
    </w:p>
    <w:p w14:paraId="6CA7D5B3" w14:textId="77777777" w:rsidR="006D71E3" w:rsidRPr="006D71E3" w:rsidRDefault="006D71E3" w:rsidP="006D71E3">
      <w:pPr>
        <w:numPr>
          <w:ilvl w:val="0"/>
          <w:numId w:val="16"/>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Vydáno / Přijato </w:t>
      </w:r>
    </w:p>
    <w:p w14:paraId="7DBE3247"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049BD08C"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Modul obsahuje tyto základní kontrolní mechanismy (algoritmicky identifikovatelná rizika) </w:t>
      </w:r>
    </w:p>
    <w:p w14:paraId="689C3CFC" w14:textId="77777777" w:rsidR="006D71E3" w:rsidRPr="006D71E3" w:rsidRDefault="006D71E3" w:rsidP="006D71E3">
      <w:pPr>
        <w:numPr>
          <w:ilvl w:val="0"/>
          <w:numId w:val="17"/>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Nedostatek finančních prostředků na vybrané výdajové položce rozpočtu </w:t>
      </w:r>
    </w:p>
    <w:p w14:paraId="4CDC7D3E"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41BD8A5E"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b/>
          <w:bCs/>
          <w:kern w:val="0"/>
          <w:sz w:val="20"/>
          <w:szCs w:val="20"/>
        </w:rPr>
        <w:t xml:space="preserve">Způsob spolupráce IS CROSEUS® s účetním systémem Objednatele: </w:t>
      </w:r>
    </w:p>
    <w:p w14:paraId="1F71FFA2" w14:textId="77777777" w:rsidR="006D71E3" w:rsidRPr="006D71E3" w:rsidRDefault="006D71E3" w:rsidP="006D71E3">
      <w:pPr>
        <w:numPr>
          <w:ilvl w:val="0"/>
          <w:numId w:val="18"/>
        </w:numPr>
        <w:autoSpaceDE w:val="0"/>
        <w:autoSpaceDN w:val="0"/>
        <w:adjustRightInd w:val="0"/>
        <w:spacing w:after="40" w:line="240" w:lineRule="auto"/>
        <w:rPr>
          <w:rFonts w:ascii="Calibri" w:hAnsi="Calibri" w:cs="Calibri"/>
          <w:kern w:val="0"/>
          <w:sz w:val="20"/>
          <w:szCs w:val="20"/>
        </w:rPr>
      </w:pPr>
      <w:r w:rsidRPr="006D71E3">
        <w:rPr>
          <w:rFonts w:ascii="Calibri" w:hAnsi="Calibri" w:cs="Calibri"/>
          <w:kern w:val="0"/>
          <w:sz w:val="20"/>
          <w:szCs w:val="20"/>
        </w:rPr>
        <w:t xml:space="preserve">Výměna dat mezi oběma IS bude realizována na základě standardu pro elektronickou fakturaci ISDOC(X), který je popsán zde: http://isdoc.cz/. </w:t>
      </w:r>
    </w:p>
    <w:p w14:paraId="7368A844" w14:textId="77777777" w:rsidR="006D71E3" w:rsidRPr="006D71E3" w:rsidRDefault="006D71E3" w:rsidP="006D71E3">
      <w:pPr>
        <w:numPr>
          <w:ilvl w:val="0"/>
          <w:numId w:val="18"/>
        </w:numPr>
        <w:autoSpaceDE w:val="0"/>
        <w:autoSpaceDN w:val="0"/>
        <w:adjustRightInd w:val="0"/>
        <w:spacing w:after="40" w:line="240" w:lineRule="auto"/>
        <w:rPr>
          <w:rFonts w:ascii="Calibri" w:hAnsi="Calibri" w:cs="Calibri"/>
          <w:kern w:val="0"/>
          <w:sz w:val="20"/>
          <w:szCs w:val="20"/>
        </w:rPr>
      </w:pPr>
      <w:r w:rsidRPr="006D71E3">
        <w:rPr>
          <w:rFonts w:ascii="Calibri" w:hAnsi="Calibri" w:cs="Calibri"/>
          <w:kern w:val="0"/>
          <w:sz w:val="20"/>
          <w:szCs w:val="20"/>
        </w:rPr>
        <w:t xml:space="preserve">Doklady o provedení Řídící kontroly po vzniku Závazku (Dluhu) budou z IS CROSEUS® uživatelem vyexportovány do formátu ISDOC(X) za účelem jejich importu do účetního systému Objednatele. </w:t>
      </w:r>
    </w:p>
    <w:p w14:paraId="110C1E4F" w14:textId="77777777" w:rsidR="006D71E3" w:rsidRPr="006D71E3" w:rsidRDefault="006D71E3" w:rsidP="006D71E3">
      <w:pPr>
        <w:numPr>
          <w:ilvl w:val="0"/>
          <w:numId w:val="18"/>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Doklady, u kterých bude požadováno provedení Řídící kontroly po vzniku Nároku (Pohledávky) budou z IS Objednatele uživatelem vyexportovány do formátu ISDOC(X) za účelem jejich importu do systému IS CROSEUS®. </w:t>
      </w:r>
    </w:p>
    <w:p w14:paraId="18F37BDE"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4FE3ABD8"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b/>
          <w:bCs/>
          <w:kern w:val="0"/>
          <w:sz w:val="20"/>
          <w:szCs w:val="20"/>
        </w:rPr>
        <w:t xml:space="preserve">Implementace zahrnuje: </w:t>
      </w:r>
    </w:p>
    <w:p w14:paraId="6C446026" w14:textId="77777777" w:rsidR="006D71E3" w:rsidRPr="006D71E3" w:rsidRDefault="006D71E3" w:rsidP="006D71E3">
      <w:pPr>
        <w:numPr>
          <w:ilvl w:val="0"/>
          <w:numId w:val="19"/>
        </w:numPr>
        <w:autoSpaceDE w:val="0"/>
        <w:autoSpaceDN w:val="0"/>
        <w:adjustRightInd w:val="0"/>
        <w:spacing w:after="308" w:line="240" w:lineRule="auto"/>
        <w:rPr>
          <w:rFonts w:ascii="Calibri" w:hAnsi="Calibri" w:cs="Calibri"/>
          <w:kern w:val="0"/>
          <w:sz w:val="20"/>
          <w:szCs w:val="20"/>
        </w:rPr>
      </w:pPr>
      <w:r w:rsidRPr="006D71E3">
        <w:rPr>
          <w:rFonts w:ascii="Calibri" w:hAnsi="Calibri" w:cs="Calibri"/>
          <w:kern w:val="0"/>
          <w:sz w:val="20"/>
          <w:szCs w:val="20"/>
        </w:rPr>
        <w:t xml:space="preserve">Webinář – Metodika výkonu řídící kontroly v rozsahu 3 hodin </w:t>
      </w:r>
    </w:p>
    <w:p w14:paraId="1629741D" w14:textId="77777777" w:rsidR="006D71E3" w:rsidRPr="006D71E3" w:rsidRDefault="006D71E3" w:rsidP="006D71E3">
      <w:pPr>
        <w:numPr>
          <w:ilvl w:val="0"/>
          <w:numId w:val="19"/>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Procesní analýza schvalovacích procesů řídící kontroly dle Metodiky (implementační dotazník) </w:t>
      </w:r>
    </w:p>
    <w:p w14:paraId="0AC3A4BD" w14:textId="77777777" w:rsidR="006D71E3" w:rsidRPr="006D71E3" w:rsidRDefault="006D71E3" w:rsidP="006D71E3">
      <w:pPr>
        <w:pageBreakBefore/>
        <w:autoSpaceDE w:val="0"/>
        <w:autoSpaceDN w:val="0"/>
        <w:adjustRightInd w:val="0"/>
        <w:spacing w:after="0" w:line="240" w:lineRule="auto"/>
        <w:rPr>
          <w:rFonts w:ascii="Calibri" w:hAnsi="Calibri" w:cs="Calibri"/>
          <w:kern w:val="0"/>
          <w:sz w:val="20"/>
          <w:szCs w:val="20"/>
        </w:rPr>
      </w:pPr>
    </w:p>
    <w:p w14:paraId="0E93A41B" w14:textId="77777777" w:rsidR="006D71E3" w:rsidRPr="006D71E3" w:rsidRDefault="006D71E3" w:rsidP="006D71E3">
      <w:pPr>
        <w:numPr>
          <w:ilvl w:val="0"/>
          <w:numId w:val="20"/>
        </w:numPr>
        <w:autoSpaceDE w:val="0"/>
        <w:autoSpaceDN w:val="0"/>
        <w:adjustRightInd w:val="0"/>
        <w:spacing w:after="310" w:line="240" w:lineRule="auto"/>
        <w:rPr>
          <w:rFonts w:ascii="Calibri" w:hAnsi="Calibri" w:cs="Calibri"/>
          <w:kern w:val="0"/>
          <w:sz w:val="20"/>
          <w:szCs w:val="20"/>
        </w:rPr>
      </w:pPr>
      <w:r w:rsidRPr="006D71E3">
        <w:rPr>
          <w:rFonts w:ascii="Calibri" w:hAnsi="Calibri" w:cs="Calibri"/>
          <w:kern w:val="0"/>
          <w:sz w:val="20"/>
          <w:szCs w:val="20"/>
        </w:rPr>
        <w:t xml:space="preserve">Implementaci dokladů do IS CROSEUS® dle implementačního dotazníku </w:t>
      </w:r>
    </w:p>
    <w:p w14:paraId="510B5130" w14:textId="77777777" w:rsidR="006D71E3" w:rsidRPr="006D71E3" w:rsidRDefault="006D71E3" w:rsidP="006D71E3">
      <w:pPr>
        <w:numPr>
          <w:ilvl w:val="0"/>
          <w:numId w:val="20"/>
        </w:numPr>
        <w:autoSpaceDE w:val="0"/>
        <w:autoSpaceDN w:val="0"/>
        <w:adjustRightInd w:val="0"/>
        <w:spacing w:after="310" w:line="240" w:lineRule="auto"/>
        <w:rPr>
          <w:rFonts w:ascii="Calibri" w:hAnsi="Calibri" w:cs="Calibri"/>
          <w:kern w:val="0"/>
          <w:sz w:val="20"/>
          <w:szCs w:val="20"/>
        </w:rPr>
      </w:pPr>
      <w:r w:rsidRPr="006D71E3">
        <w:rPr>
          <w:rFonts w:ascii="Calibri" w:hAnsi="Calibri" w:cs="Calibri"/>
          <w:kern w:val="0"/>
          <w:sz w:val="20"/>
          <w:szCs w:val="20"/>
        </w:rPr>
        <w:t xml:space="preserve">Směrnice k nastavení vnitřního řídícího a kontrolního systému – poskytnutí a úprava dle implementačního dotazníku </w:t>
      </w:r>
    </w:p>
    <w:p w14:paraId="3A366CD0" w14:textId="77777777" w:rsidR="006D71E3" w:rsidRPr="006D71E3" w:rsidRDefault="006D71E3" w:rsidP="006D71E3">
      <w:pPr>
        <w:numPr>
          <w:ilvl w:val="0"/>
          <w:numId w:val="20"/>
        </w:numPr>
        <w:autoSpaceDE w:val="0"/>
        <w:autoSpaceDN w:val="0"/>
        <w:adjustRightInd w:val="0"/>
        <w:spacing w:after="0" w:line="240" w:lineRule="auto"/>
        <w:rPr>
          <w:rFonts w:ascii="Calibri" w:hAnsi="Calibri" w:cs="Calibri"/>
          <w:kern w:val="0"/>
          <w:sz w:val="20"/>
          <w:szCs w:val="20"/>
        </w:rPr>
      </w:pPr>
      <w:r w:rsidRPr="006D71E3">
        <w:rPr>
          <w:rFonts w:ascii="Calibri" w:hAnsi="Calibri" w:cs="Calibri"/>
          <w:kern w:val="0"/>
          <w:sz w:val="20"/>
          <w:szCs w:val="20"/>
        </w:rPr>
        <w:t xml:space="preserve">Školení uživatelů IS CROSEUS® v rozsahu 2x3 hodin </w:t>
      </w:r>
    </w:p>
    <w:p w14:paraId="54F94140"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p>
    <w:p w14:paraId="79491E58" w14:textId="77777777" w:rsidR="006D71E3" w:rsidRPr="006D71E3" w:rsidRDefault="006D71E3" w:rsidP="006D71E3">
      <w:pPr>
        <w:autoSpaceDE w:val="0"/>
        <w:autoSpaceDN w:val="0"/>
        <w:adjustRightInd w:val="0"/>
        <w:spacing w:after="0" w:line="240" w:lineRule="auto"/>
        <w:rPr>
          <w:rFonts w:ascii="Calibri" w:hAnsi="Calibri" w:cs="Calibri"/>
          <w:kern w:val="0"/>
          <w:sz w:val="20"/>
          <w:szCs w:val="20"/>
        </w:rPr>
      </w:pPr>
      <w:r w:rsidRPr="006D71E3">
        <w:rPr>
          <w:rFonts w:ascii="Calibri" w:hAnsi="Calibri" w:cs="Calibri"/>
          <w:b/>
          <w:bCs/>
          <w:kern w:val="0"/>
          <w:sz w:val="20"/>
          <w:szCs w:val="20"/>
        </w:rPr>
        <w:t xml:space="preserve">Příloha č. 2 Harmonogram realizace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459"/>
        <w:gridCol w:w="1459"/>
        <w:gridCol w:w="1459"/>
        <w:gridCol w:w="1459"/>
        <w:gridCol w:w="1459"/>
        <w:gridCol w:w="1459"/>
      </w:tblGrid>
      <w:tr w:rsidR="006D71E3" w:rsidRPr="006D71E3" w14:paraId="020FE5EC" w14:textId="77777777">
        <w:tblPrEx>
          <w:tblCellMar>
            <w:top w:w="0" w:type="dxa"/>
            <w:bottom w:w="0" w:type="dxa"/>
          </w:tblCellMar>
        </w:tblPrEx>
        <w:trPr>
          <w:trHeight w:val="110"/>
        </w:trPr>
        <w:tc>
          <w:tcPr>
            <w:tcW w:w="1459" w:type="dxa"/>
            <w:tcBorders>
              <w:top w:val="none" w:sz="6" w:space="0" w:color="auto"/>
              <w:bottom w:val="none" w:sz="6" w:space="0" w:color="auto"/>
              <w:right w:val="none" w:sz="6" w:space="0" w:color="auto"/>
            </w:tcBorders>
          </w:tcPr>
          <w:p w14:paraId="051E1DF8"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kern w:val="0"/>
                <w:sz w:val="20"/>
                <w:szCs w:val="20"/>
              </w:rPr>
              <w:t xml:space="preserve">Termíny jsou stanoveny relativně od nabytí účinnosti smluvního vztahu. </w:t>
            </w:r>
            <w:r w:rsidRPr="006D71E3">
              <w:rPr>
                <w:rFonts w:ascii="Calibri" w:hAnsi="Calibri" w:cs="Calibri"/>
                <w:b/>
                <w:bCs/>
                <w:color w:val="000000"/>
                <w:kern w:val="0"/>
                <w:sz w:val="20"/>
                <w:szCs w:val="20"/>
              </w:rPr>
              <w:t xml:space="preserve">Název služby </w:t>
            </w:r>
          </w:p>
        </w:tc>
        <w:tc>
          <w:tcPr>
            <w:tcW w:w="1459" w:type="dxa"/>
            <w:tcBorders>
              <w:top w:val="none" w:sz="6" w:space="0" w:color="auto"/>
              <w:left w:val="none" w:sz="6" w:space="0" w:color="auto"/>
              <w:bottom w:val="none" w:sz="6" w:space="0" w:color="auto"/>
              <w:right w:val="none" w:sz="6" w:space="0" w:color="auto"/>
            </w:tcBorders>
          </w:tcPr>
          <w:p w14:paraId="6F705A47"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1 měsíc </w:t>
            </w:r>
          </w:p>
        </w:tc>
        <w:tc>
          <w:tcPr>
            <w:tcW w:w="1459" w:type="dxa"/>
            <w:tcBorders>
              <w:top w:val="none" w:sz="6" w:space="0" w:color="auto"/>
              <w:left w:val="none" w:sz="6" w:space="0" w:color="auto"/>
              <w:bottom w:val="none" w:sz="6" w:space="0" w:color="auto"/>
              <w:right w:val="none" w:sz="6" w:space="0" w:color="auto"/>
            </w:tcBorders>
          </w:tcPr>
          <w:p w14:paraId="444455EC"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2 měsíc </w:t>
            </w:r>
          </w:p>
        </w:tc>
        <w:tc>
          <w:tcPr>
            <w:tcW w:w="1459" w:type="dxa"/>
            <w:tcBorders>
              <w:top w:val="none" w:sz="6" w:space="0" w:color="auto"/>
              <w:left w:val="none" w:sz="6" w:space="0" w:color="auto"/>
              <w:bottom w:val="none" w:sz="6" w:space="0" w:color="auto"/>
              <w:right w:val="none" w:sz="6" w:space="0" w:color="auto"/>
            </w:tcBorders>
          </w:tcPr>
          <w:p w14:paraId="0CA10997"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3 měsíc </w:t>
            </w:r>
          </w:p>
        </w:tc>
        <w:tc>
          <w:tcPr>
            <w:tcW w:w="1459" w:type="dxa"/>
            <w:tcBorders>
              <w:top w:val="none" w:sz="6" w:space="0" w:color="auto"/>
              <w:left w:val="none" w:sz="6" w:space="0" w:color="auto"/>
              <w:bottom w:val="none" w:sz="6" w:space="0" w:color="auto"/>
              <w:right w:val="none" w:sz="6" w:space="0" w:color="auto"/>
            </w:tcBorders>
          </w:tcPr>
          <w:p w14:paraId="18F9AAF1"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4 měsíc </w:t>
            </w:r>
          </w:p>
        </w:tc>
        <w:tc>
          <w:tcPr>
            <w:tcW w:w="1459" w:type="dxa"/>
            <w:tcBorders>
              <w:top w:val="none" w:sz="6" w:space="0" w:color="auto"/>
              <w:left w:val="none" w:sz="6" w:space="0" w:color="auto"/>
              <w:bottom w:val="none" w:sz="6" w:space="0" w:color="auto"/>
            </w:tcBorders>
          </w:tcPr>
          <w:p w14:paraId="3D1FA529"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b/>
                <w:bCs/>
                <w:color w:val="000000"/>
                <w:kern w:val="0"/>
                <w:sz w:val="20"/>
                <w:szCs w:val="20"/>
              </w:rPr>
              <w:t xml:space="preserve">5 měsíc </w:t>
            </w:r>
          </w:p>
        </w:tc>
      </w:tr>
      <w:tr w:rsidR="006D71E3" w:rsidRPr="006D71E3" w14:paraId="7416A52E" w14:textId="77777777">
        <w:tblPrEx>
          <w:tblCellMar>
            <w:top w:w="0" w:type="dxa"/>
            <w:bottom w:w="0" w:type="dxa"/>
          </w:tblCellMar>
        </w:tblPrEx>
        <w:trPr>
          <w:trHeight w:val="110"/>
        </w:trPr>
        <w:tc>
          <w:tcPr>
            <w:tcW w:w="1459" w:type="dxa"/>
            <w:tcBorders>
              <w:top w:val="none" w:sz="6" w:space="0" w:color="auto"/>
              <w:bottom w:val="none" w:sz="6" w:space="0" w:color="auto"/>
              <w:right w:val="none" w:sz="6" w:space="0" w:color="auto"/>
            </w:tcBorders>
          </w:tcPr>
          <w:p w14:paraId="36F441E9"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Jednorázové služby </w:t>
            </w:r>
          </w:p>
        </w:tc>
        <w:tc>
          <w:tcPr>
            <w:tcW w:w="1459" w:type="dxa"/>
            <w:tcBorders>
              <w:top w:val="none" w:sz="6" w:space="0" w:color="auto"/>
              <w:left w:val="none" w:sz="6" w:space="0" w:color="auto"/>
              <w:bottom w:val="none" w:sz="6" w:space="0" w:color="auto"/>
              <w:right w:val="none" w:sz="6" w:space="0" w:color="auto"/>
            </w:tcBorders>
          </w:tcPr>
          <w:p w14:paraId="539163CF"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x </w:t>
            </w:r>
          </w:p>
        </w:tc>
        <w:tc>
          <w:tcPr>
            <w:tcW w:w="1459" w:type="dxa"/>
            <w:tcBorders>
              <w:top w:val="none" w:sz="6" w:space="0" w:color="auto"/>
              <w:left w:val="none" w:sz="6" w:space="0" w:color="auto"/>
              <w:bottom w:val="none" w:sz="6" w:space="0" w:color="auto"/>
              <w:right w:val="none" w:sz="6" w:space="0" w:color="auto"/>
            </w:tcBorders>
          </w:tcPr>
          <w:p w14:paraId="0BAED6B7"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x </w:t>
            </w:r>
          </w:p>
        </w:tc>
        <w:tc>
          <w:tcPr>
            <w:tcW w:w="1459" w:type="dxa"/>
            <w:tcBorders>
              <w:top w:val="none" w:sz="6" w:space="0" w:color="auto"/>
              <w:left w:val="none" w:sz="6" w:space="0" w:color="auto"/>
              <w:bottom w:val="none" w:sz="6" w:space="0" w:color="auto"/>
              <w:right w:val="none" w:sz="6" w:space="0" w:color="auto"/>
            </w:tcBorders>
          </w:tcPr>
          <w:p w14:paraId="4D6FEE24"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x </w:t>
            </w:r>
          </w:p>
        </w:tc>
        <w:tc>
          <w:tcPr>
            <w:tcW w:w="1459" w:type="dxa"/>
            <w:tcBorders>
              <w:top w:val="none" w:sz="6" w:space="0" w:color="auto"/>
              <w:left w:val="none" w:sz="6" w:space="0" w:color="auto"/>
              <w:bottom w:val="none" w:sz="6" w:space="0" w:color="auto"/>
              <w:right w:val="none" w:sz="6" w:space="0" w:color="auto"/>
            </w:tcBorders>
          </w:tcPr>
          <w:p w14:paraId="5A0FB5BD"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 </w:t>
            </w:r>
          </w:p>
        </w:tc>
        <w:tc>
          <w:tcPr>
            <w:tcW w:w="1459" w:type="dxa"/>
            <w:tcBorders>
              <w:top w:val="none" w:sz="6" w:space="0" w:color="auto"/>
              <w:left w:val="none" w:sz="6" w:space="0" w:color="auto"/>
              <w:bottom w:val="none" w:sz="6" w:space="0" w:color="auto"/>
            </w:tcBorders>
          </w:tcPr>
          <w:p w14:paraId="27BC0B9F" w14:textId="77777777" w:rsidR="006D71E3" w:rsidRPr="006D71E3" w:rsidRDefault="006D71E3" w:rsidP="006D71E3">
            <w:pPr>
              <w:autoSpaceDE w:val="0"/>
              <w:autoSpaceDN w:val="0"/>
              <w:adjustRightInd w:val="0"/>
              <w:spacing w:after="0" w:line="240" w:lineRule="auto"/>
              <w:rPr>
                <w:rFonts w:ascii="Calibri" w:hAnsi="Calibri" w:cs="Calibri"/>
                <w:color w:val="000000"/>
                <w:kern w:val="0"/>
                <w:sz w:val="20"/>
                <w:szCs w:val="20"/>
              </w:rPr>
            </w:pPr>
            <w:r w:rsidRPr="006D71E3">
              <w:rPr>
                <w:rFonts w:ascii="Calibri" w:hAnsi="Calibri" w:cs="Calibri"/>
                <w:color w:val="000000"/>
                <w:kern w:val="0"/>
                <w:sz w:val="20"/>
                <w:szCs w:val="20"/>
              </w:rPr>
              <w:t xml:space="preserve">- </w:t>
            </w:r>
          </w:p>
        </w:tc>
      </w:tr>
    </w:tbl>
    <w:p w14:paraId="782709C7" w14:textId="77777777" w:rsidR="006D71E3" w:rsidRPr="006D71E3" w:rsidRDefault="006D71E3">
      <w:pPr>
        <w:rPr>
          <w:rFonts w:ascii="Calibri" w:hAnsi="Calibri" w:cs="Calibri"/>
          <w:sz w:val="20"/>
          <w:szCs w:val="20"/>
        </w:rPr>
      </w:pPr>
    </w:p>
    <w:sectPr w:rsidR="006D71E3" w:rsidRPr="006D7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Yu Gothic">
    <w:altName w:val="Yu Gothic"/>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1CDA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AC8D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BED33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FB54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2247E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253A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D2364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E5CB9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5B401F5"/>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C4B9F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60754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3B389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A139C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03EA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EF954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FA47D2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49AB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038880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5AA6C9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E19577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47639948">
    <w:abstractNumId w:val="15"/>
  </w:num>
  <w:num w:numId="2" w16cid:durableId="1436750436">
    <w:abstractNumId w:val="2"/>
  </w:num>
  <w:num w:numId="3" w16cid:durableId="1194685529">
    <w:abstractNumId w:val="4"/>
  </w:num>
  <w:num w:numId="4" w16cid:durableId="1013532644">
    <w:abstractNumId w:val="10"/>
  </w:num>
  <w:num w:numId="5" w16cid:durableId="1276063265">
    <w:abstractNumId w:val="8"/>
  </w:num>
  <w:num w:numId="6" w16cid:durableId="212742520">
    <w:abstractNumId w:val="19"/>
  </w:num>
  <w:num w:numId="7" w16cid:durableId="217321204">
    <w:abstractNumId w:val="1"/>
  </w:num>
  <w:num w:numId="8" w16cid:durableId="1591549846">
    <w:abstractNumId w:val="12"/>
  </w:num>
  <w:num w:numId="9" w16cid:durableId="1880700302">
    <w:abstractNumId w:val="18"/>
  </w:num>
  <w:num w:numId="10" w16cid:durableId="1423179852">
    <w:abstractNumId w:val="7"/>
  </w:num>
  <w:num w:numId="11" w16cid:durableId="546186975">
    <w:abstractNumId w:val="14"/>
  </w:num>
  <w:num w:numId="12" w16cid:durableId="80953743">
    <w:abstractNumId w:val="17"/>
  </w:num>
  <w:num w:numId="13" w16cid:durableId="1036471639">
    <w:abstractNumId w:val="0"/>
  </w:num>
  <w:num w:numId="14" w16cid:durableId="1305159542">
    <w:abstractNumId w:val="3"/>
  </w:num>
  <w:num w:numId="15" w16cid:durableId="63769001">
    <w:abstractNumId w:val="6"/>
  </w:num>
  <w:num w:numId="16" w16cid:durableId="1454984060">
    <w:abstractNumId w:val="11"/>
  </w:num>
  <w:num w:numId="17" w16cid:durableId="407851549">
    <w:abstractNumId w:val="9"/>
  </w:num>
  <w:num w:numId="18" w16cid:durableId="1545603210">
    <w:abstractNumId w:val="13"/>
  </w:num>
  <w:num w:numId="19" w16cid:durableId="1055619535">
    <w:abstractNumId w:val="16"/>
  </w:num>
  <w:num w:numId="20" w16cid:durableId="1168130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E3"/>
    <w:rsid w:val="006D7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CE4"/>
  <w15:chartTrackingRefBased/>
  <w15:docId w15:val="{1221B41B-2F59-4FC9-8B8D-54BEF828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D71E3"/>
    <w:pPr>
      <w:autoSpaceDE w:val="0"/>
      <w:autoSpaceDN w:val="0"/>
      <w:adjustRightInd w:val="0"/>
      <w:spacing w:after="0" w:line="240" w:lineRule="auto"/>
    </w:pPr>
    <w:rPr>
      <w:rFonts w:ascii="Yu Gothic" w:eastAsia="Yu Gothic" w:cs="Yu 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2056</Words>
  <Characters>12136</Characters>
  <Application>Microsoft Office Word</Application>
  <DocSecurity>0</DocSecurity>
  <Lines>101</Lines>
  <Paragraphs>28</Paragraphs>
  <ScaleCrop>false</ScaleCrop>
  <Company>HP Inc.</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Kazdová</dc:creator>
  <cp:keywords/>
  <dc:description/>
  <cp:lastModifiedBy>Andrea Kazdová</cp:lastModifiedBy>
  <cp:revision>1</cp:revision>
  <dcterms:created xsi:type="dcterms:W3CDTF">2023-12-08T10:21:00Z</dcterms:created>
  <dcterms:modified xsi:type="dcterms:W3CDTF">2023-12-08T10:25:00Z</dcterms:modified>
</cp:coreProperties>
</file>