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7E166C45" w14:textId="77777777" w:rsidTr="00E66B89">
        <w:trPr>
          <w:cantSplit/>
          <w:trHeight w:val="1095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BC5D49C" w14:textId="77777777" w:rsidR="0098229D" w:rsidRPr="00E34032" w:rsidRDefault="00E34032" w:rsidP="0091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706179">
              <w:rPr>
                <w:rFonts w:cs="Georgia"/>
                <w:b/>
                <w:bCs/>
                <w:color w:val="000000"/>
                <w:sz w:val="43"/>
                <w:szCs w:val="43"/>
              </w:rPr>
              <w:t>348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706179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2F7A337F" w14:textId="5117579A" w:rsidR="0098229D" w:rsidRPr="00B4150D" w:rsidRDefault="00EC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18370F4A" wp14:editId="023547FD">
                  <wp:extent cx="890270" cy="58039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025" w:rsidRPr="00E24129" w14:paraId="594ADCBD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3D448ACD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98DBE81" w14:textId="77777777" w:rsidR="00362025" w:rsidRPr="00EC681B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681B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DD22126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214E70D2" w14:textId="77777777" w:rsidR="00362025" w:rsidRPr="00A25C88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color w:val="000000"/>
              </w:rPr>
              <w:t>AQUATIS a</w:t>
            </w:r>
            <w:r w:rsidRPr="00141BCD">
              <w:rPr>
                <w:rFonts w:cs="Georgia"/>
                <w:b/>
                <w:color w:val="000000"/>
              </w:rPr>
              <w:t>.</w:t>
            </w:r>
            <w:r>
              <w:rPr>
                <w:rFonts w:cs="Georgia"/>
                <w:b/>
                <w:color w:val="000000"/>
              </w:rPr>
              <w:t>s</w:t>
            </w:r>
            <w:r w:rsidRPr="00141BCD">
              <w:rPr>
                <w:rFonts w:cs="Georgia"/>
                <w:b/>
                <w:color w:val="000000"/>
              </w:rPr>
              <w:t>.</w:t>
            </w:r>
          </w:p>
        </w:tc>
      </w:tr>
      <w:tr w:rsidR="00362025" w:rsidRPr="00E24129" w14:paraId="5176BF3E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28031E32" w14:textId="77777777" w:rsidR="00362025" w:rsidRPr="00566F6C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2E58" w14:textId="77777777" w:rsidR="00362025" w:rsidRPr="00EF5B87" w:rsidRDefault="00B1789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n</w:t>
            </w:r>
            <w:r w:rsidR="00362025" w:rsidRPr="00EF5B87">
              <w:rPr>
                <w:rFonts w:cs="Georgia"/>
                <w:color w:val="000000"/>
              </w:rPr>
              <w:t>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0DC0B911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5888583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Botanická 834/56</w:t>
            </w:r>
          </w:p>
        </w:tc>
      </w:tr>
      <w:tr w:rsidR="00362025" w:rsidRPr="00E24129" w14:paraId="20EDFF4F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53938065" w14:textId="77777777" w:rsidR="00362025" w:rsidRPr="00EF5B87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1787C" w14:textId="77777777" w:rsidR="00362025" w:rsidRPr="00EF5B87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1F680610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4BD658E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602 00 Brno</w:t>
            </w:r>
          </w:p>
        </w:tc>
      </w:tr>
      <w:tr w:rsidR="00362025" w:rsidRPr="00E24129" w14:paraId="27B0EB7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56843F4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3C1B4" w14:textId="77777777" w:rsidR="00362025" w:rsidRPr="00BC6B0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72AFCF7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7378331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t>46347526</w:t>
            </w:r>
          </w:p>
        </w:tc>
      </w:tr>
      <w:tr w:rsidR="00362025" w:rsidRPr="00E24129" w14:paraId="7495AC53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4946B11D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80CC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2AF517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9094B2B" w14:textId="77777777" w:rsidR="00362025" w:rsidRPr="00D67FF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CZ46347526</w:t>
            </w:r>
          </w:p>
        </w:tc>
      </w:tr>
      <w:tr w:rsidR="00362025" w:rsidRPr="00E24129" w14:paraId="0E2B1588" w14:textId="77777777" w:rsidTr="00A25C88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2D00E829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380D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98E0551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386ECFEA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Plátce DPH</w:t>
            </w:r>
          </w:p>
        </w:tc>
      </w:tr>
      <w:tr w:rsidR="00362025" w:rsidRPr="00E24129" w14:paraId="235BD028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25E5CDDC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4763" w14:textId="0A83E17D" w:rsidR="00362025" w:rsidRPr="00AF7E54" w:rsidRDefault="0073258F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A9255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2A6C99FA" w14:textId="4420E13F" w:rsidR="00362025" w:rsidRPr="00AF7E54" w:rsidRDefault="0073258F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</w:t>
            </w:r>
          </w:p>
        </w:tc>
      </w:tr>
      <w:tr w:rsidR="00362025" w:rsidRPr="00E24129" w14:paraId="6D538C2E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44D5B30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FECF1" w14:textId="64E333F7" w:rsidR="00362025" w:rsidRPr="005258CA" w:rsidRDefault="0073258F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1D5B5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6B1059D7" w14:textId="63BEBF35" w:rsidR="00362025" w:rsidRPr="009152E1" w:rsidRDefault="0073258F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</w:t>
            </w:r>
          </w:p>
        </w:tc>
      </w:tr>
      <w:tr w:rsidR="00362025" w:rsidRPr="00E24129" w14:paraId="4F7C2FBF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935C350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29E9D" w14:textId="30E26E37" w:rsidR="00362025" w:rsidRPr="005258CA" w:rsidRDefault="0073258F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BE2F9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39F408D" w14:textId="2E4470BE" w:rsidR="00362025" w:rsidRPr="00A25C88" w:rsidRDefault="0073258F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</w:t>
            </w:r>
          </w:p>
        </w:tc>
      </w:tr>
      <w:tr w:rsidR="00362025" w:rsidRPr="00E24129" w14:paraId="2F4CEBF2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A409A03" w14:textId="77777777" w:rsidR="00362025" w:rsidRPr="00D67FF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146F2" w14:textId="05DFA8ED" w:rsidR="00362025" w:rsidRPr="005258CA" w:rsidRDefault="0073258F" w:rsidP="0073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B944B" w14:textId="77777777" w:rsidR="00362025" w:rsidRPr="00AF7E54" w:rsidRDefault="00362025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1A4EE0C" w14:textId="3831738A" w:rsidR="00362025" w:rsidRPr="00A25C88" w:rsidRDefault="0073258F" w:rsidP="003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</w:t>
            </w:r>
          </w:p>
        </w:tc>
      </w:tr>
      <w:tr w:rsidR="00670F35" w:rsidRPr="00E24129" w14:paraId="587F1A29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3504757D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71C01D6" w14:textId="77777777" w:rsidR="00670F35" w:rsidRPr="0010300F" w:rsidRDefault="00362025" w:rsidP="0091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  <w:highlight w:val="yellow"/>
              </w:rPr>
            </w:pPr>
            <w:r w:rsidRPr="0010300F">
              <w:rPr>
                <w:rFonts w:cs="Georgia"/>
                <w:color w:val="000000"/>
                <w:sz w:val="20"/>
                <w:szCs w:val="20"/>
              </w:rPr>
              <w:t xml:space="preserve">Zapsána v obchodním rejstříku vedeném u </w:t>
            </w:r>
            <w:r w:rsidRPr="0010300F">
              <w:rPr>
                <w:sz w:val="20"/>
                <w:szCs w:val="20"/>
              </w:rPr>
              <w:t>Krajského soudu v Brně</w:t>
            </w:r>
            <w:r w:rsidRPr="0010300F">
              <w:rPr>
                <w:rFonts w:cs="Georgia"/>
                <w:color w:val="000000"/>
                <w:sz w:val="20"/>
                <w:szCs w:val="20"/>
              </w:rPr>
              <w:t xml:space="preserve">, oddíl C, vložka </w:t>
            </w:r>
            <w:r w:rsidRPr="0010300F">
              <w:rPr>
                <w:sz w:val="20"/>
                <w:szCs w:val="20"/>
              </w:rPr>
              <w:t>59316</w:t>
            </w:r>
          </w:p>
        </w:tc>
      </w:tr>
    </w:tbl>
    <w:p w14:paraId="1F1B8DEC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150268D6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7F204BA1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4853702C" w14:textId="77777777" w:rsidTr="00E5704D">
        <w:trPr>
          <w:cantSplit/>
          <w:trHeight w:val="1319"/>
        </w:trPr>
        <w:tc>
          <w:tcPr>
            <w:tcW w:w="10495" w:type="dxa"/>
            <w:gridSpan w:val="2"/>
            <w:vAlign w:val="bottom"/>
          </w:tcPr>
          <w:p w14:paraId="187C8B46" w14:textId="77777777" w:rsidR="005E31C2" w:rsidRPr="00873BAD" w:rsidRDefault="005E31C2" w:rsidP="00946057">
            <w:pPr>
              <w:spacing w:before="240" w:after="0"/>
              <w:ind w:right="108"/>
              <w:jc w:val="both"/>
            </w:pPr>
            <w:r>
              <w:t xml:space="preserve">Prověření možnosti realizace stání pro </w:t>
            </w:r>
            <w:r w:rsidR="00CB2A6D" w:rsidRPr="00CB2A6D">
              <w:t>servisní plavidl</w:t>
            </w:r>
            <w:r w:rsidR="00CB2A6D">
              <w:t>o</w:t>
            </w:r>
            <w:r w:rsidR="00CB2A6D" w:rsidRPr="00CB2A6D">
              <w:t xml:space="preserve"> ŘVC ČR (zásobovací tankové plavidlo typu N s uzavřenými nákladními tanky podle Dohody o mezinárodní přepravě nebezpečných věcí po vnitrozemských vodních cestách, osazen</w:t>
            </w:r>
            <w:r w:rsidR="00332A8D">
              <w:t>é</w:t>
            </w:r>
            <w:r w:rsidR="00CB2A6D" w:rsidRPr="00CB2A6D">
              <w:t xml:space="preserve"> jedním modrým kuželem, o rozměrech max. 34,0 x 5,5 m)</w:t>
            </w:r>
            <w:r w:rsidRPr="00873BAD">
              <w:t>, kter</w:t>
            </w:r>
            <w:r>
              <w:t>é</w:t>
            </w:r>
            <w:r w:rsidRPr="00873BAD">
              <w:t xml:space="preserve"> bude lokalizován</w:t>
            </w:r>
            <w:r w:rsidR="00EA4DBD">
              <w:t>o</w:t>
            </w:r>
            <w:r w:rsidRPr="00873BAD">
              <w:t xml:space="preserve"> </w:t>
            </w:r>
            <w:r w:rsidR="005916D4">
              <w:t>v blízkosti zázemí Povodí Vltavy, státní podnik, ve Zvíkovském Podhradí (</w:t>
            </w:r>
            <w:r w:rsidR="00A63DA4">
              <w:t xml:space="preserve">levý břeh, </w:t>
            </w:r>
            <w:r w:rsidR="005916D4">
              <w:t xml:space="preserve">ř. km cca </w:t>
            </w:r>
            <w:r w:rsidR="00EA4DBD">
              <w:t>170,4).</w:t>
            </w:r>
            <w:r w:rsidRPr="00873BAD">
              <w:t xml:space="preserve"> </w:t>
            </w:r>
            <w:r w:rsidR="007A44CD" w:rsidRPr="007A44CD">
              <w:t xml:space="preserve">Stání bude navrženo jako bezobslužné, nebude vyžadovat mimořádné manipulace za povodňových stavů nebo snížení hladiny na VD </w:t>
            </w:r>
            <w:r w:rsidR="00332A8D">
              <w:t>Orlík</w:t>
            </w:r>
            <w:r w:rsidR="007A44CD" w:rsidRPr="007A44CD">
              <w:t xml:space="preserve"> v</w:t>
            </w:r>
            <w:r w:rsidR="00332A8D">
              <w:t> </w:t>
            </w:r>
            <w:r w:rsidR="007A44CD" w:rsidRPr="007A44CD">
              <w:t>rozsahu manipulačního řádu.</w:t>
            </w:r>
          </w:p>
          <w:p w14:paraId="7CF7B260" w14:textId="77777777" w:rsidR="005E31C2" w:rsidRDefault="005E31C2" w:rsidP="00946057">
            <w:pPr>
              <w:spacing w:before="240" w:after="0"/>
              <w:ind w:right="108"/>
              <w:jc w:val="both"/>
            </w:pPr>
            <w:r w:rsidRPr="00873BAD">
              <w:t xml:space="preserve">V rámci vyhodnocení dojde ke zpracování </w:t>
            </w:r>
            <w:r w:rsidR="00EA4DBD">
              <w:t xml:space="preserve">dispozičně-technického řešení stání včetně </w:t>
            </w:r>
            <w:r w:rsidRPr="00873BAD">
              <w:t>souhrnné hodnotící zprávy</w:t>
            </w:r>
            <w:r>
              <w:t xml:space="preserve">, </w:t>
            </w:r>
            <w:r w:rsidRPr="00873BAD">
              <w:t>základních statických výpočtů</w:t>
            </w:r>
            <w:r w:rsidR="00EA4DBD">
              <w:t xml:space="preserve">, </w:t>
            </w:r>
            <w:r w:rsidRPr="00873BAD">
              <w:t>výkresů (situace, půdorys a 2 příčné řezy při návrhových hladinách</w:t>
            </w:r>
            <w:r w:rsidR="00EA4DBD">
              <w:t>)</w:t>
            </w:r>
            <w:r w:rsidRPr="00873BAD">
              <w:t xml:space="preserve"> a </w:t>
            </w:r>
            <w:r>
              <w:t>odborného</w:t>
            </w:r>
            <w:r w:rsidRPr="00873BAD">
              <w:t xml:space="preserve"> odhadu stavebních nákladů. </w:t>
            </w:r>
            <w:r w:rsidR="00EA4DBD">
              <w:t xml:space="preserve">Současně bude prověřena možnost </w:t>
            </w:r>
            <w:r w:rsidR="007A44CD">
              <w:t>připojení plavidla na</w:t>
            </w:r>
            <w:r w:rsidR="00EA4DBD">
              <w:t xml:space="preserve"> el. energi</w:t>
            </w:r>
            <w:r w:rsidR="007A44CD">
              <w:t>i</w:t>
            </w:r>
            <w:r w:rsidR="00EA4DBD">
              <w:t xml:space="preserve"> a vod</w:t>
            </w:r>
            <w:r w:rsidR="007A44CD">
              <w:t>u</w:t>
            </w:r>
            <w:r w:rsidR="00EA4DBD">
              <w:t>.</w:t>
            </w:r>
          </w:p>
          <w:p w14:paraId="458304AF" w14:textId="77777777" w:rsidR="00A63DA4" w:rsidRPr="00873BAD" w:rsidRDefault="00A63DA4" w:rsidP="00946057">
            <w:pPr>
              <w:spacing w:before="240" w:after="0"/>
              <w:ind w:right="108"/>
              <w:jc w:val="both"/>
            </w:pPr>
            <w:r>
              <w:t>Výstupy budou projednány s Povodí Vltavy, státní podnik</w:t>
            </w:r>
            <w:r w:rsidR="00CB2A6D">
              <w:t>, a Státní plavební správou</w:t>
            </w:r>
            <w:r>
              <w:t>.</w:t>
            </w:r>
          </w:p>
          <w:p w14:paraId="4E57987F" w14:textId="77777777" w:rsidR="00E66B89" w:rsidRDefault="005E31C2" w:rsidP="00946057">
            <w:pPr>
              <w:spacing w:before="240" w:after="0"/>
              <w:ind w:right="108"/>
              <w:jc w:val="both"/>
            </w:pPr>
            <w:r w:rsidRPr="00873BAD">
              <w:t>Výstup bude předán 2x v tištěné podobě a 2x na CD. Textová část bude uložena ve formátu *.doc - Microsoft Word 2000, obrázky *.</w:t>
            </w:r>
            <w:proofErr w:type="spellStart"/>
            <w:r w:rsidRPr="00873BAD">
              <w:t>tif</w:t>
            </w:r>
            <w:proofErr w:type="spellEnd"/>
            <w:r w:rsidRPr="00873BAD">
              <w:t xml:space="preserve"> nebo *.</w:t>
            </w:r>
            <w:proofErr w:type="spellStart"/>
            <w:r w:rsidRPr="00873BAD">
              <w:t>jpg</w:t>
            </w:r>
            <w:proofErr w:type="spellEnd"/>
            <w:r w:rsidRPr="00873BAD">
              <w:t xml:space="preserve"> a výkresy ve formátech *.</w:t>
            </w:r>
            <w:proofErr w:type="spellStart"/>
            <w:r w:rsidRPr="00873BAD">
              <w:t>dwg</w:t>
            </w:r>
            <w:proofErr w:type="spellEnd"/>
            <w:r w:rsidRPr="00873BAD">
              <w:t xml:space="preserve"> - </w:t>
            </w:r>
            <w:proofErr w:type="spellStart"/>
            <w:r w:rsidRPr="00873BAD">
              <w:t>AutoCAD</w:t>
            </w:r>
            <w:proofErr w:type="spellEnd"/>
            <w:r w:rsidRPr="00873BAD">
              <w:t xml:space="preserve"> 2016. Dokumentace bude kompletně zpracována také ve formátu *.</w:t>
            </w:r>
            <w:proofErr w:type="spellStart"/>
            <w:r w:rsidRPr="00873BAD">
              <w:t>pdf</w:t>
            </w:r>
            <w:proofErr w:type="spellEnd"/>
            <w:r w:rsidRPr="00873BAD">
              <w:t>.</w:t>
            </w:r>
          </w:p>
          <w:p w14:paraId="118221B2" w14:textId="77777777" w:rsidR="00BB48CE" w:rsidRPr="00BB48CE" w:rsidRDefault="00BB48CE" w:rsidP="00BB48CE">
            <w:pPr>
              <w:spacing w:before="120" w:after="0"/>
              <w:ind w:right="249"/>
              <w:jc w:val="both"/>
              <w:rPr>
                <w:rFonts w:cs="Calibri"/>
              </w:rPr>
            </w:pPr>
            <w:r>
              <w:rPr>
                <w:rFonts w:cs="Calibri"/>
              </w:rPr>
              <w:t>Zpracování výše uvedeného dispozičně-technického řešení je nezbytné pro ověření možnosti stání servisního plavidla v této lokalitě.</w:t>
            </w:r>
          </w:p>
        </w:tc>
      </w:tr>
      <w:tr w:rsidR="0098229D" w:rsidRPr="000F53D1" w14:paraId="52DE0191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44031EE7" w14:textId="4A8B2EE4" w:rsidR="004F3348" w:rsidRPr="0062526E" w:rsidRDefault="00AF7E54" w:rsidP="0062526E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EA481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EA481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EA481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EA481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EA4815">
              <w:rPr>
                <w:rFonts w:cs="Arial"/>
                <w:color w:val="000000"/>
                <w:sz w:val="17"/>
                <w:szCs w:val="17"/>
              </w:rPr>
              <w:t>pouze na základě opr</w:t>
            </w:r>
            <w:r w:rsidR="00852E25">
              <w:rPr>
                <w:rFonts w:cs="Arial"/>
                <w:color w:val="000000"/>
                <w:sz w:val="17"/>
                <w:szCs w:val="17"/>
              </w:rPr>
              <w:t>ávněnou</w:t>
            </w:r>
            <w:r w:rsidRPr="00EA4815">
              <w:rPr>
                <w:rFonts w:cs="Arial"/>
                <w:color w:val="000000"/>
                <w:sz w:val="17"/>
                <w:szCs w:val="17"/>
              </w:rPr>
              <w:t xml:space="preserve"> osobou odběratele odsouhlaseného a podepsaného</w:t>
            </w:r>
            <w:r w:rsidR="00EA4815">
              <w:rPr>
                <w:rFonts w:cs="Arial"/>
                <w:color w:val="000000"/>
                <w:sz w:val="17"/>
                <w:szCs w:val="17"/>
              </w:rPr>
              <w:t xml:space="preserve"> předávacího protokolu</w:t>
            </w:r>
            <w:r w:rsidRPr="00EA4815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EA481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EA4815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r w:rsidR="0073258F" w:rsidRPr="0073258F">
              <w:rPr>
                <w:rFonts w:cs="Arial"/>
                <w:color w:val="000000"/>
                <w:sz w:val="17"/>
                <w:szCs w:val="17"/>
              </w:rPr>
              <w:t>XXXXXXXXXX</w:t>
            </w:r>
            <w:r w:rsidR="0073471F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EA4815">
              <w:rPr>
                <w:rFonts w:cs="Arial"/>
                <w:color w:val="000000"/>
                <w:sz w:val="17"/>
                <w:szCs w:val="17"/>
              </w:rPr>
              <w:t>referent oddělení přípravy</w:t>
            </w:r>
          </w:p>
          <w:p w14:paraId="46C5525E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</w:t>
            </w:r>
            <w:r w:rsidR="004F3348">
              <w:rPr>
                <w:rFonts w:cs="Georgia"/>
                <w:b/>
                <w:color w:val="000000"/>
                <w:sz w:val="24"/>
                <w:szCs w:val="24"/>
              </w:rPr>
              <w:t xml:space="preserve">    </w:t>
            </w:r>
            <w:r w:rsidR="006F3396">
              <w:rPr>
                <w:rFonts w:cs="Georgia"/>
                <w:b/>
                <w:color w:val="000000"/>
                <w:sz w:val="24"/>
                <w:szCs w:val="24"/>
              </w:rPr>
              <w:t>92</w:t>
            </w:r>
            <w:r w:rsidR="00EA4815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6F3396">
              <w:rPr>
                <w:rFonts w:cs="Georgia"/>
                <w:b/>
                <w:color w:val="000000"/>
                <w:sz w:val="24"/>
                <w:szCs w:val="24"/>
              </w:rPr>
              <w:t>000</w:t>
            </w:r>
            <w:r w:rsidR="00EA4815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6F3396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  <w:r w:rsidR="0023413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</w:p>
          <w:p w14:paraId="1AF5C0CF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4F334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F24AA2">
              <w:rPr>
                <w:rFonts w:cs="Georgia"/>
                <w:b/>
                <w:color w:val="000000"/>
                <w:sz w:val="24"/>
                <w:szCs w:val="24"/>
              </w:rPr>
              <w:t xml:space="preserve">   </w:t>
            </w:r>
            <w:r w:rsidR="004F334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6F3396">
              <w:rPr>
                <w:rFonts w:cs="Georgia"/>
                <w:b/>
                <w:color w:val="000000"/>
                <w:sz w:val="24"/>
                <w:szCs w:val="24"/>
              </w:rPr>
              <w:t>111</w:t>
            </w:r>
            <w:r w:rsidR="00EA4815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6F3396">
              <w:rPr>
                <w:rFonts w:cs="Georgia"/>
                <w:b/>
                <w:color w:val="000000"/>
                <w:sz w:val="24"/>
                <w:szCs w:val="24"/>
              </w:rPr>
              <w:t>320</w:t>
            </w:r>
            <w:r w:rsidR="00EA4815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6F3396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60F284D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2ABEB8B7" w14:textId="77777777" w:rsidTr="00566F6C">
        <w:trPr>
          <w:cantSplit/>
          <w:trHeight w:val="256"/>
        </w:trPr>
        <w:tc>
          <w:tcPr>
            <w:tcW w:w="2413" w:type="dxa"/>
          </w:tcPr>
          <w:p w14:paraId="29EF07FF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52127FD4" w14:textId="77777777" w:rsidR="0098229D" w:rsidRPr="000F53D1" w:rsidRDefault="00CB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P</w:t>
            </w:r>
            <w:r w:rsidR="00B17895">
              <w:rPr>
                <w:rFonts w:cs="Arial"/>
                <w:color w:val="000000"/>
                <w:sz w:val="17"/>
                <w:szCs w:val="17"/>
              </w:rPr>
              <w:t>řevodem</w:t>
            </w:r>
          </w:p>
        </w:tc>
      </w:tr>
      <w:tr w:rsidR="0098229D" w:rsidRPr="000F53D1" w14:paraId="2C7CE437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C11001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168FFA2A" w14:textId="77777777" w:rsidR="0098229D" w:rsidRPr="00142CB2" w:rsidRDefault="00414067" w:rsidP="00EA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15</w:t>
            </w:r>
            <w:r w:rsidR="00234135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12</w:t>
            </w:r>
            <w:r w:rsidR="00234135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17895">
              <w:rPr>
                <w:rFonts w:cs="Georgia"/>
                <w:color w:val="000000"/>
                <w:sz w:val="21"/>
                <w:szCs w:val="21"/>
              </w:rPr>
              <w:t xml:space="preserve"> </w:t>
            </w:r>
            <w:r w:rsidR="00234135">
              <w:rPr>
                <w:rFonts w:cs="Georgia"/>
                <w:color w:val="000000"/>
                <w:sz w:val="21"/>
                <w:szCs w:val="21"/>
              </w:rPr>
              <w:t>202</w:t>
            </w:r>
            <w:r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0F53D1" w14:paraId="6C25A3F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4E4BEC5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51B6C80E" w14:textId="77777777" w:rsidR="0098229D" w:rsidRPr="00142CB2" w:rsidRDefault="00414067" w:rsidP="00EA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BB48CE">
              <w:rPr>
                <w:rFonts w:cs="Georgia"/>
                <w:color w:val="000000"/>
                <w:sz w:val="21"/>
                <w:szCs w:val="21"/>
              </w:rPr>
              <w:t>4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EA4815">
              <w:rPr>
                <w:rFonts w:cs="Georgia"/>
                <w:color w:val="000000"/>
                <w:sz w:val="21"/>
                <w:szCs w:val="21"/>
              </w:rPr>
              <w:t xml:space="preserve"> </w:t>
            </w:r>
            <w:r w:rsidR="00BB48CE">
              <w:rPr>
                <w:rFonts w:cs="Georgia"/>
                <w:color w:val="000000"/>
                <w:sz w:val="21"/>
                <w:szCs w:val="21"/>
              </w:rPr>
              <w:t>10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EA4815">
              <w:rPr>
                <w:rFonts w:cs="Georgia"/>
                <w:color w:val="000000"/>
                <w:sz w:val="21"/>
                <w:szCs w:val="21"/>
              </w:rPr>
              <w:t xml:space="preserve"> 202</w:t>
            </w:r>
            <w:r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0F53D1" w14:paraId="305E32B6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7B11181E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59D736CD" w14:textId="77777777" w:rsidR="0098229D" w:rsidRPr="000F53D1" w:rsidRDefault="00D26684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-</w:t>
            </w:r>
          </w:p>
        </w:tc>
      </w:tr>
    </w:tbl>
    <w:p w14:paraId="28CC3A99" w14:textId="77777777" w:rsidR="002F5D21" w:rsidRDefault="002F5D21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3DF0C830" w14:textId="77777777" w:rsidR="00566F6C" w:rsidRPr="00EE025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EA4815">
        <w:rPr>
          <w:rFonts w:cs="Calibri"/>
          <w:b/>
          <w:bCs/>
        </w:rPr>
        <w:lastRenderedPageBreak/>
        <w:t>Plnění bude financováno z</w:t>
      </w:r>
      <w:r w:rsidR="00EA4815" w:rsidRPr="00EA4815">
        <w:rPr>
          <w:b/>
        </w:rPr>
        <w:t> globální položky „</w:t>
      </w:r>
      <w:proofErr w:type="gramStart"/>
      <w:r w:rsidR="00EA4815" w:rsidRPr="00EA4815">
        <w:rPr>
          <w:b/>
        </w:rPr>
        <w:t>ŘVC - Příprava</w:t>
      </w:r>
      <w:proofErr w:type="gramEnd"/>
      <w:r w:rsidR="00EA4815" w:rsidRPr="00EA4815">
        <w:rPr>
          <w:b/>
        </w:rPr>
        <w:t xml:space="preserve"> a vypořádání staveb“, číslo ISPROFOND 500 554 0004, </w:t>
      </w:r>
      <w:r w:rsidR="00EA4815" w:rsidRPr="00EE0254">
        <w:rPr>
          <w:rFonts w:cs="Calibri"/>
          <w:b/>
        </w:rPr>
        <w:t>položka</w:t>
      </w:r>
      <w:r w:rsidR="00CA7A67" w:rsidRPr="00CA7A67">
        <w:rPr>
          <w:rFonts w:cs="Calibri"/>
          <w:b/>
        </w:rPr>
        <w:t xml:space="preserve"> „</w:t>
      </w:r>
      <w:r w:rsidR="00706179">
        <w:rPr>
          <w:rFonts w:cs="Calibri"/>
          <w:b/>
        </w:rPr>
        <w:t>Stání na Vltavské vodní cestě</w:t>
      </w:r>
      <w:r w:rsidR="00CA7A67" w:rsidRPr="00CA7A67">
        <w:rPr>
          <w:rFonts w:cs="Calibri"/>
          <w:b/>
        </w:rPr>
        <w:t xml:space="preserve">“, číslo projektu </w:t>
      </w:r>
      <w:r w:rsidR="00B560AF" w:rsidRPr="00B560AF">
        <w:rPr>
          <w:rFonts w:cs="Calibri"/>
          <w:b/>
        </w:rPr>
        <w:t>5</w:t>
      </w:r>
      <w:r w:rsidR="00706179">
        <w:rPr>
          <w:rFonts w:cs="Calibri"/>
          <w:b/>
        </w:rPr>
        <w:t>21</w:t>
      </w:r>
      <w:r w:rsidR="00B560AF">
        <w:rPr>
          <w:rFonts w:cs="Calibri"/>
          <w:b/>
        </w:rPr>
        <w:t> </w:t>
      </w:r>
      <w:r w:rsidR="00B560AF" w:rsidRPr="00B560AF">
        <w:rPr>
          <w:rFonts w:cs="Calibri"/>
          <w:b/>
        </w:rPr>
        <w:t>551</w:t>
      </w:r>
      <w:r w:rsidR="00B560AF">
        <w:rPr>
          <w:rFonts w:cs="Calibri"/>
          <w:b/>
        </w:rPr>
        <w:t xml:space="preserve"> </w:t>
      </w:r>
      <w:r w:rsidR="00B560AF" w:rsidRPr="00B560AF">
        <w:rPr>
          <w:rFonts w:cs="Calibri"/>
          <w:b/>
        </w:rPr>
        <w:t>00</w:t>
      </w:r>
      <w:r w:rsidR="00706179">
        <w:rPr>
          <w:rFonts w:cs="Calibri"/>
          <w:b/>
        </w:rPr>
        <w:t>12</w:t>
      </w:r>
      <w:r w:rsidR="00EA4815" w:rsidRPr="00EE0254">
        <w:rPr>
          <w:rFonts w:cs="Calibri"/>
          <w:b/>
        </w:rPr>
        <w:t>.</w:t>
      </w:r>
    </w:p>
    <w:p w14:paraId="593CB3A6" w14:textId="77777777" w:rsidR="00E66B89" w:rsidRPr="00A63DA4" w:rsidRDefault="00E66B89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Calibri"/>
          <w:b/>
          <w:bCs/>
          <w:sz w:val="6"/>
          <w:szCs w:val="6"/>
        </w:rPr>
      </w:pPr>
    </w:p>
    <w:p w14:paraId="08C4DBD2" w14:textId="77777777" w:rsidR="002F5D21" w:rsidRDefault="002F5D21" w:rsidP="00A63DA4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Calibri"/>
          <w:b/>
          <w:bCs/>
        </w:rPr>
      </w:pPr>
    </w:p>
    <w:p w14:paraId="0331CC14" w14:textId="77777777" w:rsidR="00873BAD" w:rsidRPr="00A63DA4" w:rsidRDefault="00566F6C" w:rsidP="00A63DA4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CB2A6D">
        <w:rPr>
          <w:rFonts w:cs="Calibri"/>
          <w:b/>
          <w:bCs/>
        </w:rPr>
        <w:t>je</w:t>
      </w:r>
      <w:r>
        <w:rPr>
          <w:rFonts w:cs="Calibri"/>
          <w:b/>
          <w:bCs/>
        </w:rPr>
        <w:t xml:space="preserve"> pro ekonomickou činnost ŘVC ČR</w:t>
      </w:r>
      <w:r w:rsidR="00946057">
        <w:rPr>
          <w:rFonts w:cs="Calibri"/>
          <w:b/>
          <w:bCs/>
        </w:rPr>
        <w:t>.</w:t>
      </w:r>
    </w:p>
    <w:p w14:paraId="286EC501" w14:textId="77777777" w:rsidR="0062526E" w:rsidRDefault="0062526E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3C887183" w14:textId="77777777" w:rsidR="002F5D21" w:rsidRDefault="002F5D21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9777745" w14:textId="77777777" w:rsidR="002F5D21" w:rsidRDefault="002F5D21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727733F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1F7D2848" w14:textId="78328946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73258F" w:rsidRPr="0073258F">
        <w:rPr>
          <w:b/>
          <w:bCs/>
        </w:rPr>
        <w:t>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F7F1751" w14:textId="77777777" w:rsidR="00E66B89" w:rsidRDefault="00670F35" w:rsidP="00F24AA2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EA4815">
        <w:rPr>
          <w:bCs/>
        </w:rPr>
        <w:t>O</w:t>
      </w:r>
      <w:r w:rsidR="00EA4815" w:rsidRPr="00EA4815">
        <w:rPr>
          <w:bCs/>
        </w:rPr>
        <w:t>PR</w:t>
      </w:r>
      <w:r>
        <w:rPr>
          <w:b/>
          <w:bCs/>
        </w:rPr>
        <w:tab/>
      </w:r>
      <w:r w:rsidRPr="00EA4815">
        <w:rPr>
          <w:bCs/>
        </w:rPr>
        <w:t>ředitel ŘVC ČR</w:t>
      </w:r>
    </w:p>
    <w:p w14:paraId="69AE4B00" w14:textId="77777777" w:rsidR="00E66B89" w:rsidRPr="002F5D21" w:rsidRDefault="00E66B89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  <w:sz w:val="24"/>
          <w:szCs w:val="24"/>
        </w:rPr>
      </w:pPr>
    </w:p>
    <w:p w14:paraId="5E803144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76EED79D" w14:textId="26FE1EDF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73258F" w:rsidRPr="0073258F">
        <w:rPr>
          <w:b/>
          <w:bCs/>
        </w:rPr>
        <w:t>XXXXXXXXXX</w:t>
      </w:r>
    </w:p>
    <w:p w14:paraId="43D2A10A" w14:textId="77777777" w:rsidR="00E66B89" w:rsidRDefault="00670F35" w:rsidP="00F24AA2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</w:t>
      </w:r>
      <w:r w:rsidR="00F24AA2">
        <w:t>u</w:t>
      </w:r>
    </w:p>
    <w:p w14:paraId="0278D1FB" w14:textId="77777777" w:rsidR="002F5D21" w:rsidRDefault="002F5D21" w:rsidP="00F24AA2">
      <w:pPr>
        <w:tabs>
          <w:tab w:val="center" w:pos="5245"/>
        </w:tabs>
        <w:spacing w:after="0" w:line="240" w:lineRule="auto"/>
        <w:ind w:left="2160" w:firstLine="720"/>
      </w:pPr>
    </w:p>
    <w:p w14:paraId="701C3963" w14:textId="77777777" w:rsidR="002F5D21" w:rsidRDefault="002F5D21" w:rsidP="00F24AA2">
      <w:pPr>
        <w:tabs>
          <w:tab w:val="center" w:pos="5245"/>
        </w:tabs>
        <w:spacing w:after="0" w:line="240" w:lineRule="auto"/>
        <w:ind w:left="2160" w:firstLine="720"/>
      </w:pPr>
    </w:p>
    <w:p w14:paraId="05D27572" w14:textId="77777777" w:rsidR="002F5D21" w:rsidRDefault="002F5D21" w:rsidP="00F24AA2">
      <w:pPr>
        <w:tabs>
          <w:tab w:val="center" w:pos="5245"/>
        </w:tabs>
        <w:spacing w:after="0" w:line="240" w:lineRule="auto"/>
        <w:ind w:left="2160" w:firstLine="720"/>
      </w:pPr>
    </w:p>
    <w:p w14:paraId="75F03ECC" w14:textId="77777777" w:rsidR="002F5D21" w:rsidRDefault="002F5D21" w:rsidP="00F24AA2">
      <w:pPr>
        <w:tabs>
          <w:tab w:val="center" w:pos="5245"/>
        </w:tabs>
        <w:spacing w:after="0" w:line="240" w:lineRule="auto"/>
        <w:ind w:left="2160" w:firstLine="720"/>
      </w:pPr>
    </w:p>
    <w:p w14:paraId="1CA614A5" w14:textId="77777777" w:rsidR="002F5D21" w:rsidRPr="00816AA2" w:rsidRDefault="002F5D21" w:rsidP="002F5D21">
      <w:pPr>
        <w:spacing w:after="0"/>
      </w:pPr>
      <w:r w:rsidRPr="00816AA2">
        <w:t>Za dodavatele převzal a akceptuje:</w:t>
      </w:r>
    </w:p>
    <w:p w14:paraId="2A72AD39" w14:textId="77777777" w:rsidR="002F5D21" w:rsidRDefault="002F5D21" w:rsidP="002F5D21">
      <w:pPr>
        <w:spacing w:after="120"/>
      </w:pPr>
      <w:r w:rsidRPr="00816AA2">
        <w:t>Dne:</w:t>
      </w:r>
    </w:p>
    <w:p w14:paraId="0C6C2ECA" w14:textId="77777777" w:rsidR="00BB48CE" w:rsidRDefault="00BB48CE" w:rsidP="002F5D21">
      <w:pPr>
        <w:spacing w:after="120"/>
      </w:pPr>
    </w:p>
    <w:p w14:paraId="2D4BAF03" w14:textId="77777777" w:rsidR="00BB48CE" w:rsidRPr="00566F6C" w:rsidRDefault="00BB48CE" w:rsidP="002F5D21">
      <w:pPr>
        <w:spacing w:after="120"/>
      </w:pPr>
    </w:p>
    <w:p w14:paraId="4B85BF56" w14:textId="77777777" w:rsidR="00BB48CE" w:rsidRPr="00566F6C" w:rsidRDefault="00BB48CE" w:rsidP="00BB48CE">
      <w:pPr>
        <w:spacing w:after="120"/>
      </w:pPr>
      <w:r w:rsidRPr="0060557E">
        <w:t>Uveřejněno v Registru smluv dne ………………………</w:t>
      </w:r>
      <w:proofErr w:type="gramStart"/>
      <w:r w:rsidRPr="0060557E">
        <w:t>…….</w:t>
      </w:r>
      <w:proofErr w:type="gramEnd"/>
      <w:r w:rsidRPr="0060557E">
        <w:t>.</w:t>
      </w:r>
    </w:p>
    <w:p w14:paraId="650A1763" w14:textId="77777777" w:rsidR="002F5D21" w:rsidRDefault="002F5D21" w:rsidP="002F5D21">
      <w:pPr>
        <w:tabs>
          <w:tab w:val="center" w:pos="5245"/>
        </w:tabs>
        <w:spacing w:after="0" w:line="240" w:lineRule="auto"/>
        <w:ind w:left="2160" w:hanging="2160"/>
      </w:pPr>
    </w:p>
    <w:sectPr w:rsidR="002F5D21" w:rsidSect="00CA7A67">
      <w:footerReference w:type="default" r:id="rId8"/>
      <w:pgSz w:w="11903" w:h="16835"/>
      <w:pgMar w:top="426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29A2" w14:textId="77777777" w:rsidR="00C36396" w:rsidRDefault="00C36396">
      <w:pPr>
        <w:spacing w:after="0" w:line="240" w:lineRule="auto"/>
      </w:pPr>
      <w:r>
        <w:separator/>
      </w:r>
    </w:p>
  </w:endnote>
  <w:endnote w:type="continuationSeparator" w:id="0">
    <w:p w14:paraId="0CCFA240" w14:textId="77777777" w:rsidR="00C36396" w:rsidRDefault="00C3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0DBD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FF0C" w14:textId="77777777" w:rsidR="00C36396" w:rsidRDefault="00C36396">
      <w:pPr>
        <w:spacing w:after="0" w:line="240" w:lineRule="auto"/>
      </w:pPr>
      <w:r>
        <w:separator/>
      </w:r>
    </w:p>
  </w:footnote>
  <w:footnote w:type="continuationSeparator" w:id="0">
    <w:p w14:paraId="572D3760" w14:textId="77777777" w:rsidR="00C36396" w:rsidRDefault="00C36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FD7114"/>
    <w:multiLevelType w:val="hybridMultilevel"/>
    <w:tmpl w:val="CDD874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2255411">
    <w:abstractNumId w:val="2"/>
  </w:num>
  <w:num w:numId="2" w16cid:durableId="1827740165">
    <w:abstractNumId w:val="0"/>
  </w:num>
  <w:num w:numId="3" w16cid:durableId="201479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733BC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300F"/>
    <w:rsid w:val="001354F5"/>
    <w:rsid w:val="00137716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A5EE6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34135"/>
    <w:rsid w:val="00241F70"/>
    <w:rsid w:val="002436F1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08D3"/>
    <w:rsid w:val="002B5756"/>
    <w:rsid w:val="002C59FB"/>
    <w:rsid w:val="002D437A"/>
    <w:rsid w:val="002F5D21"/>
    <w:rsid w:val="00301433"/>
    <w:rsid w:val="00332A8D"/>
    <w:rsid w:val="003347D7"/>
    <w:rsid w:val="0034167F"/>
    <w:rsid w:val="00350C13"/>
    <w:rsid w:val="00360C8B"/>
    <w:rsid w:val="00362025"/>
    <w:rsid w:val="00374631"/>
    <w:rsid w:val="003872C4"/>
    <w:rsid w:val="0039145E"/>
    <w:rsid w:val="0039400B"/>
    <w:rsid w:val="0039647F"/>
    <w:rsid w:val="003A64DD"/>
    <w:rsid w:val="003B25AA"/>
    <w:rsid w:val="003E2D12"/>
    <w:rsid w:val="003E457B"/>
    <w:rsid w:val="003E5966"/>
    <w:rsid w:val="003F2237"/>
    <w:rsid w:val="003F2364"/>
    <w:rsid w:val="00414067"/>
    <w:rsid w:val="004308AD"/>
    <w:rsid w:val="004336B4"/>
    <w:rsid w:val="00455802"/>
    <w:rsid w:val="0046035B"/>
    <w:rsid w:val="00463B6A"/>
    <w:rsid w:val="00463D83"/>
    <w:rsid w:val="004A292A"/>
    <w:rsid w:val="004B1A72"/>
    <w:rsid w:val="004C4BD3"/>
    <w:rsid w:val="004C54FB"/>
    <w:rsid w:val="004D7545"/>
    <w:rsid w:val="004F1490"/>
    <w:rsid w:val="004F3348"/>
    <w:rsid w:val="00504226"/>
    <w:rsid w:val="00505A0C"/>
    <w:rsid w:val="00510E25"/>
    <w:rsid w:val="005258CA"/>
    <w:rsid w:val="00534A12"/>
    <w:rsid w:val="00535C2D"/>
    <w:rsid w:val="00542083"/>
    <w:rsid w:val="00542F67"/>
    <w:rsid w:val="005510CD"/>
    <w:rsid w:val="00566F6C"/>
    <w:rsid w:val="00567701"/>
    <w:rsid w:val="005716E0"/>
    <w:rsid w:val="00582B3C"/>
    <w:rsid w:val="00585546"/>
    <w:rsid w:val="005916D4"/>
    <w:rsid w:val="005928C8"/>
    <w:rsid w:val="005A2212"/>
    <w:rsid w:val="005A6748"/>
    <w:rsid w:val="005B415F"/>
    <w:rsid w:val="005C142D"/>
    <w:rsid w:val="005C5A2C"/>
    <w:rsid w:val="005E31C2"/>
    <w:rsid w:val="005F1E73"/>
    <w:rsid w:val="00603131"/>
    <w:rsid w:val="00616F9D"/>
    <w:rsid w:val="00617013"/>
    <w:rsid w:val="0062526E"/>
    <w:rsid w:val="00625F19"/>
    <w:rsid w:val="00631B68"/>
    <w:rsid w:val="006378B9"/>
    <w:rsid w:val="00652DC0"/>
    <w:rsid w:val="00656ED8"/>
    <w:rsid w:val="00667C66"/>
    <w:rsid w:val="00670F35"/>
    <w:rsid w:val="00690093"/>
    <w:rsid w:val="00697726"/>
    <w:rsid w:val="006B2D53"/>
    <w:rsid w:val="006B71F4"/>
    <w:rsid w:val="006C19DA"/>
    <w:rsid w:val="006D47EE"/>
    <w:rsid w:val="006E65AE"/>
    <w:rsid w:val="006E75A3"/>
    <w:rsid w:val="006F3396"/>
    <w:rsid w:val="006F59A1"/>
    <w:rsid w:val="006F5D79"/>
    <w:rsid w:val="007013A3"/>
    <w:rsid w:val="0070144E"/>
    <w:rsid w:val="00704A47"/>
    <w:rsid w:val="00706179"/>
    <w:rsid w:val="0071229C"/>
    <w:rsid w:val="00717262"/>
    <w:rsid w:val="00720D87"/>
    <w:rsid w:val="00730E1E"/>
    <w:rsid w:val="0073258F"/>
    <w:rsid w:val="0073471F"/>
    <w:rsid w:val="00742CFF"/>
    <w:rsid w:val="0075350D"/>
    <w:rsid w:val="00775387"/>
    <w:rsid w:val="00775F44"/>
    <w:rsid w:val="007846C5"/>
    <w:rsid w:val="00785B87"/>
    <w:rsid w:val="00785C31"/>
    <w:rsid w:val="00786073"/>
    <w:rsid w:val="00797D12"/>
    <w:rsid w:val="007A44CD"/>
    <w:rsid w:val="007A4ABD"/>
    <w:rsid w:val="007B1E39"/>
    <w:rsid w:val="007B4B59"/>
    <w:rsid w:val="007C5329"/>
    <w:rsid w:val="007F333D"/>
    <w:rsid w:val="007F40AB"/>
    <w:rsid w:val="007F5C8C"/>
    <w:rsid w:val="007F5DD1"/>
    <w:rsid w:val="00805997"/>
    <w:rsid w:val="00816AA2"/>
    <w:rsid w:val="008302CA"/>
    <w:rsid w:val="00836EC4"/>
    <w:rsid w:val="00840826"/>
    <w:rsid w:val="00850A1C"/>
    <w:rsid w:val="00852A6D"/>
    <w:rsid w:val="00852E25"/>
    <w:rsid w:val="00864377"/>
    <w:rsid w:val="00873BAD"/>
    <w:rsid w:val="00875C31"/>
    <w:rsid w:val="00882612"/>
    <w:rsid w:val="008C6BAA"/>
    <w:rsid w:val="008E4C60"/>
    <w:rsid w:val="009152E1"/>
    <w:rsid w:val="00946057"/>
    <w:rsid w:val="009532C2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A22369"/>
    <w:rsid w:val="00A25C88"/>
    <w:rsid w:val="00A30A31"/>
    <w:rsid w:val="00A33837"/>
    <w:rsid w:val="00A43D3F"/>
    <w:rsid w:val="00A44C32"/>
    <w:rsid w:val="00A461FE"/>
    <w:rsid w:val="00A61FF8"/>
    <w:rsid w:val="00A63D89"/>
    <w:rsid w:val="00A63DA4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7895"/>
    <w:rsid w:val="00B203C6"/>
    <w:rsid w:val="00B4150D"/>
    <w:rsid w:val="00B4678A"/>
    <w:rsid w:val="00B560AF"/>
    <w:rsid w:val="00B82368"/>
    <w:rsid w:val="00B936BA"/>
    <w:rsid w:val="00BB050A"/>
    <w:rsid w:val="00BB48CE"/>
    <w:rsid w:val="00BB50D1"/>
    <w:rsid w:val="00BC1A7F"/>
    <w:rsid w:val="00BC4605"/>
    <w:rsid w:val="00BC6B04"/>
    <w:rsid w:val="00BD086A"/>
    <w:rsid w:val="00BD2091"/>
    <w:rsid w:val="00BD6EAD"/>
    <w:rsid w:val="00BF0018"/>
    <w:rsid w:val="00C10375"/>
    <w:rsid w:val="00C12BCD"/>
    <w:rsid w:val="00C22402"/>
    <w:rsid w:val="00C36396"/>
    <w:rsid w:val="00C37BCE"/>
    <w:rsid w:val="00C52011"/>
    <w:rsid w:val="00C520CE"/>
    <w:rsid w:val="00C7284B"/>
    <w:rsid w:val="00C72860"/>
    <w:rsid w:val="00C80DFF"/>
    <w:rsid w:val="00C81B08"/>
    <w:rsid w:val="00C851E4"/>
    <w:rsid w:val="00C86916"/>
    <w:rsid w:val="00CA7A67"/>
    <w:rsid w:val="00CB2A6D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6684"/>
    <w:rsid w:val="00D405C7"/>
    <w:rsid w:val="00D42667"/>
    <w:rsid w:val="00D4300B"/>
    <w:rsid w:val="00D618D2"/>
    <w:rsid w:val="00D670B1"/>
    <w:rsid w:val="00D67FF4"/>
    <w:rsid w:val="00D71F88"/>
    <w:rsid w:val="00D925E6"/>
    <w:rsid w:val="00D93E5F"/>
    <w:rsid w:val="00D97030"/>
    <w:rsid w:val="00DA2769"/>
    <w:rsid w:val="00DA3294"/>
    <w:rsid w:val="00DA4087"/>
    <w:rsid w:val="00DA7C89"/>
    <w:rsid w:val="00DB223F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5704D"/>
    <w:rsid w:val="00E6418C"/>
    <w:rsid w:val="00E66B89"/>
    <w:rsid w:val="00E71112"/>
    <w:rsid w:val="00E86BEE"/>
    <w:rsid w:val="00EA4815"/>
    <w:rsid w:val="00EA4DBD"/>
    <w:rsid w:val="00EB75C4"/>
    <w:rsid w:val="00EC681B"/>
    <w:rsid w:val="00EC6A26"/>
    <w:rsid w:val="00ED13FC"/>
    <w:rsid w:val="00EE0254"/>
    <w:rsid w:val="00EE2D0D"/>
    <w:rsid w:val="00EE7917"/>
    <w:rsid w:val="00EE7B7D"/>
    <w:rsid w:val="00EF5B87"/>
    <w:rsid w:val="00F02A76"/>
    <w:rsid w:val="00F104F1"/>
    <w:rsid w:val="00F1081C"/>
    <w:rsid w:val="00F237B0"/>
    <w:rsid w:val="00F24AA2"/>
    <w:rsid w:val="00F3345D"/>
    <w:rsid w:val="00F35772"/>
    <w:rsid w:val="00F54D50"/>
    <w:rsid w:val="00F81C73"/>
    <w:rsid w:val="00F85F35"/>
    <w:rsid w:val="00F92078"/>
    <w:rsid w:val="00F92A13"/>
    <w:rsid w:val="00FB6C8F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D6E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B2A6D"/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E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B7D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E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B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2023-12-08T08:40:00Z</dcterms:created>
  <dcterms:modified xsi:type="dcterms:W3CDTF">2023-12-08T08:40:00Z</dcterms:modified>
</cp:coreProperties>
</file>