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1525" w14:textId="2EB101D3" w:rsidR="007C11C0" w:rsidRDefault="007C11C0" w:rsidP="007C11C0">
      <w:pPr>
        <w:pBdr>
          <w:top w:val="single" w:sz="4" w:space="1" w:color="auto"/>
          <w:left w:val="single" w:sz="4" w:space="4" w:color="auto"/>
          <w:bottom w:val="single" w:sz="4" w:space="1" w:color="auto"/>
          <w:right w:val="single" w:sz="4" w:space="4" w:color="auto"/>
        </w:pBdr>
        <w:tabs>
          <w:tab w:val="clear" w:pos="425"/>
          <w:tab w:val="left" w:pos="0"/>
        </w:tabs>
        <w:ind w:left="0" w:firstLine="0"/>
        <w:jc w:val="center"/>
        <w:rPr>
          <w:b/>
          <w:caps/>
          <w:sz w:val="40"/>
        </w:rPr>
      </w:pPr>
      <w:r w:rsidRPr="007C11C0">
        <w:rPr>
          <w:b/>
          <w:caps/>
          <w:sz w:val="40"/>
        </w:rPr>
        <w:t>SMLO</w:t>
      </w:r>
      <w:r>
        <w:rPr>
          <w:b/>
          <w:caps/>
          <w:sz w:val="40"/>
        </w:rPr>
        <w:t>UVA O ÚČASTI NA ŘEŠENÍ PROJEKTU</w:t>
      </w:r>
      <w:r>
        <w:rPr>
          <w:b/>
          <w:caps/>
          <w:sz w:val="40"/>
        </w:rPr>
        <w:br/>
      </w:r>
      <w:r w:rsidRPr="007C11C0">
        <w:rPr>
          <w:b/>
          <w:caps/>
          <w:sz w:val="40"/>
        </w:rPr>
        <w:t>A O VYUŽITÍ VÝSLEDKŮ</w:t>
      </w:r>
    </w:p>
    <w:p w14:paraId="11446333" w14:textId="5523013F" w:rsidR="006B1C9F" w:rsidRPr="00CC485F" w:rsidRDefault="00342A93" w:rsidP="007C11C0">
      <w:pPr>
        <w:pBdr>
          <w:top w:val="single" w:sz="4" w:space="1" w:color="auto"/>
          <w:left w:val="single" w:sz="4" w:space="4" w:color="auto"/>
          <w:bottom w:val="single" w:sz="4" w:space="1" w:color="auto"/>
          <w:right w:val="single" w:sz="4" w:space="4" w:color="auto"/>
        </w:pBdr>
        <w:jc w:val="center"/>
      </w:pPr>
      <w:r w:rsidRPr="00CC485F">
        <w:t xml:space="preserve">Číslo </w:t>
      </w:r>
      <w:r w:rsidR="00605E46" w:rsidRPr="00CC485F">
        <w:t>smlouvy</w:t>
      </w:r>
      <w:r w:rsidRPr="00CC485F">
        <w:t xml:space="preserve">: </w:t>
      </w:r>
      <w:r w:rsidR="004C30AF">
        <w:rPr>
          <w:rFonts w:ascii="Calibri" w:hAnsi="Calibri" w:cs="Calibri"/>
          <w:color w:val="242424"/>
          <w:shd w:val="clear" w:color="auto" w:fill="FFFFFF"/>
        </w:rPr>
        <w:t>22528/2023/00</w:t>
      </w:r>
    </w:p>
    <w:p w14:paraId="079E6064" w14:textId="77777777" w:rsidR="00E14FF5" w:rsidRPr="009F0540" w:rsidRDefault="00E14FF5" w:rsidP="006522BB">
      <w:pPr>
        <w:jc w:val="center"/>
        <w:rPr>
          <w:sz w:val="18"/>
          <w:szCs w:val="18"/>
        </w:rPr>
      </w:pPr>
      <w:r w:rsidRPr="009F0540">
        <w:rPr>
          <w:sz w:val="18"/>
          <w:szCs w:val="18"/>
        </w:rPr>
        <w:t>uzavřely níže uvedeného dne, měsíce a roku a za následujících podmínek tyto smluvní strany</w:t>
      </w:r>
    </w:p>
    <w:p w14:paraId="1672A23D" w14:textId="77777777" w:rsidR="00A36C68" w:rsidRPr="006522BB" w:rsidRDefault="00A36C68" w:rsidP="00271679">
      <w:pPr>
        <w:jc w:val="left"/>
        <w:rPr>
          <w:sz w:val="16"/>
          <w:szCs w:val="18"/>
        </w:rPr>
      </w:pPr>
    </w:p>
    <w:p w14:paraId="2FB99FFF" w14:textId="1105FEE4" w:rsidR="000A2D8A" w:rsidRPr="006522BB" w:rsidRDefault="00A63AF8" w:rsidP="000A2D8A">
      <w:pPr>
        <w:rPr>
          <w:b/>
        </w:rPr>
      </w:pPr>
      <w:proofErr w:type="gramStart"/>
      <w:r w:rsidRPr="00066DDD">
        <w:rPr>
          <w:b/>
        </w:rPr>
        <w:t>MEgA - Měřící</w:t>
      </w:r>
      <w:proofErr w:type="gramEnd"/>
      <w:r w:rsidRPr="00066DDD">
        <w:rPr>
          <w:b/>
        </w:rPr>
        <w:t xml:space="preserve"> Energetické Aparáty, a.s.</w:t>
      </w:r>
    </w:p>
    <w:p w14:paraId="7F3BBF17" w14:textId="58DEDE67" w:rsidR="000A2D8A" w:rsidRPr="00CC485F" w:rsidRDefault="000A2D8A" w:rsidP="000A2D8A">
      <w:pPr>
        <w:tabs>
          <w:tab w:val="left" w:pos="1701"/>
        </w:tabs>
        <w:jc w:val="left"/>
        <w:rPr>
          <w:b/>
        </w:rPr>
      </w:pPr>
      <w:r>
        <w:tab/>
      </w:r>
      <w:r w:rsidR="00A63AF8" w:rsidRPr="00CC485F">
        <w:t xml:space="preserve">Sídlem: </w:t>
      </w:r>
      <w:r w:rsidR="00A63AF8" w:rsidRPr="00CC485F">
        <w:tab/>
      </w:r>
      <w:r w:rsidR="00A63AF8">
        <w:t>Česká 390, 664 31 Česká</w:t>
      </w:r>
      <w:r w:rsidR="00A63AF8" w:rsidRPr="00CC485F">
        <w:br/>
        <w:t xml:space="preserve">IČ: </w:t>
      </w:r>
      <w:r w:rsidR="00A63AF8" w:rsidRPr="00CC485F">
        <w:tab/>
      </w:r>
      <w:r w:rsidR="00A63AF8" w:rsidRPr="00250C8D">
        <w:t>25567110</w:t>
      </w:r>
      <w:r w:rsidR="00A63AF8" w:rsidRPr="00CC485F">
        <w:br/>
        <w:t xml:space="preserve">DIČ: </w:t>
      </w:r>
      <w:r w:rsidR="00A63AF8" w:rsidRPr="00CC485F">
        <w:tab/>
      </w:r>
      <w:r w:rsidR="00A63AF8">
        <w:t>CZ25567110</w:t>
      </w:r>
      <w:r w:rsidR="00A63AF8" w:rsidRPr="00CC485F">
        <w:br/>
        <w:t xml:space="preserve">Bankovní spojení: </w:t>
      </w:r>
      <w:r w:rsidR="00A63AF8" w:rsidRPr="00CC485F">
        <w:tab/>
      </w:r>
      <w:proofErr w:type="spellStart"/>
      <w:r w:rsidR="00184BFE">
        <w:t>xxxx</w:t>
      </w:r>
      <w:proofErr w:type="spellEnd"/>
      <w:r w:rsidR="00A63AF8">
        <w:t xml:space="preserve">, </w:t>
      </w:r>
      <w:r w:rsidR="00A63AF8" w:rsidRPr="00CC485F">
        <w:t xml:space="preserve">vedený u </w:t>
      </w:r>
      <w:r w:rsidR="00A63AF8" w:rsidRPr="007B5EB5">
        <w:t>Komerční banka Brno</w:t>
      </w:r>
      <w:r w:rsidR="00A63AF8">
        <w:br/>
        <w:t>Zapsána v obchodním rejstříku vedeném u Krajského soudu v Brně, oddíl B, vložka 5913</w:t>
      </w:r>
      <w:r w:rsidR="00A63AF8" w:rsidRPr="00CC485F">
        <w:br/>
      </w:r>
      <w:r w:rsidR="00A63AF8">
        <w:t>O</w:t>
      </w:r>
      <w:r w:rsidR="00A63AF8" w:rsidRPr="00577961">
        <w:t>dpovědn</w:t>
      </w:r>
      <w:r w:rsidR="00A63AF8">
        <w:t>ý</w:t>
      </w:r>
      <w:r w:rsidR="00A63AF8" w:rsidRPr="00577961">
        <w:t xml:space="preserve"> </w:t>
      </w:r>
      <w:r w:rsidR="00A63AF8">
        <w:t xml:space="preserve">zaměstnanec </w:t>
      </w:r>
      <w:r w:rsidR="00A63AF8" w:rsidRPr="00577961">
        <w:t xml:space="preserve">za </w:t>
      </w:r>
      <w:r w:rsidR="00A63AF8">
        <w:t>příjemce</w:t>
      </w:r>
      <w:r w:rsidR="00A63AF8" w:rsidRPr="00577961">
        <w:t xml:space="preserve">: </w:t>
      </w:r>
      <w:proofErr w:type="spellStart"/>
      <w:r w:rsidR="00184BFE">
        <w:t>xxxx</w:t>
      </w:r>
      <w:proofErr w:type="spellEnd"/>
      <w:r w:rsidR="00A63AF8" w:rsidRPr="007B5EB5">
        <w:t>.</w:t>
      </w:r>
      <w:r w:rsidR="00A63AF8">
        <w:t xml:space="preserve"> a </w:t>
      </w:r>
      <w:proofErr w:type="spellStart"/>
      <w:r w:rsidR="00A63AF8">
        <w:t>I</w:t>
      </w:r>
      <w:r w:rsidR="00184BFE">
        <w:t>xxxx</w:t>
      </w:r>
      <w:proofErr w:type="spellEnd"/>
      <w:r w:rsidR="00A63AF8">
        <w:t xml:space="preserve"> </w:t>
      </w:r>
      <w:r w:rsidR="00A63AF8">
        <w:br/>
      </w:r>
      <w:r w:rsidR="00A63AF8" w:rsidRPr="00120A6B">
        <w:t xml:space="preserve">dále též jako </w:t>
      </w:r>
      <w:r w:rsidR="00A63AF8" w:rsidRPr="00CC485F">
        <w:rPr>
          <w:b/>
        </w:rPr>
        <w:t>„</w:t>
      </w:r>
      <w:r w:rsidR="00A63AF8">
        <w:rPr>
          <w:b/>
        </w:rPr>
        <w:t>příjemce</w:t>
      </w:r>
      <w:r w:rsidR="00A63AF8" w:rsidRPr="00CC485F">
        <w:rPr>
          <w:b/>
        </w:rPr>
        <w:t>“</w:t>
      </w:r>
    </w:p>
    <w:p w14:paraId="32C79A77" w14:textId="5FE7A15E" w:rsidR="000A2D8A" w:rsidRPr="000A2D8A" w:rsidRDefault="000A2D8A" w:rsidP="007F008B">
      <w:r w:rsidRPr="000A2D8A">
        <w:t>a</w:t>
      </w:r>
    </w:p>
    <w:p w14:paraId="2EB60D09" w14:textId="2A58EFFA" w:rsidR="007F008B" w:rsidRPr="006522BB" w:rsidRDefault="007F008B" w:rsidP="007F008B">
      <w:pPr>
        <w:rPr>
          <w:b/>
        </w:rPr>
      </w:pPr>
      <w:r w:rsidRPr="006522BB">
        <w:rPr>
          <w:b/>
        </w:rPr>
        <w:t>Vysoké učení technické v Brně</w:t>
      </w:r>
    </w:p>
    <w:p w14:paraId="1429E668" w14:textId="77777777" w:rsidR="004233E1" w:rsidRDefault="007F008B" w:rsidP="004233E1">
      <w:pPr>
        <w:tabs>
          <w:tab w:val="left" w:pos="1701"/>
        </w:tabs>
        <w:spacing w:after="0"/>
        <w:jc w:val="left"/>
      </w:pPr>
      <w:r>
        <w:tab/>
        <w:t xml:space="preserve">Sídlem: </w:t>
      </w:r>
      <w:r>
        <w:tab/>
      </w:r>
      <w:r w:rsidRPr="00CC485F">
        <w:t>Antonínská 548/1, 601 90 Brno</w:t>
      </w:r>
      <w:r w:rsidRPr="00CC485F">
        <w:br/>
        <w:t xml:space="preserve">IČ: </w:t>
      </w:r>
      <w:r w:rsidRPr="00CC485F">
        <w:tab/>
        <w:t>00216305 (veřejná vysoká škola, nezapisuje se do OR)</w:t>
      </w:r>
      <w:r w:rsidRPr="00CC485F">
        <w:br/>
        <w:t xml:space="preserve">DIČ: </w:t>
      </w:r>
      <w:r w:rsidRPr="00CC485F">
        <w:tab/>
        <w:t>CZ00216305</w:t>
      </w:r>
    </w:p>
    <w:p w14:paraId="7D97CB53" w14:textId="34A55F35" w:rsidR="004233E1" w:rsidRPr="004233E1" w:rsidRDefault="004233E1" w:rsidP="004233E1">
      <w:pPr>
        <w:pStyle w:val="Zkladntext5"/>
        <w:tabs>
          <w:tab w:val="left" w:pos="426"/>
          <w:tab w:val="left" w:pos="2552"/>
          <w:tab w:val="left" w:pos="3420"/>
        </w:tabs>
        <w:spacing w:before="0"/>
        <w:ind w:left="3420" w:hanging="3420"/>
        <w:jc w:val="both"/>
        <w:rPr>
          <w:rFonts w:asciiTheme="minorHAnsi" w:hAnsiTheme="minorHAnsi"/>
          <w:bCs/>
          <w:szCs w:val="22"/>
        </w:rPr>
      </w:pPr>
      <w:r>
        <w:rPr>
          <w:rFonts w:asciiTheme="minorHAnsi" w:hAnsiTheme="minorHAnsi"/>
          <w:szCs w:val="22"/>
        </w:rPr>
        <w:tab/>
      </w:r>
      <w:proofErr w:type="gramStart"/>
      <w:r>
        <w:rPr>
          <w:rFonts w:asciiTheme="minorHAnsi" w:hAnsiTheme="minorHAnsi"/>
          <w:szCs w:val="22"/>
        </w:rPr>
        <w:t xml:space="preserve">Součást:   </w:t>
      </w:r>
      <w:proofErr w:type="gramEnd"/>
      <w:r>
        <w:rPr>
          <w:rFonts w:asciiTheme="minorHAnsi" w:hAnsiTheme="minorHAnsi"/>
          <w:szCs w:val="22"/>
        </w:rPr>
        <w:t xml:space="preserve">       </w:t>
      </w:r>
      <w:r w:rsidRPr="004233E1">
        <w:rPr>
          <w:rFonts w:asciiTheme="minorHAnsi" w:hAnsiTheme="minorHAnsi"/>
          <w:bCs/>
          <w:szCs w:val="22"/>
        </w:rPr>
        <w:t>Fakulta elektrotechniky a komunikačních technologií</w:t>
      </w:r>
    </w:p>
    <w:p w14:paraId="605B9CB9" w14:textId="09F1EB1F" w:rsidR="004233E1" w:rsidRPr="004233E1" w:rsidRDefault="004233E1" w:rsidP="004233E1">
      <w:pPr>
        <w:pStyle w:val="Zkladntext5"/>
        <w:tabs>
          <w:tab w:val="left" w:pos="426"/>
          <w:tab w:val="left" w:pos="2552"/>
          <w:tab w:val="left" w:pos="3240"/>
        </w:tabs>
        <w:spacing w:before="0"/>
        <w:ind w:left="2552" w:hanging="2552"/>
        <w:jc w:val="both"/>
        <w:rPr>
          <w:rFonts w:asciiTheme="minorHAnsi" w:hAnsiTheme="minorHAnsi"/>
          <w:bCs/>
          <w:szCs w:val="22"/>
        </w:rPr>
      </w:pPr>
      <w:r>
        <w:rPr>
          <w:rFonts w:asciiTheme="minorHAnsi" w:hAnsiTheme="minorHAnsi"/>
          <w:bCs/>
          <w:szCs w:val="22"/>
        </w:rPr>
        <w:tab/>
      </w:r>
      <w:r w:rsidRPr="004233E1">
        <w:rPr>
          <w:rFonts w:asciiTheme="minorHAnsi" w:hAnsiTheme="minorHAnsi"/>
          <w:bCs/>
          <w:szCs w:val="22"/>
        </w:rPr>
        <w:t>Sídlo součásti:</w:t>
      </w:r>
      <w:r>
        <w:rPr>
          <w:rFonts w:asciiTheme="minorHAnsi" w:hAnsiTheme="minorHAnsi"/>
          <w:bCs/>
          <w:szCs w:val="22"/>
        </w:rPr>
        <w:t xml:space="preserve"> </w:t>
      </w:r>
      <w:r w:rsidRPr="004233E1">
        <w:rPr>
          <w:rFonts w:asciiTheme="minorHAnsi" w:hAnsiTheme="minorHAnsi"/>
          <w:bCs/>
          <w:szCs w:val="22"/>
        </w:rPr>
        <w:t>Technická 3058/10, 616 00 Brno-Královo Pole</w:t>
      </w:r>
    </w:p>
    <w:p w14:paraId="191EEE5C" w14:textId="3DE3E188" w:rsidR="007F008B" w:rsidRPr="00CC485F" w:rsidRDefault="004233E1" w:rsidP="007F008B">
      <w:pPr>
        <w:tabs>
          <w:tab w:val="left" w:pos="1701"/>
        </w:tabs>
        <w:jc w:val="left"/>
      </w:pPr>
      <w:r>
        <w:tab/>
      </w:r>
      <w:r w:rsidR="00A73E69" w:rsidRPr="00CC485F">
        <w:t xml:space="preserve">Bankovní spojení: </w:t>
      </w:r>
      <w:r w:rsidR="00A73E69" w:rsidRPr="00CC485F">
        <w:tab/>
      </w:r>
      <w:r w:rsidR="00A73E69" w:rsidRPr="00482356">
        <w:t xml:space="preserve">účet č. </w:t>
      </w:r>
      <w:proofErr w:type="spellStart"/>
      <w:r w:rsidR="00184BFE">
        <w:t>xxxx</w:t>
      </w:r>
      <w:proofErr w:type="spellEnd"/>
      <w:r w:rsidR="00A73E69" w:rsidRPr="00482356">
        <w:t xml:space="preserve"> vedený u </w:t>
      </w:r>
      <w:r w:rsidR="00A73E69">
        <w:t>ČSOB</w:t>
      </w:r>
      <w:r w:rsidR="00A73E69" w:rsidRPr="00CC485F">
        <w:br/>
      </w:r>
      <w:r w:rsidR="00A73E69" w:rsidRPr="007C11C0">
        <w:t xml:space="preserve">Zastoupené: </w:t>
      </w:r>
      <w:r w:rsidR="00A73E69" w:rsidRPr="007C11C0">
        <w:tab/>
      </w:r>
      <w:r w:rsidR="00A73E69">
        <w:t>prof. RNDr. Vladimírem Aubrechtem, CSc., děkanem</w:t>
      </w:r>
      <w:r w:rsidR="00A73E69">
        <w:br/>
      </w:r>
      <w:r w:rsidR="00A73E69" w:rsidRPr="007C11C0">
        <w:t xml:space="preserve">Odpovědný zaměstnanec za </w:t>
      </w:r>
      <w:r w:rsidR="00A73E69">
        <w:t>dalšího účastníka</w:t>
      </w:r>
      <w:r w:rsidR="00A73E69" w:rsidRPr="007C11C0">
        <w:t xml:space="preserve">: </w:t>
      </w:r>
      <w:r w:rsidR="00184BFE">
        <w:rPr>
          <w:rStyle w:val="ordo-tab-link"/>
        </w:rPr>
        <w:t>xxxx</w:t>
      </w:r>
      <w:r w:rsidR="00A73E69" w:rsidRPr="00120A6B">
        <w:br/>
        <w:t xml:space="preserve">dále též jako </w:t>
      </w:r>
      <w:r w:rsidR="00A73E69" w:rsidRPr="00CC485F">
        <w:rPr>
          <w:b/>
        </w:rPr>
        <w:t>„</w:t>
      </w:r>
      <w:r w:rsidR="00A73E69">
        <w:rPr>
          <w:b/>
        </w:rPr>
        <w:t>další účastník</w:t>
      </w:r>
      <w:r w:rsidR="00A73E69" w:rsidRPr="00CC485F">
        <w:rPr>
          <w:b/>
        </w:rPr>
        <w:t>“</w:t>
      </w:r>
    </w:p>
    <w:p w14:paraId="4CE18326" w14:textId="53F47032" w:rsidR="008063AA" w:rsidRDefault="008063AA" w:rsidP="006522BB"/>
    <w:p w14:paraId="1B1CA9AE" w14:textId="77777777" w:rsidR="00EE64BC" w:rsidRPr="006522BB" w:rsidRDefault="00EE64BC" w:rsidP="008516B3">
      <w:pPr>
        <w:pStyle w:val="Nadpis2"/>
      </w:pPr>
      <w:r w:rsidRPr="006522BB">
        <w:t>I.</w:t>
      </w:r>
      <w:r>
        <w:br/>
        <w:t>Předmět smlouvy</w:t>
      </w:r>
    </w:p>
    <w:p w14:paraId="35A6405E" w14:textId="529BA458" w:rsidR="00EE64BC" w:rsidRDefault="00EE64BC" w:rsidP="00EE64BC">
      <w:r w:rsidRPr="00E175E2">
        <w:t>1</w:t>
      </w:r>
      <w:r>
        <w:t>.</w:t>
      </w:r>
      <w:r w:rsidRPr="00E175E2">
        <w:tab/>
        <w:t>Předmětem této smlouvy je stanovení podmínek spolupráce smluv</w:t>
      </w:r>
      <w:r w:rsidR="000A2CE7">
        <w:t>ních stran na řešení projektu z </w:t>
      </w:r>
      <w:r w:rsidRPr="00E175E2">
        <w:t xml:space="preserve">oblasti </w:t>
      </w:r>
      <w:r w:rsidR="00716609">
        <w:t>výzkumu a vývoje</w:t>
      </w:r>
      <w:r>
        <w:t xml:space="preserve"> </w:t>
      </w:r>
      <w:r w:rsidRPr="004B7A2E">
        <w:rPr>
          <w:bCs/>
        </w:rPr>
        <w:t xml:space="preserve">předkládaného </w:t>
      </w:r>
      <w:r w:rsidR="0059200B">
        <w:rPr>
          <w:bCs/>
        </w:rPr>
        <w:t xml:space="preserve">v </w:t>
      </w:r>
      <w:r w:rsidR="00633FE0">
        <w:rPr>
          <w:bCs/>
        </w:rPr>
        <w:t>2</w:t>
      </w:r>
      <w:r w:rsidR="00397741" w:rsidRPr="00397741">
        <w:rPr>
          <w:bCs/>
        </w:rPr>
        <w:t>. veřejn</w:t>
      </w:r>
      <w:r w:rsidR="0059200B">
        <w:rPr>
          <w:bCs/>
        </w:rPr>
        <w:t>é</w:t>
      </w:r>
      <w:r w:rsidR="00397741" w:rsidRPr="00397741">
        <w:rPr>
          <w:bCs/>
        </w:rPr>
        <w:t xml:space="preserve"> soutěž</w:t>
      </w:r>
      <w:r w:rsidR="00397741">
        <w:rPr>
          <w:bCs/>
        </w:rPr>
        <w:t>i</w:t>
      </w:r>
      <w:r w:rsidR="00397741" w:rsidRPr="00397741">
        <w:rPr>
          <w:bCs/>
        </w:rPr>
        <w:t xml:space="preserve"> </w:t>
      </w:r>
      <w:r w:rsidR="00397741">
        <w:rPr>
          <w:bCs/>
        </w:rPr>
        <w:t>„</w:t>
      </w:r>
      <w:r w:rsidR="00E53231">
        <w:t>Programu na podporu aplikovaného výzkumu</w:t>
      </w:r>
      <w:r w:rsidR="00FE0D7F">
        <w:t xml:space="preserve"> a</w:t>
      </w:r>
      <w:r w:rsidR="00E53231">
        <w:t xml:space="preserve"> </w:t>
      </w:r>
      <w:r w:rsidR="00633FE0">
        <w:t>inovací SIGMA</w:t>
      </w:r>
      <w:r w:rsidR="00397741">
        <w:rPr>
          <w:bCs/>
        </w:rPr>
        <w:t>“</w:t>
      </w:r>
      <w:r w:rsidR="00935FE1">
        <w:rPr>
          <w:bCs/>
        </w:rPr>
        <w:t xml:space="preserve">, </w:t>
      </w:r>
      <w:r w:rsidR="00633FE0">
        <w:rPr>
          <w:bCs/>
        </w:rPr>
        <w:t>vyhlášené v dílčím cíli 2 „Začínající výzku</w:t>
      </w:r>
      <w:r w:rsidR="00E476EF">
        <w:rPr>
          <w:bCs/>
        </w:rPr>
        <w:t>m</w:t>
      </w:r>
      <w:r w:rsidR="00633FE0">
        <w:rPr>
          <w:bCs/>
        </w:rPr>
        <w:t>níci/výzku</w:t>
      </w:r>
      <w:r w:rsidR="00E476EF">
        <w:rPr>
          <w:bCs/>
        </w:rPr>
        <w:t>m</w:t>
      </w:r>
      <w:r w:rsidR="00633FE0">
        <w:rPr>
          <w:bCs/>
        </w:rPr>
        <w:t>nice“</w:t>
      </w:r>
      <w:r w:rsidR="000A7C52">
        <w:rPr>
          <w:bCs/>
        </w:rPr>
        <w:t>,</w:t>
      </w:r>
      <w:r w:rsidR="00935FE1">
        <w:rPr>
          <w:bCs/>
        </w:rPr>
        <w:t xml:space="preserve"> </w:t>
      </w:r>
      <w:r w:rsidR="000A2CE7">
        <w:t>Technologické agentury</w:t>
      </w:r>
      <w:r>
        <w:t xml:space="preserve"> České republiky.</w:t>
      </w:r>
    </w:p>
    <w:p w14:paraId="46002CEA" w14:textId="77777777" w:rsidR="00EE64BC" w:rsidRDefault="00EE64BC" w:rsidP="00EE64BC">
      <w:r>
        <w:t>2.</w:t>
      </w:r>
      <w:r>
        <w:tab/>
        <w:t>Identifikace projektu:</w:t>
      </w:r>
    </w:p>
    <w:p w14:paraId="0FC7F3E3" w14:textId="7C097475" w:rsidR="00EE64BC" w:rsidRPr="00663C1C" w:rsidRDefault="00EE64BC" w:rsidP="00EE64BC">
      <w:pPr>
        <w:rPr>
          <w:b/>
        </w:rPr>
      </w:pPr>
      <w:r w:rsidRPr="00663C1C">
        <w:rPr>
          <w:b/>
        </w:rPr>
        <w:t>Název:</w:t>
      </w:r>
      <w:r w:rsidRPr="00663C1C">
        <w:rPr>
          <w:b/>
        </w:rPr>
        <w:tab/>
      </w:r>
      <w:r w:rsidR="001F1825" w:rsidRPr="001F1825">
        <w:rPr>
          <w:b/>
        </w:rPr>
        <w:t>Proudové kleště pro VN sítě s bezdrátovou komunikací</w:t>
      </w:r>
    </w:p>
    <w:p w14:paraId="04E40E01" w14:textId="67E883BC" w:rsidR="00EE64BC" w:rsidRPr="00663C1C" w:rsidRDefault="00EE64BC" w:rsidP="00EE64BC">
      <w:pPr>
        <w:rPr>
          <w:b/>
        </w:rPr>
      </w:pPr>
      <w:r w:rsidRPr="00663C1C">
        <w:rPr>
          <w:b/>
        </w:rPr>
        <w:t>Reg.</w:t>
      </w:r>
      <w:r w:rsidR="00DD4F56">
        <w:rPr>
          <w:b/>
        </w:rPr>
        <w:t xml:space="preserve"> </w:t>
      </w:r>
      <w:r w:rsidRPr="00663C1C">
        <w:rPr>
          <w:b/>
        </w:rPr>
        <w:t xml:space="preserve">č.: </w:t>
      </w:r>
      <w:r w:rsidRPr="00663C1C">
        <w:rPr>
          <w:b/>
        </w:rPr>
        <w:tab/>
      </w:r>
      <w:r w:rsidR="00A73E69" w:rsidRPr="00A73E69">
        <w:rPr>
          <w:b/>
        </w:rPr>
        <w:t>TQ03000130</w:t>
      </w:r>
    </w:p>
    <w:p w14:paraId="3BF9FB3B" w14:textId="77777777" w:rsidR="00EE64BC" w:rsidRDefault="00EE64BC" w:rsidP="00EE64BC"/>
    <w:p w14:paraId="0027C920" w14:textId="77777777" w:rsidR="00EE64BC" w:rsidRDefault="00EE64BC" w:rsidP="008516B3">
      <w:pPr>
        <w:pStyle w:val="Nadpis2"/>
      </w:pPr>
      <w:r>
        <w:t>II.</w:t>
      </w:r>
      <w:r>
        <w:br/>
        <w:t>Řešení projektu</w:t>
      </w:r>
    </w:p>
    <w:p w14:paraId="115B7711" w14:textId="12455843" w:rsidR="00EE64BC" w:rsidRDefault="00EE64BC" w:rsidP="00EE64BC">
      <w:r>
        <w:t>1.</w:t>
      </w:r>
      <w:r>
        <w:tab/>
        <w:t xml:space="preserve">Řešení projektu je rozloženo do období od </w:t>
      </w:r>
      <w:r w:rsidR="001F1825">
        <w:t>01/</w:t>
      </w:r>
      <w:r w:rsidR="004A5E14">
        <w:t>20</w:t>
      </w:r>
      <w:r w:rsidR="00FA1A24">
        <w:t>2</w:t>
      </w:r>
      <w:r w:rsidR="001F1825">
        <w:t>4</w:t>
      </w:r>
      <w:r>
        <w:t xml:space="preserve"> do </w:t>
      </w:r>
      <w:r w:rsidR="001F1825">
        <w:t>12/2025</w:t>
      </w:r>
    </w:p>
    <w:p w14:paraId="7CF3819E" w14:textId="4933AEC3" w:rsidR="00EE64BC" w:rsidRDefault="00EE64BC" w:rsidP="00EE64BC">
      <w:r>
        <w:t>2.</w:t>
      </w:r>
      <w:r>
        <w:tab/>
        <w:t xml:space="preserve">Předmětem řešení projektu </w:t>
      </w:r>
      <w:r w:rsidR="001F1825" w:rsidRPr="001F1825">
        <w:t>je systém pro měření elektrických veličin v energetických soustavách vysokého napětí (VN). Výsledný systém umožní bezdrátové měření především elektrického proudu a nadproudu na vedení VN. Bezdrátová komunikace zajistí přenos měřených parametrů do lokální IoT jednotky na vzdálenost několika metrů.</w:t>
      </w:r>
    </w:p>
    <w:p w14:paraId="24C08CAF" w14:textId="0C4C6AC3" w:rsidR="00EE64BC" w:rsidRDefault="00EE64BC" w:rsidP="00EE64BC">
      <w:r>
        <w:lastRenderedPageBreak/>
        <w:t>3.</w:t>
      </w:r>
      <w:r>
        <w:tab/>
        <w:t>Cíle</w:t>
      </w:r>
      <w:r w:rsidR="001F1825">
        <w:t xml:space="preserve">m projektu </w:t>
      </w:r>
      <w:r w:rsidR="001F1825" w:rsidRPr="001F1825">
        <w:t>vytvoření měřícího systému pro hladiny vysokého napětí (do 35 kV), který bude složen z dílčích subsystému pro měření proudu, nadproudu, lokální komunikaci a zprostředkování dat. Navržený systém bude sloužit k měření střídavých proudů na nadzemních vedeních a pomocí bezdrátové komunikace budou měřená data přenášena na krátkou vzdálenost do lokální IoT jednotky, která pomocí univerzálních výstupů zprostředkuje data pro další zpracování.</w:t>
      </w:r>
    </w:p>
    <w:p w14:paraId="09E1CC0D" w14:textId="27A453ED" w:rsidR="00EE64BC" w:rsidRDefault="00EE64BC" w:rsidP="00EE64BC">
      <w:r>
        <w:t>4.</w:t>
      </w:r>
      <w:r>
        <w:tab/>
        <w:t>Předpokládané výsledky:</w:t>
      </w:r>
    </w:p>
    <w:p w14:paraId="6634611E" w14:textId="40D12FC1" w:rsidR="00DF4F67" w:rsidRDefault="00DF4F67" w:rsidP="00DF4F67">
      <w:pPr>
        <w:pStyle w:val="Odstavecseseznamem"/>
        <w:numPr>
          <w:ilvl w:val="0"/>
          <w:numId w:val="8"/>
        </w:numPr>
      </w:pPr>
      <w:r w:rsidRPr="00DF4F67">
        <w:t>Bezdrátový systém pro měření proudu ve VN sítích</w:t>
      </w:r>
      <w:r>
        <w:t xml:space="preserve"> (Poloprovoz)</w:t>
      </w:r>
    </w:p>
    <w:p w14:paraId="3421E35E" w14:textId="29ABF2C3" w:rsidR="00DF4F67" w:rsidRDefault="00DF4F67" w:rsidP="00DF4F67">
      <w:pPr>
        <w:pStyle w:val="Odstavecseseznamem"/>
        <w:numPr>
          <w:ilvl w:val="0"/>
          <w:numId w:val="8"/>
        </w:numPr>
      </w:pPr>
      <w:r w:rsidRPr="00DF4F67">
        <w:t>Bezdrátová IoT jednotka s univerzálním I/O rozhraním</w:t>
      </w:r>
      <w:r>
        <w:t xml:space="preserve"> (Funkční vzorek)</w:t>
      </w:r>
    </w:p>
    <w:p w14:paraId="365DC439" w14:textId="77777777" w:rsidR="00EE64BC" w:rsidRDefault="00EE64BC" w:rsidP="00EE64BC">
      <w:r>
        <w:t>5.</w:t>
      </w:r>
      <w:r>
        <w:tab/>
        <w:t>Za řízení projektu je odpovědný příjemce.</w:t>
      </w:r>
    </w:p>
    <w:p w14:paraId="463D8CB5" w14:textId="77777777" w:rsidR="00EE64BC" w:rsidRDefault="00EE64BC" w:rsidP="00EE64BC"/>
    <w:p w14:paraId="424BD8F7" w14:textId="77777777" w:rsidR="00EE64BC" w:rsidRDefault="00EE64BC" w:rsidP="008516B3">
      <w:pPr>
        <w:pStyle w:val="Nadpis2"/>
      </w:pPr>
      <w:r>
        <w:t>III.</w:t>
      </w:r>
      <w:r>
        <w:br/>
        <w:t>Věcná náplň spolupráce příjemce a dalšího účastníka</w:t>
      </w:r>
    </w:p>
    <w:p w14:paraId="72CF5411" w14:textId="60B3A785" w:rsidR="00EE64BC" w:rsidRDefault="00EE64BC" w:rsidP="00EE64BC">
      <w:r>
        <w:t>1.</w:t>
      </w:r>
      <w:r>
        <w:tab/>
        <w:t xml:space="preserve">Smluvní strany se za účelem naplnění předmětu smlouvy vymezeného výše zavazují spolupracovat tak, že zajistí spolupráci řešitele a dalšího řešitele (příp. dalších pověřených </w:t>
      </w:r>
      <w:r w:rsidR="00700AA9">
        <w:t>osob,</w:t>
      </w:r>
      <w:r w:rsidR="00D7196F">
        <w:t xml:space="preserve"> jak jsou uvedeny v projektu</w:t>
      </w:r>
      <w:r>
        <w:t>) na řešení následujících úkolů v rámci projektu:</w:t>
      </w:r>
    </w:p>
    <w:p w14:paraId="693A1801" w14:textId="39A1D13C" w:rsidR="00DF4F67" w:rsidRDefault="00700AA9" w:rsidP="00DF4F67">
      <w:pPr>
        <w:rPr>
          <w:b/>
        </w:rPr>
      </w:pPr>
      <w:r>
        <w:rPr>
          <w:b/>
        </w:rPr>
        <w:t>Etapa</w:t>
      </w:r>
      <w:r w:rsidR="00DF4F67" w:rsidRPr="00DF4F67">
        <w:rPr>
          <w:b/>
        </w:rPr>
        <w:t xml:space="preserve"> 2024 (1.1.2024 – 31.12.2024)</w:t>
      </w:r>
    </w:p>
    <w:p w14:paraId="08BC4042" w14:textId="4D184898" w:rsidR="00AC0449" w:rsidRPr="00DF4F67" w:rsidRDefault="00AC0449" w:rsidP="00DF4F67">
      <w:pPr>
        <w:rPr>
          <w:b/>
        </w:rPr>
      </w:pPr>
      <w:proofErr w:type="gramStart"/>
      <w:r w:rsidRPr="00AC0449">
        <w:rPr>
          <w:b/>
        </w:rPr>
        <w:t>MEgA - Měřící</w:t>
      </w:r>
      <w:proofErr w:type="gramEnd"/>
      <w:r w:rsidRPr="00AC0449">
        <w:rPr>
          <w:b/>
        </w:rPr>
        <w:t xml:space="preserve"> Energetické Aparáty, a.s.</w:t>
      </w:r>
      <w:r>
        <w:t xml:space="preserve"> </w:t>
      </w:r>
      <w:r w:rsidRPr="005A7A85">
        <w:t>se v této etapě bude soustředit na</w:t>
      </w:r>
      <w:r>
        <w:t>:</w:t>
      </w:r>
    </w:p>
    <w:p w14:paraId="360E188F" w14:textId="6A32E8D4" w:rsidR="00AC0449" w:rsidRDefault="00AC0449" w:rsidP="00AC0449">
      <w:pPr>
        <w:pStyle w:val="Odstavecseseznamem"/>
        <w:numPr>
          <w:ilvl w:val="0"/>
          <w:numId w:val="10"/>
        </w:numPr>
      </w:pPr>
      <w:r w:rsidRPr="00AC0449">
        <w:t>Výzkum měřících metod v prostředí VN sítí, analýza HW a FW požadavků proudových VN kleští, definice</w:t>
      </w:r>
      <w:r>
        <w:t xml:space="preserve"> </w:t>
      </w:r>
      <w:r w:rsidRPr="00AC0449">
        <w:t>energetické náročnosti proudových kleští</w:t>
      </w:r>
      <w:r>
        <w:t>.</w:t>
      </w:r>
    </w:p>
    <w:p w14:paraId="3E1B031A" w14:textId="12E95C3F" w:rsidR="00AC0449" w:rsidRDefault="00AC0449" w:rsidP="00AC0449">
      <w:pPr>
        <w:pStyle w:val="Odstavecseseznamem"/>
        <w:numPr>
          <w:ilvl w:val="0"/>
          <w:numId w:val="10"/>
        </w:numPr>
      </w:pPr>
      <w:r>
        <w:t>Vývoj měřící a komunikační části proudových VN kleští, vývoj napájecího zdroje s ohledem na specifické umístění.</w:t>
      </w:r>
    </w:p>
    <w:p w14:paraId="4C638A14" w14:textId="1D849F80" w:rsidR="00AC0449" w:rsidRDefault="00AC0449" w:rsidP="00AC0449">
      <w:pPr>
        <w:pStyle w:val="Odstavecseseznamem"/>
        <w:numPr>
          <w:ilvl w:val="0"/>
          <w:numId w:val="10"/>
        </w:numPr>
      </w:pPr>
      <w:r w:rsidRPr="00AC0449">
        <w:t>Vývoj konstrukčního řešení pro instalaci proudových kleští na VN vedení, analýza specifických potřeb a omezení vzhledem k umístění systému</w:t>
      </w:r>
      <w:r>
        <w:t>.</w:t>
      </w:r>
    </w:p>
    <w:p w14:paraId="213940D8" w14:textId="45E458E2" w:rsidR="00EE64BC" w:rsidRDefault="00AC0449" w:rsidP="00AC0449">
      <w:pPr>
        <w:rPr>
          <w:b/>
        </w:rPr>
      </w:pPr>
      <w:r w:rsidRPr="00AC0449">
        <w:rPr>
          <w:b/>
        </w:rPr>
        <w:t>Vysoké učení technické v Brně</w:t>
      </w:r>
      <w:r>
        <w:t xml:space="preserve"> </w:t>
      </w:r>
      <w:r w:rsidRPr="005A7A85">
        <w:t>se v této etapě bude soustředit na</w:t>
      </w:r>
      <w:r>
        <w:t>:</w:t>
      </w:r>
    </w:p>
    <w:p w14:paraId="6432B7A8" w14:textId="12C41BAE" w:rsidR="00AC0449" w:rsidRPr="00AC0449" w:rsidRDefault="00AC0449" w:rsidP="00AC0449">
      <w:pPr>
        <w:pStyle w:val="Odstavecseseznamem"/>
        <w:numPr>
          <w:ilvl w:val="0"/>
          <w:numId w:val="10"/>
        </w:numPr>
      </w:pPr>
      <w:r w:rsidRPr="00AC0449">
        <w:t>Analýza bezdrátových komunikačních technologií, porovnání přenosových parametrů, definice komunikačních scénářů.</w:t>
      </w:r>
    </w:p>
    <w:p w14:paraId="08669C0F" w14:textId="71D5FFFD" w:rsidR="00AC0449" w:rsidRPr="00AC0449" w:rsidRDefault="00AC0449" w:rsidP="00AC0449">
      <w:pPr>
        <w:pStyle w:val="Odstavecseseznamem"/>
        <w:numPr>
          <w:ilvl w:val="0"/>
          <w:numId w:val="10"/>
        </w:numPr>
      </w:pPr>
      <w:r w:rsidRPr="00AC0449">
        <w:t>Výzkum vhodných metod časové synchronizace mezi IoT jednotkou a proudovými VN kleštěmi.</w:t>
      </w:r>
    </w:p>
    <w:p w14:paraId="39CA7390" w14:textId="40FE6C6E" w:rsidR="00AC0449" w:rsidRDefault="00AC0449" w:rsidP="00AC0449">
      <w:pPr>
        <w:pStyle w:val="Odstavecseseznamem"/>
        <w:numPr>
          <w:ilvl w:val="0"/>
          <w:numId w:val="10"/>
        </w:numPr>
      </w:pPr>
      <w:r w:rsidRPr="00AC0449">
        <w:t>Vývoj HW a FW části IoT jednotky, analýza možností napájení zařízení s ohledem na spolehlivost, bezpečnost a energetickou náročnost.</w:t>
      </w:r>
    </w:p>
    <w:p w14:paraId="7BB76BE8" w14:textId="47F91125" w:rsidR="00AC0449" w:rsidRDefault="00700AA9" w:rsidP="00AC0449">
      <w:pPr>
        <w:rPr>
          <w:b/>
        </w:rPr>
      </w:pPr>
      <w:r>
        <w:rPr>
          <w:b/>
        </w:rPr>
        <w:t>Etapa</w:t>
      </w:r>
      <w:r w:rsidR="00AC0449" w:rsidRPr="00DF4F67">
        <w:rPr>
          <w:b/>
        </w:rPr>
        <w:t xml:space="preserve"> 202</w:t>
      </w:r>
      <w:r w:rsidR="00AC0449">
        <w:rPr>
          <w:b/>
        </w:rPr>
        <w:t>5</w:t>
      </w:r>
      <w:r w:rsidR="00AC0449" w:rsidRPr="00DF4F67">
        <w:rPr>
          <w:b/>
        </w:rPr>
        <w:t xml:space="preserve"> (1.1.202</w:t>
      </w:r>
      <w:r w:rsidR="00AC0449">
        <w:rPr>
          <w:b/>
        </w:rPr>
        <w:t>5</w:t>
      </w:r>
      <w:r w:rsidR="00AC0449" w:rsidRPr="00DF4F67">
        <w:rPr>
          <w:b/>
        </w:rPr>
        <w:t xml:space="preserve"> – 31.12.202</w:t>
      </w:r>
      <w:r w:rsidR="00AC0449">
        <w:rPr>
          <w:b/>
        </w:rPr>
        <w:t>5</w:t>
      </w:r>
      <w:r w:rsidR="00AC0449" w:rsidRPr="00DF4F67">
        <w:rPr>
          <w:b/>
        </w:rPr>
        <w:t>)</w:t>
      </w:r>
    </w:p>
    <w:p w14:paraId="46B38C1B" w14:textId="77777777" w:rsidR="00AC0449" w:rsidRPr="00DF4F67" w:rsidRDefault="00AC0449" w:rsidP="00AC0449">
      <w:pPr>
        <w:rPr>
          <w:b/>
        </w:rPr>
      </w:pPr>
      <w:proofErr w:type="gramStart"/>
      <w:r w:rsidRPr="00AC0449">
        <w:rPr>
          <w:b/>
        </w:rPr>
        <w:t>MEgA - Měřící</w:t>
      </w:r>
      <w:proofErr w:type="gramEnd"/>
      <w:r w:rsidRPr="00AC0449">
        <w:rPr>
          <w:b/>
        </w:rPr>
        <w:t xml:space="preserve"> Energetické Aparáty, a.s.</w:t>
      </w:r>
      <w:r>
        <w:t xml:space="preserve"> </w:t>
      </w:r>
      <w:r w:rsidRPr="005A7A85">
        <w:t>se v této etapě bude soustředit na</w:t>
      </w:r>
      <w:r>
        <w:t>:</w:t>
      </w:r>
    </w:p>
    <w:p w14:paraId="63DFB6EE" w14:textId="1879A167" w:rsidR="00AC0449" w:rsidRDefault="00AC0449" w:rsidP="00AC0449">
      <w:pPr>
        <w:pStyle w:val="Odstavecseseznamem"/>
        <w:numPr>
          <w:ilvl w:val="0"/>
          <w:numId w:val="10"/>
        </w:numPr>
      </w:pPr>
      <w:r w:rsidRPr="00AC0449">
        <w:t>Finalizace HW části proudových kleští, tvorba dokumentace</w:t>
      </w:r>
      <w:r>
        <w:t>.</w:t>
      </w:r>
    </w:p>
    <w:p w14:paraId="474DDDA5" w14:textId="03A1B693" w:rsidR="00AC0449" w:rsidRDefault="00AC0449" w:rsidP="00AC0449">
      <w:pPr>
        <w:pStyle w:val="Odstavecseseznamem"/>
        <w:numPr>
          <w:ilvl w:val="0"/>
          <w:numId w:val="10"/>
        </w:numPr>
      </w:pPr>
      <w:r w:rsidRPr="00AC0449">
        <w:t>Finalizace FW části proudových kleští, ověření funkčnosti, optimalizace</w:t>
      </w:r>
      <w:r>
        <w:t>.</w:t>
      </w:r>
    </w:p>
    <w:p w14:paraId="6DE5C758" w14:textId="42DFD133" w:rsidR="00AC0449" w:rsidRDefault="00AC0449" w:rsidP="00AC0449">
      <w:pPr>
        <w:pStyle w:val="Odstavecseseznamem"/>
        <w:numPr>
          <w:ilvl w:val="0"/>
          <w:numId w:val="10"/>
        </w:numPr>
      </w:pPr>
      <w:r w:rsidRPr="00AC0449">
        <w:t>Ověření parametrů navrženého napájecího zdroje proudových VN kleští</w:t>
      </w:r>
      <w:r>
        <w:t>.</w:t>
      </w:r>
    </w:p>
    <w:p w14:paraId="1F696214" w14:textId="25D35100" w:rsidR="00AC0449" w:rsidRDefault="00700AA9" w:rsidP="00AC0449">
      <w:pPr>
        <w:pStyle w:val="Odstavecseseznamem"/>
        <w:numPr>
          <w:ilvl w:val="0"/>
          <w:numId w:val="10"/>
        </w:numPr>
      </w:pPr>
      <w:r w:rsidRPr="00700AA9">
        <w:t>Vytvoření dokumentace konstrukčního řešení, 3D tisk navrženého řešení, optimalizace</w:t>
      </w:r>
      <w:r>
        <w:t>.</w:t>
      </w:r>
    </w:p>
    <w:p w14:paraId="36D72619" w14:textId="216600FA" w:rsidR="00700AA9" w:rsidRDefault="00700AA9" w:rsidP="00AC0449">
      <w:pPr>
        <w:pStyle w:val="Odstavecseseznamem"/>
        <w:numPr>
          <w:ilvl w:val="0"/>
          <w:numId w:val="10"/>
        </w:numPr>
      </w:pPr>
      <w:r w:rsidRPr="00700AA9">
        <w:t>Ověření poloprovozu ve VN laboratořích ("Bezdrátový systém pro měření proudu ve VN sítích")</w:t>
      </w:r>
      <w:r>
        <w:t>.</w:t>
      </w:r>
    </w:p>
    <w:p w14:paraId="5C8F3FD3" w14:textId="77777777" w:rsidR="00AC0449" w:rsidRDefault="00AC0449" w:rsidP="00AC0449">
      <w:pPr>
        <w:rPr>
          <w:b/>
        </w:rPr>
      </w:pPr>
      <w:r w:rsidRPr="00AC0449">
        <w:rPr>
          <w:b/>
        </w:rPr>
        <w:t>Vysoké učení technické v Brně</w:t>
      </w:r>
      <w:r>
        <w:t xml:space="preserve"> </w:t>
      </w:r>
      <w:r w:rsidRPr="005A7A85">
        <w:t>se v této etapě bude soustředit na</w:t>
      </w:r>
      <w:r>
        <w:t>:</w:t>
      </w:r>
    </w:p>
    <w:p w14:paraId="28F71478" w14:textId="11326E24" w:rsidR="00700AA9" w:rsidRDefault="00700AA9" w:rsidP="00AC0449">
      <w:pPr>
        <w:pStyle w:val="Odstavecseseznamem"/>
        <w:numPr>
          <w:ilvl w:val="0"/>
          <w:numId w:val="10"/>
        </w:numPr>
      </w:pPr>
      <w:r w:rsidRPr="00700AA9">
        <w:t>Implementace zvolené bezdrátové komunikační technologie do lokální IoT jednotky na základě provedené analýzy</w:t>
      </w:r>
      <w:r>
        <w:t>.</w:t>
      </w:r>
    </w:p>
    <w:p w14:paraId="56B80C74" w14:textId="460CCEFA" w:rsidR="00700AA9" w:rsidRDefault="00700AA9" w:rsidP="00AC0449">
      <w:pPr>
        <w:pStyle w:val="Odstavecseseznamem"/>
        <w:numPr>
          <w:ilvl w:val="0"/>
          <w:numId w:val="10"/>
        </w:numPr>
      </w:pPr>
      <w:r w:rsidRPr="00700AA9">
        <w:t>Implementace metod časové synchronizace mezi IoT jednotkou a proudovými VN kleštěmi, ověření metod ve VN laboratořích</w:t>
      </w:r>
      <w:r>
        <w:t>.</w:t>
      </w:r>
    </w:p>
    <w:p w14:paraId="746D1FFD" w14:textId="06F14736" w:rsidR="00700AA9" w:rsidRDefault="00700AA9" w:rsidP="00AC0449">
      <w:pPr>
        <w:pStyle w:val="Odstavecseseznamem"/>
        <w:numPr>
          <w:ilvl w:val="0"/>
          <w:numId w:val="10"/>
        </w:numPr>
      </w:pPr>
      <w:r w:rsidRPr="00700AA9">
        <w:t>Finalizace HW a FW části IoT jednotky</w:t>
      </w:r>
      <w:r>
        <w:t>.</w:t>
      </w:r>
    </w:p>
    <w:p w14:paraId="7145A05B" w14:textId="22E12BBD" w:rsidR="00700AA9" w:rsidRPr="00AC0449" w:rsidRDefault="00700AA9" w:rsidP="00AC0449">
      <w:pPr>
        <w:pStyle w:val="Odstavecseseznamem"/>
        <w:numPr>
          <w:ilvl w:val="0"/>
          <w:numId w:val="10"/>
        </w:numPr>
      </w:pPr>
      <w:r w:rsidRPr="00700AA9">
        <w:lastRenderedPageBreak/>
        <w:t>Otestování funkčního vzorku ("Bezdrátová IoT jednotka s univerzálním I/O rozhraním"), tvorba dokumentace</w:t>
      </w:r>
      <w:r>
        <w:t>.</w:t>
      </w:r>
    </w:p>
    <w:p w14:paraId="2C797324" w14:textId="77777777" w:rsidR="00EE64BC" w:rsidRPr="007663C2" w:rsidRDefault="00EE64BC" w:rsidP="008516B3">
      <w:pPr>
        <w:pStyle w:val="Nadpis2"/>
      </w:pPr>
      <w:r>
        <w:t>IV.</w:t>
      </w:r>
      <w:r>
        <w:br/>
        <w:t>Finanční zajištění projektu</w:t>
      </w:r>
    </w:p>
    <w:p w14:paraId="4A42E94B" w14:textId="1443928C" w:rsidR="00EE64BC" w:rsidRDefault="00EE64BC" w:rsidP="00EE64BC">
      <w:r>
        <w:t>1.</w:t>
      </w:r>
      <w:r>
        <w:tab/>
        <w:t xml:space="preserve">Příjemce se na základě této smlouvy zavazuje dalšímu účastníku projektu převést na řešení výše uvedené věcné náplně projektu neinvestiční účelové finanční prostředky ve výši </w:t>
      </w:r>
      <w:r w:rsidR="00D446B4" w:rsidRPr="00D446B4">
        <w:rPr>
          <w:b/>
        </w:rPr>
        <w:t>2.882.867</w:t>
      </w:r>
      <w:r w:rsidRPr="00D446B4">
        <w:rPr>
          <w:b/>
        </w:rPr>
        <w:t>,-</w:t>
      </w:r>
      <w:r w:rsidRPr="00AF3A0E">
        <w:rPr>
          <w:b/>
        </w:rPr>
        <w:t xml:space="preserve"> Kč, </w:t>
      </w:r>
    </w:p>
    <w:p w14:paraId="0896D988" w14:textId="32DF456B" w:rsidR="00681CE9" w:rsidRPr="00D446B4" w:rsidRDefault="00EE64BC" w:rsidP="00E132EA">
      <w:pPr>
        <w:jc w:val="center"/>
      </w:pPr>
      <w:r w:rsidRPr="00D446B4">
        <w:t>a to v roce 20</w:t>
      </w:r>
      <w:r w:rsidR="000E725C" w:rsidRPr="00D446B4">
        <w:t>2</w:t>
      </w:r>
      <w:r w:rsidR="00D446B4" w:rsidRPr="00D446B4">
        <w:t>4</w:t>
      </w:r>
      <w:r w:rsidRPr="00D446B4">
        <w:t xml:space="preserve"> ve výši </w:t>
      </w:r>
      <w:r w:rsidR="00D446B4" w:rsidRPr="00D446B4">
        <w:t>1.435.009</w:t>
      </w:r>
      <w:r w:rsidRPr="00D446B4">
        <w:t>,- Kč</w:t>
      </w:r>
      <w:r w:rsidR="00681CE9" w:rsidRPr="00D446B4">
        <w:t xml:space="preserve">, </w:t>
      </w:r>
    </w:p>
    <w:p w14:paraId="34A17163" w14:textId="26F18C61" w:rsidR="00681CE9" w:rsidRPr="00D446B4" w:rsidRDefault="00681CE9" w:rsidP="00E132EA">
      <w:pPr>
        <w:jc w:val="center"/>
      </w:pPr>
      <w:r w:rsidRPr="00D446B4">
        <w:t>v roce 20</w:t>
      </w:r>
      <w:r w:rsidR="00067C7C" w:rsidRPr="00D446B4">
        <w:t>2</w:t>
      </w:r>
      <w:r w:rsidR="00D446B4" w:rsidRPr="00D446B4">
        <w:t>5</w:t>
      </w:r>
      <w:r w:rsidRPr="00D446B4">
        <w:t xml:space="preserve"> ve výši </w:t>
      </w:r>
      <w:r w:rsidR="00D446B4" w:rsidRPr="00D446B4">
        <w:t>1.447.858</w:t>
      </w:r>
      <w:r w:rsidRPr="00D446B4">
        <w:t>,-Kč</w:t>
      </w:r>
      <w:r w:rsidR="00D446B4" w:rsidRPr="00D446B4">
        <w:t>.</w:t>
      </w:r>
    </w:p>
    <w:p w14:paraId="1415AF28" w14:textId="1B3D015F" w:rsidR="00EE64BC" w:rsidRDefault="00EE64BC" w:rsidP="00EE64BC">
      <w:r>
        <w:t>2.</w:t>
      </w:r>
      <w:r>
        <w:tab/>
        <w:t>Účelové finanční prostředky je příjemce povinen dalšímu účastníku projektu uhradit vždy bezhotovostním převodem na jeho bankovní účet uvedený v</w:t>
      </w:r>
      <w:r w:rsidR="000A2CE7">
        <w:t> záhlaví smlouvy</w:t>
      </w:r>
      <w:r>
        <w:t xml:space="preserve"> nejpozději do </w:t>
      </w:r>
      <w:r w:rsidR="008D59DE">
        <w:t>20 </w:t>
      </w:r>
      <w:r>
        <w:t>dnů od obdržení účelových prostředků od poskytovatele.</w:t>
      </w:r>
    </w:p>
    <w:p w14:paraId="1EED43BC" w14:textId="1B16C257" w:rsidR="00EE64BC" w:rsidRDefault="00EE64BC" w:rsidP="00EE64BC">
      <w:r>
        <w:t>3.</w:t>
      </w:r>
      <w:r>
        <w:tab/>
        <w:t xml:space="preserve">V případě, že poskytovatel rozhodne o poskytnutí odlišné částky na řešení </w:t>
      </w:r>
      <w:r w:rsidR="008D59DE">
        <w:t>projektu,</w:t>
      </w:r>
      <w:r>
        <w:t xml:space="preserve"> než je uvedena v návrhu projektu, zavazují se smluvní strany upravit poměrně výši účelových prostředků dodatkem k této smlouvě.</w:t>
      </w:r>
    </w:p>
    <w:p w14:paraId="0F4C519A" w14:textId="77777777" w:rsidR="00EE64BC" w:rsidRDefault="00EE64BC" w:rsidP="00EE64BC">
      <w:r>
        <w:t>4.</w:t>
      </w:r>
      <w:r>
        <w:tab/>
        <w:t>Převáděné účelové finanční prostředky nejsou předmětem DPH.</w:t>
      </w:r>
    </w:p>
    <w:p w14:paraId="7DE32D4D" w14:textId="77777777" w:rsidR="00EE64BC" w:rsidRDefault="00EE64BC" w:rsidP="00EE64BC">
      <w:r>
        <w:t>5.</w:t>
      </w:r>
      <w:r>
        <w:tab/>
        <w:t>Účelové finanční prostředky dle této smlouvy jsou příjemcem dalšímu účastníku projektu poskytovány na úhradu skutečně vynaložených provozních nákladů účelově vymezených touto smlouvou.</w:t>
      </w:r>
    </w:p>
    <w:p w14:paraId="0F4DD132" w14:textId="77777777" w:rsidR="00EE64BC" w:rsidRDefault="00EE64BC" w:rsidP="00EE64BC">
      <w:r>
        <w:t>6.</w:t>
      </w:r>
      <w:r>
        <w:tab/>
        <w:t>Smluvní strany ujednávají, že jejich finanční vklad do spolupráce na řešení projektu je:</w:t>
      </w:r>
    </w:p>
    <w:p w14:paraId="375F2622" w14:textId="2ABA9672" w:rsidR="00EE64BC" w:rsidRDefault="00EE64BC" w:rsidP="00EE64BC">
      <w:pPr>
        <w:pStyle w:val="Odstavecseseznamem"/>
        <w:numPr>
          <w:ilvl w:val="0"/>
          <w:numId w:val="7"/>
        </w:numPr>
        <w:tabs>
          <w:tab w:val="clear" w:pos="425"/>
        </w:tabs>
      </w:pPr>
      <w:r>
        <w:t xml:space="preserve">ze strany příjemce: </w:t>
      </w:r>
      <w:r w:rsidR="00D446B4">
        <w:t>920</w:t>
      </w:r>
      <w:r w:rsidR="00D446B4" w:rsidRPr="00D446B4">
        <w:t>.</w:t>
      </w:r>
      <w:r w:rsidR="00D446B4">
        <w:t>987</w:t>
      </w:r>
      <w:r w:rsidR="00D446B4" w:rsidRPr="00D446B4">
        <w:t xml:space="preserve"> Kč</w:t>
      </w:r>
    </w:p>
    <w:p w14:paraId="2D000CB5" w14:textId="52C6ABD3" w:rsidR="00EE64BC" w:rsidRDefault="00EE64BC" w:rsidP="005A15C0">
      <w:pPr>
        <w:pStyle w:val="Odstavecseseznamem"/>
        <w:numPr>
          <w:ilvl w:val="0"/>
          <w:numId w:val="7"/>
        </w:numPr>
        <w:tabs>
          <w:tab w:val="clear" w:pos="425"/>
        </w:tabs>
      </w:pPr>
      <w:r>
        <w:t xml:space="preserve">ze strany dalšího účastníka projektu </w:t>
      </w:r>
      <w:r w:rsidR="004233E1">
        <w:t>0</w:t>
      </w:r>
      <w:r w:rsidR="001E3181" w:rsidRPr="00D446B4">
        <w:t xml:space="preserve"> Kč</w:t>
      </w:r>
      <w:r w:rsidR="004233E1">
        <w:t>.</w:t>
      </w:r>
    </w:p>
    <w:p w14:paraId="75F44914" w14:textId="77777777" w:rsidR="00EE64BC" w:rsidRDefault="00EE64BC" w:rsidP="008516B3">
      <w:pPr>
        <w:pStyle w:val="Nadpis2"/>
      </w:pPr>
      <w:r>
        <w:t>V.</w:t>
      </w:r>
      <w:r>
        <w:br/>
        <w:t>Podmínky použití poskytnutých účelových finančních prostředků</w:t>
      </w:r>
    </w:p>
    <w:p w14:paraId="37A46F7D" w14:textId="77777777" w:rsidR="00EE64BC" w:rsidRDefault="00EE64BC" w:rsidP="00EE64BC">
      <w:r>
        <w:t>1.</w:t>
      </w:r>
      <w:r>
        <w:tab/>
        <w:t xml:space="preserve">Další účastník projektu je povinen: </w:t>
      </w:r>
    </w:p>
    <w:p w14:paraId="3A55E58D" w14:textId="1A80C2B3" w:rsidR="00EE64BC" w:rsidRDefault="00EE64BC" w:rsidP="00EE64BC">
      <w:pPr>
        <w:pStyle w:val="Odstavecseseznamem"/>
        <w:numPr>
          <w:ilvl w:val="0"/>
          <w:numId w:val="4"/>
        </w:numPr>
        <w:tabs>
          <w:tab w:val="clear" w:pos="425"/>
        </w:tabs>
      </w:pPr>
      <w:r>
        <w:t>Použít účelové finanční prostředky výhradně k úhradě prokazatelných, nezbytně nutných nákladů přímo souvisejících s plněním cílů a parametrů řešené č</w:t>
      </w:r>
      <w:r w:rsidR="00155579">
        <w:t>ásti projektu, a to v souladu s </w:t>
      </w:r>
      <w:r>
        <w:t>podmínkami stanovenými obecně závaznými právními předpisy.</w:t>
      </w:r>
    </w:p>
    <w:p w14:paraId="0C543595" w14:textId="15CE45F7" w:rsidR="00EE64BC" w:rsidRDefault="00EE64BC" w:rsidP="00EE64BC">
      <w:pPr>
        <w:pStyle w:val="Odstavecseseznamem"/>
        <w:numPr>
          <w:ilvl w:val="0"/>
          <w:numId w:val="4"/>
        </w:numPr>
        <w:tabs>
          <w:tab w:val="clear" w:pos="425"/>
        </w:tabs>
      </w:pPr>
      <w:r>
        <w:t xml:space="preserve">Vést o čerpání a užití účelových finančních prostředků poskytnutých na řešení projektu samostatnou účetní evidenci tak, aby tyto prostředky a nakládání s nimi bylo odděleno od ostatního majetku dalšího účastníka projektu. Tuto evidenci uchovávat po dobu </w:t>
      </w:r>
      <w:r w:rsidR="00DD4F56">
        <w:t>10</w:t>
      </w:r>
      <w:r>
        <w:t xml:space="preserve"> let od poskytnutí účelových finančních prostředků na řešení části projektu. Při vedení této účetní evidence je další účastník projektu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15984310" w14:textId="77777777" w:rsidR="00EE64BC" w:rsidRDefault="00EE64BC" w:rsidP="00EE64BC">
      <w:pPr>
        <w:pStyle w:val="Odstavecseseznamem"/>
        <w:numPr>
          <w:ilvl w:val="0"/>
          <w:numId w:val="4"/>
        </w:numPr>
        <w:tabs>
          <w:tab w:val="clear" w:pos="425"/>
        </w:tabs>
      </w:pPr>
      <w:r>
        <w:t>Provádět pravidelnou kontrolu dalšího řešitele a dalších osob ve věci čerpání, užití a evidence účelových finančních prostředků poskytnutých mu příjemcem v souvislosti s řešením části projektu.</w:t>
      </w:r>
    </w:p>
    <w:p w14:paraId="0D517D8E" w14:textId="77777777" w:rsidR="00EE64BC" w:rsidRDefault="00EE64BC" w:rsidP="00EE64BC">
      <w:pPr>
        <w:pStyle w:val="Odstavecseseznamem"/>
        <w:numPr>
          <w:ilvl w:val="0"/>
          <w:numId w:val="4"/>
        </w:numPr>
        <w:tabs>
          <w:tab w:val="clear" w:pos="425"/>
        </w:tabs>
      </w:pPr>
      <w:r>
        <w:t>Dosáhnout stanovených cílů a parametrů části projektu.</w:t>
      </w:r>
    </w:p>
    <w:p w14:paraId="0A4A61AB" w14:textId="77777777" w:rsidR="00EE64BC" w:rsidRDefault="00EE64BC" w:rsidP="00EE64BC">
      <w:pPr>
        <w:pStyle w:val="Odstavecseseznamem"/>
        <w:numPr>
          <w:ilvl w:val="0"/>
          <w:numId w:val="4"/>
        </w:numPr>
        <w:tabs>
          <w:tab w:val="clear" w:pos="425"/>
        </w:tabs>
      </w:pPr>
      <w:r>
        <w:t>Dodržet v rámci celkových nákladů skutečně vynaložených na řešení části projektu stanovený poměr mezi náklady hrazenými z účelových finančních prostředků poskytnutých ze státního rozpočtu a ostatními stanovenými formami financování části projektu.</w:t>
      </w:r>
    </w:p>
    <w:p w14:paraId="62918F9F" w14:textId="40AC4223" w:rsidR="00EE64BC" w:rsidRPr="007F008B" w:rsidRDefault="00EE64BC" w:rsidP="00EE64BC">
      <w:pPr>
        <w:pStyle w:val="Odstavecseseznamem"/>
        <w:numPr>
          <w:ilvl w:val="0"/>
          <w:numId w:val="4"/>
        </w:numPr>
        <w:tabs>
          <w:tab w:val="clear" w:pos="425"/>
        </w:tabs>
      </w:pPr>
      <w:r w:rsidRPr="007F008B">
        <w:t xml:space="preserve">Předložit příjemci nejpozději do </w:t>
      </w:r>
      <w:r w:rsidRPr="001E3181">
        <w:t xml:space="preserve">dne </w:t>
      </w:r>
      <w:r w:rsidRPr="001E3181">
        <w:rPr>
          <w:b/>
        </w:rPr>
        <w:t>31. 12</w:t>
      </w:r>
      <w:r w:rsidRPr="001E3181">
        <w:t xml:space="preserve">. kalendářního roku, ve kterém trvá řešení projektu, písemnou roční zprávu o realizaci části projektu v průběhu daného roku. Do </w:t>
      </w:r>
      <w:r w:rsidRPr="001E3181">
        <w:rPr>
          <w:b/>
        </w:rPr>
        <w:t>12. 1</w:t>
      </w:r>
      <w:r w:rsidRPr="001E3181">
        <w:t xml:space="preserve">. následujícího roku musí příjemci předložit podrobné vyúčtování hospodaření s poskytnutými účelovými finančními prostředky. Návazně je další účastník projektu povinen vrátit příjemci do </w:t>
      </w:r>
      <w:r w:rsidRPr="001E3181">
        <w:lastRenderedPageBreak/>
        <w:t xml:space="preserve">dne </w:t>
      </w:r>
      <w:r w:rsidRPr="001E3181">
        <w:rPr>
          <w:b/>
        </w:rPr>
        <w:t>31. 1</w:t>
      </w:r>
      <w:r w:rsidR="00AB3329" w:rsidRPr="001E3181">
        <w:rPr>
          <w:b/>
        </w:rPr>
        <w:t>2</w:t>
      </w:r>
      <w:r w:rsidRPr="001E3181">
        <w:rPr>
          <w:b/>
        </w:rPr>
        <w:t>.</w:t>
      </w:r>
      <w:r w:rsidRPr="001E3181">
        <w:t xml:space="preserve"> </w:t>
      </w:r>
      <w:r w:rsidR="00AB3329" w:rsidRPr="001E3181">
        <w:t>daného</w:t>
      </w:r>
      <w:r w:rsidRPr="007F008B">
        <w:t xml:space="preserve"> kalendářního roku účelové finanční prostředky, které nebyly dalším účastníkem projektu dočerpány do konce kalendářního roku s tím, že vrácené účelové finanční prostředky budou příjemci avizovány předem a ten je povinen je </w:t>
      </w:r>
      <w:r w:rsidRPr="001E3181">
        <w:t xml:space="preserve">následně do </w:t>
      </w:r>
      <w:r w:rsidRPr="001E3181">
        <w:rPr>
          <w:b/>
        </w:rPr>
        <w:t>15. 2</w:t>
      </w:r>
      <w:r w:rsidRPr="001E3181">
        <w:t>. vrátit</w:t>
      </w:r>
      <w:r w:rsidRPr="007F008B">
        <w:t xml:space="preserve"> do státního rozpočtu.</w:t>
      </w:r>
      <w:r w:rsidR="00681CE9">
        <w:t xml:space="preserve"> Stanoví-li zvláštní právní předpis či rozhodnutí poskytovatele odlišné podmínky pro vyúčtování či finanční vypořádání, jsou příjemce a další účastník povinni tyto podmínky dodržet.  </w:t>
      </w:r>
    </w:p>
    <w:p w14:paraId="053FB0F0" w14:textId="71F7ED50" w:rsidR="00EE64BC" w:rsidRDefault="00EE64BC" w:rsidP="00EE64BC">
      <w:pPr>
        <w:pStyle w:val="Odstavecseseznamem"/>
        <w:numPr>
          <w:ilvl w:val="0"/>
          <w:numId w:val="4"/>
        </w:numPr>
        <w:tabs>
          <w:tab w:val="clear" w:pos="425"/>
        </w:tabs>
      </w:pPr>
      <w:r>
        <w:t xml:space="preserve">V případě, že vznikne povinnost vrácení účelových finančních prostředků z jiných </w:t>
      </w:r>
      <w:r w:rsidR="001E3181">
        <w:t>důvodů</w:t>
      </w:r>
      <w:r>
        <w:t xml:space="preserve"> než na podkladě finančního vypořádání, je další účastník projektu povinen neprodleně písemně požádat příjemce o sdělení podmínek a způsobu vypořádání těchto prostředků.</w:t>
      </w:r>
    </w:p>
    <w:p w14:paraId="7773A96C" w14:textId="6B91BE82" w:rsidR="00EE64BC" w:rsidRDefault="00EE64BC" w:rsidP="00EE64BC">
      <w:pPr>
        <w:pStyle w:val="Odstavecseseznamem"/>
        <w:numPr>
          <w:ilvl w:val="0"/>
          <w:numId w:val="4"/>
        </w:numPr>
        <w:tabs>
          <w:tab w:val="clear" w:pos="425"/>
        </w:tabs>
      </w:pPr>
      <w:r>
        <w:t>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nebo d</w:t>
      </w:r>
      <w:r w:rsidRPr="002E1BFC">
        <w:t xml:space="preserve">o </w:t>
      </w:r>
      <w:r w:rsidR="00DD4F56" w:rsidRPr="002E1BFC">
        <w:t>10</w:t>
      </w:r>
      <w:r w:rsidRPr="002E1BFC">
        <w:t xml:space="preserve"> let o</w:t>
      </w:r>
      <w:r>
        <w:t>d ukončení poskytování finančních prostředků ze státního rozpočtu na část projektu. Tímto ujednáním nejsou dotčena ani omezena práva kontrolních a finančních orgánů státní správy České republiky.</w:t>
      </w:r>
    </w:p>
    <w:p w14:paraId="2B3783F4" w14:textId="10AA55B3" w:rsidR="00EE64BC" w:rsidRDefault="00EE64BC" w:rsidP="00EE64BC">
      <w:pPr>
        <w:pStyle w:val="Odstavecseseznamem"/>
        <w:numPr>
          <w:ilvl w:val="0"/>
          <w:numId w:val="4"/>
        </w:numPr>
        <w:tabs>
          <w:tab w:val="clear" w:pos="425"/>
        </w:tabs>
      </w:pPr>
      <w:r>
        <w:t>Postupovat při nakládání s účelovými finančními prostředky získanými na základě rozhodnutí poskytovatele a této smlouvy a s majetkem a právy za ně pořízenými v souladu s obecně závaznými právními předpisy týkajícími se hospodaření se stá</w:t>
      </w:r>
      <w:r w:rsidR="00477AB1">
        <w:t>tním majetkem (např. zák. </w:t>
      </w:r>
      <w:r w:rsidR="00155579">
        <w:t>č. 134/201</w:t>
      </w:r>
      <w:r>
        <w:t xml:space="preserve">6 Sb., o </w:t>
      </w:r>
      <w:r w:rsidR="00155579">
        <w:t xml:space="preserve">zadávání </w:t>
      </w:r>
      <w:r>
        <w:t>veřejných zakáz</w:t>
      </w:r>
      <w:r w:rsidR="00155579">
        <w:t>e</w:t>
      </w:r>
      <w:r>
        <w:t>k, ve znění poz</w:t>
      </w:r>
      <w:r w:rsidR="00477AB1">
        <w:t>dějších předpisů; zák. č. </w:t>
      </w:r>
      <w:r>
        <w:t>218/2000 Sb., o rozpočtových pravidlech a o změně některých souvisejících zákonů, ve znění pozdějších předpisů).</w:t>
      </w:r>
    </w:p>
    <w:p w14:paraId="0BCDFAE4" w14:textId="66789EE4" w:rsidR="00EE64BC" w:rsidRDefault="00EE64BC" w:rsidP="00EE64BC">
      <w:pPr>
        <w:pStyle w:val="Odstavecseseznamem"/>
        <w:numPr>
          <w:ilvl w:val="0"/>
          <w:numId w:val="4"/>
        </w:numPr>
        <w:tabs>
          <w:tab w:val="clear" w:pos="425"/>
        </w:tabs>
      </w:pPr>
      <w:r>
        <w:t>Informovat příjemce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w:t>
      </w:r>
      <w:r w:rsidR="00764C3D">
        <w:t>č</w:t>
      </w:r>
      <w:r>
        <w:t>ního řízení, zánik příslušného oprávnění k činnosti apod., a to bezprostředně poté, co tyto změny nabydou právní platnost.</w:t>
      </w:r>
    </w:p>
    <w:p w14:paraId="17FABEDA" w14:textId="0D57844A" w:rsidR="00B70AD4" w:rsidRDefault="00EE64BC" w:rsidP="00B70AD4">
      <w:pPr>
        <w:pStyle w:val="Odstavecseseznamem"/>
        <w:numPr>
          <w:ilvl w:val="0"/>
          <w:numId w:val="4"/>
        </w:numPr>
        <w:tabs>
          <w:tab w:val="clear" w:pos="425"/>
        </w:tabs>
      </w:pPr>
      <w:r>
        <w:t xml:space="preserve">Vrátit příjemci veškeré poskytnuté účelové finanční prostředky včetně majetkového prospěchu získaného v souvislosti s jejich použitím a to do </w:t>
      </w:r>
      <w:r w:rsidR="00DD4F56">
        <w:t>30</w:t>
      </w:r>
      <w:r>
        <w:t xml:space="preserve"> dnů ode dne, kdy oznámí, nebo kdy měl oznámit příjemci ve smyslu předchozího odstavce, že nastaly skutečnosti, na jejichž základě další účastník projektu nebude moci nadále plnit své povinnosti vyplývající pro něj z této smlouvy.</w:t>
      </w:r>
    </w:p>
    <w:p w14:paraId="0456F365" w14:textId="77777777" w:rsidR="00F43A8C" w:rsidRPr="00F43A8C" w:rsidRDefault="00F43A8C" w:rsidP="00F43A8C">
      <w:pPr>
        <w:pStyle w:val="Odstavecseseznamem"/>
        <w:numPr>
          <w:ilvl w:val="0"/>
          <w:numId w:val="4"/>
        </w:numPr>
      </w:pPr>
      <w:r w:rsidRPr="00F43A8C">
        <w:t xml:space="preserve">Spolupracovat na vytvoření Plánu správy dat, tak aby mohl být předložen společně s první průběžnou zprávou, pravidelně ho aktualizovat a spolupracovat s příjemcem tak, aby aktualizovaná verze Plánu správy dat mohla být předkládána jako součást průběžné a závěrečné zprávy.  </w:t>
      </w:r>
    </w:p>
    <w:p w14:paraId="717ACF71" w14:textId="4063C39C" w:rsidR="00F43A8C" w:rsidRDefault="00F43A8C" w:rsidP="00F43A8C">
      <w:pPr>
        <w:pStyle w:val="Odstavecseseznamem"/>
        <w:numPr>
          <w:ilvl w:val="0"/>
          <w:numId w:val="4"/>
        </w:numPr>
      </w:pPr>
      <w:r w:rsidRPr="00F43A8C">
        <w:t xml:space="preserve">Předávat prostřednictvím příjemce poskytovateli v průběhu realizace projektu informace o dostupnosti a způsobu šíření výsledků výzkumu a výzkumných dat, pokud byly vytvořeny za podpory z veřejných prostředků, v souladu se zásadou, že výsledky výzkumu a výzkumná data nejsou zveřejňovány pouze v odůvodněných případech. </w:t>
      </w:r>
    </w:p>
    <w:p w14:paraId="45249784" w14:textId="77777777" w:rsidR="00633FE0" w:rsidRPr="00633FE0" w:rsidRDefault="00633FE0" w:rsidP="00633FE0">
      <w:pPr>
        <w:pStyle w:val="Odstavecseseznamem"/>
        <w:numPr>
          <w:ilvl w:val="0"/>
          <w:numId w:val="4"/>
        </w:numPr>
      </w:pPr>
      <w:r w:rsidRPr="00633FE0">
        <w:t xml:space="preserve">dodržovat podmínky pro složení klíčových osob řešitelského týmu stanovených zadávací dokumentací po celou dobu realizace projetu a usilovat po celou dobu řešení projektu o zachování genderové vyváženosti řešitelského týmu. </w:t>
      </w:r>
    </w:p>
    <w:p w14:paraId="53F3B8A2" w14:textId="77777777" w:rsidR="00633FE0" w:rsidRDefault="00633FE0" w:rsidP="00633FE0">
      <w:pPr>
        <w:pStyle w:val="Odstavecseseznamem"/>
        <w:numPr>
          <w:ilvl w:val="0"/>
          <w:numId w:val="4"/>
        </w:numPr>
      </w:pPr>
      <w:r>
        <w:t>Dodržovat další povinnosti, vyplývající z čl. 4 Všeobecných podmínek „</w:t>
      </w:r>
      <w:r w:rsidRPr="002B628F">
        <w:rPr>
          <w:bCs/>
        </w:rPr>
        <w:t xml:space="preserve">Programu na podporu aplikovaného výzkumu a inovací SIGMA“ </w:t>
      </w:r>
      <w:r>
        <w:t>Technologické agentury České republiky.</w:t>
      </w:r>
    </w:p>
    <w:p w14:paraId="4B3C1F12" w14:textId="0B6E415B" w:rsidR="00EE64BC" w:rsidRDefault="00EE64BC" w:rsidP="00EE64BC">
      <w:r w:rsidRPr="00FA1A24">
        <w:t>2.</w:t>
      </w:r>
      <w:r w:rsidRPr="00FA1A24">
        <w:tab/>
        <w:t xml:space="preserve">Jestliže další účastník projektu v příslušném kalendářním roce nedočerpá všechny účelové finanční prostředky poskytnuté mu na dané období příjemcem, je v takovém případě oprávněn část nedočerpaných účelových finančních prostředků až do výše </w:t>
      </w:r>
      <w:r w:rsidR="00DD4F56" w:rsidRPr="00FA1A24">
        <w:t>5 %</w:t>
      </w:r>
      <w:r w:rsidRPr="00FA1A24">
        <w:t xml:space="preserve"> celkové účelové podpory poskytnuté mu příjemcem na dané období převést do fondu účelově určených prostředků a užít tyto finanční prostředky v následujícím roce. Ujednání předchozí věty nelze užít v posledním roce spolupráce smluvních stran v souvislosti s touto smlouvou.</w:t>
      </w:r>
      <w:r>
        <w:t xml:space="preserve"> </w:t>
      </w:r>
    </w:p>
    <w:p w14:paraId="5C80C93C" w14:textId="77777777" w:rsidR="00EE64BC" w:rsidRDefault="00EE64BC" w:rsidP="00EE64BC"/>
    <w:p w14:paraId="53B4D884" w14:textId="77777777" w:rsidR="00EE64BC" w:rsidRDefault="00EE64BC" w:rsidP="008516B3">
      <w:pPr>
        <w:pStyle w:val="Nadpis2"/>
      </w:pPr>
      <w:r>
        <w:lastRenderedPageBreak/>
        <w:t>VI.</w:t>
      </w:r>
      <w:r>
        <w:br/>
        <w:t>Práva k hmotnému majetku</w:t>
      </w:r>
    </w:p>
    <w:p w14:paraId="5BE31200" w14:textId="77777777" w:rsidR="00EE64BC" w:rsidRDefault="00EE64BC" w:rsidP="00EE64BC">
      <w:r>
        <w:t>1.</w:t>
      </w:r>
      <w:r>
        <w:tab/>
        <w:t xml:space="preserve">Vlastníkem hmotného majetku, nutného k řešení projektu a pořízeného z poskytnutých účelových prostředků, je ta smluvní strana, která si uvedený majetek pořídila nebo ho při řešení projektu vytvořila. Byl-li tento majetek pořízen či vytvořen příjemcem a dalším účastníkem společně, je jejich podíl na vlastnictví tohoto majetku stejný, nedohodnou-li se jinak. </w:t>
      </w:r>
    </w:p>
    <w:p w14:paraId="0E08A7A3" w14:textId="0D0FCD61" w:rsidR="00EE64BC" w:rsidRPr="007663C2" w:rsidRDefault="00EE64BC" w:rsidP="001E3181">
      <w:r>
        <w:t>2.</w:t>
      </w:r>
      <w:r>
        <w:tab/>
        <w:t>S majetkem, který další účastník projektu získá v přímé souvislosti s plněním cílů projektu a který pořídí z poskytnutých účelových finančních prostředků, není další účastník projektu oprávněn nakládat ve vztahu k třetím osobám v rozporu s touto smlouvou bez předchozího písemného souhlasu příjemce, a to až do doby úplného vyrovnání všech závazků, které pro dalšího účastníka projektu vyplývají z této smlouvy.</w:t>
      </w:r>
      <w:r w:rsidR="001E3181" w:rsidRPr="007663C2">
        <w:t xml:space="preserve"> </w:t>
      </w:r>
    </w:p>
    <w:p w14:paraId="7D13BF79" w14:textId="77777777" w:rsidR="00EE64BC" w:rsidRDefault="00EE64BC" w:rsidP="00EE64BC"/>
    <w:p w14:paraId="79A58C0D" w14:textId="77777777" w:rsidR="00EE64BC" w:rsidRDefault="00EE64BC" w:rsidP="008516B3">
      <w:pPr>
        <w:pStyle w:val="Nadpis2"/>
      </w:pPr>
      <w:r>
        <w:t>VII.</w:t>
      </w:r>
      <w:r>
        <w:br/>
        <w:t>Ochrana duševního vlastnictví</w:t>
      </w:r>
    </w:p>
    <w:p w14:paraId="5EFABBBE" w14:textId="77777777" w:rsidR="00EE64BC" w:rsidRDefault="00EE64BC" w:rsidP="00EE64BC">
      <w:r>
        <w:t>1.</w:t>
      </w:r>
      <w:r>
        <w:tab/>
        <w:t>Strany této smlouvy výslovně prohlašují, že všechny informace vztahující se k řešení projektu včetně jeho návrhu, k vkládaným znalostem, k výsledkům řešení projektu anebo jejich částem považují za důvěrné, případně za své obchodní tajemství, pokud se v konkrétním případě výslovně nedohodnou jinak. Za důvěrné budou smluvní strany považovat všechny informace technické nebo obchodní povahy týkající se projektu,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projektu.</w:t>
      </w:r>
      <w:r w:rsidDel="0000004C">
        <w:t xml:space="preserve"> </w:t>
      </w:r>
      <w:r>
        <w:t>Závazek k ochraně důvěrných informací se nevztahuje na informace již oprávněně zveřejněné a na informace povinně předávané poskytovateli dotace, kontrolním orgánům v souvislosti s poskytnutou dotací a do Rejstříku informací o výsledcích (RIV). Pokud jsou předmětem projektu též utajované skutečnosti podle zvláštního zákona, řídí se nakládání s nimi platnou legislativou.</w:t>
      </w:r>
    </w:p>
    <w:p w14:paraId="54014CF3" w14:textId="77777777" w:rsidR="00EE64BC" w:rsidRDefault="00EE64BC" w:rsidP="00EE64BC">
      <w:r>
        <w:t>2.</w:t>
      </w:r>
      <w:r>
        <w:tab/>
        <w:t>Znalosti vkládané do projektu:</w:t>
      </w:r>
    </w:p>
    <w:p w14:paraId="50F1F9D1" w14:textId="77777777" w:rsidR="00EE64BC" w:rsidRDefault="00EE64BC" w:rsidP="00EE64BC">
      <w:pPr>
        <w:pStyle w:val="Odstavecseseznamem"/>
        <w:numPr>
          <w:ilvl w:val="0"/>
          <w:numId w:val="5"/>
        </w:numPr>
        <w:tabs>
          <w:tab w:val="clear" w:pos="425"/>
        </w:tabs>
      </w:pPr>
      <w:r>
        <w:t>Smluvní strany vstupují do projektu s následujícími dovednostmi, know-how a jinými právy duševního vlastnictví, které jsou potřebné pro realizaci projektu (vkládané znalosti):</w:t>
      </w:r>
    </w:p>
    <w:p w14:paraId="6E09A436" w14:textId="1119A668" w:rsidR="00EE64BC" w:rsidRPr="005E4E5A" w:rsidRDefault="00EE64BC" w:rsidP="00EE64BC">
      <w:pPr>
        <w:pStyle w:val="Odstavecseseznamem"/>
      </w:pPr>
      <w:r w:rsidRPr="005E4E5A">
        <w:t>Příjemce:</w:t>
      </w:r>
      <w:r w:rsidR="001E3181" w:rsidRPr="005E4E5A">
        <w:t xml:space="preserve"> vývoj HW a SW</w:t>
      </w:r>
      <w:r w:rsidR="005E4E5A" w:rsidRPr="005E4E5A">
        <w:t xml:space="preserve"> proudových VN kleští</w:t>
      </w:r>
      <w:r w:rsidR="001E3181" w:rsidRPr="005E4E5A">
        <w:t xml:space="preserve">, </w:t>
      </w:r>
      <w:r w:rsidR="005E4E5A" w:rsidRPr="005E4E5A">
        <w:t>měřící algori</w:t>
      </w:r>
      <w:r w:rsidR="005E4E5A">
        <w:t>t</w:t>
      </w:r>
      <w:r w:rsidR="005E4E5A" w:rsidRPr="005E4E5A">
        <w:t>my</w:t>
      </w:r>
      <w:r w:rsidR="001E3181" w:rsidRPr="005E4E5A">
        <w:t xml:space="preserve">, </w:t>
      </w:r>
      <w:r w:rsidR="005E4E5A" w:rsidRPr="005E4E5A">
        <w:t>konstrukční řešení VN kleští</w:t>
      </w:r>
      <w:r w:rsidR="001E3181" w:rsidRPr="005E4E5A">
        <w:t xml:space="preserve"> </w:t>
      </w:r>
    </w:p>
    <w:p w14:paraId="02ED8AEE" w14:textId="556650DC" w:rsidR="00EE64BC" w:rsidRDefault="00EE64BC" w:rsidP="00EE64BC">
      <w:pPr>
        <w:pStyle w:val="Odstavecseseznamem"/>
      </w:pPr>
      <w:r w:rsidRPr="005E4E5A">
        <w:t xml:space="preserve">Další účastník projektu: </w:t>
      </w:r>
      <w:r w:rsidR="005E4E5A" w:rsidRPr="005E4E5A">
        <w:t xml:space="preserve">bezdrátové komunikační rozhraní, časová synchronizace, </w:t>
      </w:r>
      <w:proofErr w:type="spellStart"/>
      <w:r w:rsidR="005E4E5A" w:rsidRPr="005E4E5A">
        <w:t>IoT</w:t>
      </w:r>
      <w:proofErr w:type="spellEnd"/>
      <w:r w:rsidR="005E4E5A" w:rsidRPr="005E4E5A">
        <w:t xml:space="preserve"> jednotka</w:t>
      </w:r>
    </w:p>
    <w:p w14:paraId="6DF781BC" w14:textId="77777777" w:rsidR="00EE64BC" w:rsidRDefault="00EE64BC" w:rsidP="00EE64BC">
      <w:pPr>
        <w:pStyle w:val="Odstavecseseznamem"/>
        <w:numPr>
          <w:ilvl w:val="0"/>
          <w:numId w:val="5"/>
        </w:numPr>
        <w:tabs>
          <w:tab w:val="clear" w:pos="425"/>
        </w:tabs>
      </w:pPr>
      <w:r>
        <w:t>Vkládané znalosti zůstávají vlastnictvím strany, která je do projektu vložila.</w:t>
      </w:r>
    </w:p>
    <w:p w14:paraId="4B38E8C2" w14:textId="77777777" w:rsidR="00EE64BC" w:rsidRDefault="00EE64BC" w:rsidP="00EE64BC">
      <w:pPr>
        <w:pStyle w:val="Odstavecseseznamem"/>
        <w:numPr>
          <w:ilvl w:val="0"/>
          <w:numId w:val="5"/>
        </w:numPr>
        <w:tabs>
          <w:tab w:val="clear" w:pos="425"/>
        </w:tabs>
      </w:pPr>
      <w:r>
        <w:t xml:space="preserve">Ostatní smluvní strany jsou oprávněny použít vkládané znalosti pro práce na projektu, pokud jsou nezbytně potřebné, po dobu trvání projektu zdarma. </w:t>
      </w:r>
    </w:p>
    <w:p w14:paraId="614634C3" w14:textId="77777777" w:rsidR="00EE64BC" w:rsidRDefault="00EE64BC" w:rsidP="00EE64BC">
      <w:pPr>
        <w:pStyle w:val="Odstavecseseznamem"/>
        <w:numPr>
          <w:ilvl w:val="0"/>
          <w:numId w:val="5"/>
        </w:numPr>
        <w:tabs>
          <w:tab w:val="clear" w:pos="425"/>
        </w:tabs>
      </w:pPr>
      <w:r>
        <w:t xml:space="preserve">Smluvní strany mají právo na nevýhradní licenci za tržních podmínek k vkládaným znalostem ve vlastnictví jiné strany, pokud je nezbytně potřebují pro využití vlastních výsledků projektu, protože bez nich by bylo užití vlastních výsledků technicky nebo právně nemožné. O licenci je třeba požádat do dvou let od skončení projektu. </w:t>
      </w:r>
    </w:p>
    <w:p w14:paraId="5D631852" w14:textId="77777777" w:rsidR="00EE64BC" w:rsidRDefault="00EE64BC" w:rsidP="00EE64BC">
      <w:pPr>
        <w:pStyle w:val="Odstavecseseznamem"/>
        <w:numPr>
          <w:ilvl w:val="0"/>
          <w:numId w:val="5"/>
        </w:numPr>
        <w:tabs>
          <w:tab w:val="clear" w:pos="425"/>
        </w:tabs>
      </w:pPr>
      <w:r>
        <w:t>Smluvní strany nejsou oprávněny použít vkládané znalosti k jinému účelu a jiným způsobem, pokud si předem písemně nesjednají jinak zvláštní smlouvou.</w:t>
      </w:r>
    </w:p>
    <w:p w14:paraId="3DA8E8D1" w14:textId="77777777" w:rsidR="00EE64BC" w:rsidRDefault="00EE64BC" w:rsidP="00EE64BC">
      <w:pPr>
        <w:pStyle w:val="Odstavecseseznamem"/>
        <w:numPr>
          <w:ilvl w:val="0"/>
          <w:numId w:val="5"/>
        </w:numPr>
        <w:tabs>
          <w:tab w:val="clear" w:pos="425"/>
        </w:tabs>
      </w:pPr>
      <w:r>
        <w:t>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w:t>
      </w:r>
    </w:p>
    <w:p w14:paraId="13F86A67" w14:textId="77777777" w:rsidR="00EE64BC" w:rsidRDefault="00EE64BC" w:rsidP="00EE64BC">
      <w:r>
        <w:t>3.</w:t>
      </w:r>
      <w:r>
        <w:tab/>
        <w:t>Ochrana duševního vlastnictví:</w:t>
      </w:r>
    </w:p>
    <w:p w14:paraId="3C16A80B" w14:textId="77777777" w:rsidR="00EE64BC" w:rsidRDefault="00EE64BC" w:rsidP="00EE64BC">
      <w:pPr>
        <w:pStyle w:val="Odstavecseseznamem"/>
        <w:numPr>
          <w:ilvl w:val="0"/>
          <w:numId w:val="3"/>
        </w:numPr>
        <w:tabs>
          <w:tab w:val="clear" w:pos="425"/>
        </w:tabs>
      </w:pPr>
      <w:r>
        <w:lastRenderedPageBreak/>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 právem.</w:t>
      </w:r>
    </w:p>
    <w:p w14:paraId="4C39716E" w14:textId="77777777" w:rsidR="00EE64BC" w:rsidRDefault="00EE64BC" w:rsidP="00EE64BC">
      <w:pPr>
        <w:pStyle w:val="Odstavecseseznamem"/>
        <w:numPr>
          <w:ilvl w:val="0"/>
          <w:numId w:val="3"/>
        </w:numPr>
        <w:tabs>
          <w:tab w:val="clear" w:pos="425"/>
        </w:tabs>
      </w:pPr>
      <w:r>
        <w:t xml:space="preserve">Pokud výsledek vlastní smluvní strany 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w:t>
      </w:r>
      <w:proofErr w:type="gramStart"/>
      <w:r>
        <w:t>se</w:t>
      </w:r>
      <w:proofErr w:type="gramEnd"/>
      <w:r>
        <w:t xml:space="preserve"> 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14:paraId="52C17515" w14:textId="77777777" w:rsidR="00EE64BC" w:rsidRDefault="00EE64BC" w:rsidP="00EE64BC">
      <w:r>
        <w:t>4.</w:t>
      </w:r>
      <w:r>
        <w:tab/>
      </w:r>
      <w:r w:rsidRPr="00D31E3D">
        <w:t>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w:t>
      </w:r>
      <w:r w:rsidRPr="00F15E2E">
        <w:t xml:space="preserve"> </w:t>
      </w:r>
      <w:r>
        <w:t>Každá ze stran je zodpovědná za vypořádání nároků autorů a původců na své straně.</w:t>
      </w:r>
    </w:p>
    <w:p w14:paraId="62B58496" w14:textId="77777777" w:rsidR="00EE64BC" w:rsidRDefault="00EE64BC" w:rsidP="00EE64BC">
      <w:r>
        <w:t>5.</w:t>
      </w:r>
      <w:r>
        <w:tab/>
        <w:t>Pokud se smluvní strany nedohodnou písemně jinak, uplatní se ustanovení tohoto článku obdobně na nároky k výsledkům projektu v případě předčasného ukončení smlouvy.</w:t>
      </w:r>
    </w:p>
    <w:p w14:paraId="68AC6627" w14:textId="77777777" w:rsidR="00EE64BC" w:rsidRDefault="00EE64BC" w:rsidP="00EE64BC"/>
    <w:p w14:paraId="38D7C314" w14:textId="77777777" w:rsidR="00EE64BC" w:rsidRPr="007663C2" w:rsidRDefault="00EE64BC" w:rsidP="008516B3">
      <w:pPr>
        <w:pStyle w:val="Nadpis2"/>
      </w:pPr>
      <w:r>
        <w:t>VIII.</w:t>
      </w:r>
      <w:r>
        <w:br/>
        <w:t>Práva k výsledkům a využití výsledků</w:t>
      </w:r>
    </w:p>
    <w:p w14:paraId="4863B919" w14:textId="77777777" w:rsidR="00EE64BC" w:rsidRDefault="00EE64BC" w:rsidP="00EE64BC">
      <w:r>
        <w:t>1.</w:t>
      </w:r>
      <w:r>
        <w:tab/>
        <w:t>Práva k výsledkům:</w:t>
      </w:r>
    </w:p>
    <w:p w14:paraId="34C0BDF6" w14:textId="77777777" w:rsidR="00EE64BC" w:rsidRDefault="00EE64BC" w:rsidP="00EE64BC">
      <w:pPr>
        <w:pStyle w:val="Odstavecseseznamem"/>
        <w:numPr>
          <w:ilvl w:val="0"/>
          <w:numId w:val="2"/>
        </w:numPr>
        <w:tabs>
          <w:tab w:val="clear" w:pos="425"/>
        </w:tabs>
      </w:pPr>
      <w:r>
        <w:t>Výsledky projektu, kterých bude v rámci projektu dosaženo pouze jednou smluvní stranou, budou zcela ve vlastnictví strany, která tyto výsledky vyvinula (vytvořila vlastní tvůrčí prací).</w:t>
      </w:r>
    </w:p>
    <w:p w14:paraId="614463F3" w14:textId="77777777" w:rsidR="00EE64BC" w:rsidRDefault="00EE64BC" w:rsidP="00EE64BC">
      <w:pPr>
        <w:pStyle w:val="Odstavecseseznamem"/>
        <w:numPr>
          <w:ilvl w:val="0"/>
          <w:numId w:val="2"/>
        </w:numPr>
        <w:tabs>
          <w:tab w:val="clear" w:pos="425"/>
        </w:tabs>
      </w:pPr>
      <w:r>
        <w:t>Výsledky projektu, které budou dosaženy v rámci projektu více stranami společně tak, že jednotlivé tvůrčí příspěvky smluvních stran nelze oddělit bez ztráty jejich podstaty, budou ve společném vlastnictví smluvních stran. Pokud nelze určit tvůrčí podíly jednotlivých smluvních stran na výsledku a strany se nedohodly jinak, platí, že jsou spoluvlastnické podíly rovné.</w:t>
      </w:r>
    </w:p>
    <w:p w14:paraId="17BB5C76" w14:textId="77777777" w:rsidR="00EE64BC" w:rsidRDefault="00EE64BC" w:rsidP="00EE64BC">
      <w:r>
        <w:t>2.</w:t>
      </w:r>
      <w:r>
        <w:tab/>
        <w:t>Využití výsledků:</w:t>
      </w:r>
    </w:p>
    <w:p w14:paraId="09D6E606" w14:textId="77777777" w:rsidR="00EE64BC" w:rsidRDefault="00EE64BC" w:rsidP="00EE64BC">
      <w:pPr>
        <w:pStyle w:val="Odstavecseseznamem"/>
        <w:numPr>
          <w:ilvl w:val="0"/>
          <w:numId w:val="6"/>
        </w:numPr>
        <w:tabs>
          <w:tab w:val="clear" w:pos="425"/>
        </w:tabs>
      </w:pPr>
      <w:r>
        <w:t xml:space="preserve">Smluvní strana je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 </w:t>
      </w:r>
    </w:p>
    <w:p w14:paraId="14432EC7" w14:textId="0D45F78D" w:rsidR="00EE64BC" w:rsidRDefault="00EE64BC" w:rsidP="00EE64BC">
      <w:pPr>
        <w:pStyle w:val="Odstavecseseznamem"/>
        <w:numPr>
          <w:ilvl w:val="0"/>
          <w:numId w:val="6"/>
        </w:numPr>
        <w:tabs>
          <w:tab w:val="clear" w:pos="425"/>
        </w:tabs>
      </w:pPr>
      <w:r>
        <w:t xml:space="preserve">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 </w:t>
      </w:r>
    </w:p>
    <w:p w14:paraId="45E68824" w14:textId="77777777" w:rsidR="00795D3A" w:rsidRDefault="00795D3A" w:rsidP="00795D3A">
      <w:pPr>
        <w:tabs>
          <w:tab w:val="clear" w:pos="425"/>
        </w:tabs>
      </w:pPr>
      <w:r>
        <w:t>3.</w:t>
      </w:r>
      <w:r>
        <w:tab/>
        <w:t xml:space="preserve">Smluvní strany se zavazují zajistit naplnění požadavků týkajících se otevřeného přístupu  u poskytovatelem určených typů  výsledků dle dokumentu poskytovatele Výzkumná data a otevřený přístup k výstupům/výsledkům, především uložit strojově čitelnou finální verzi textu výstupu nebo výsledku a výzkumných dat do </w:t>
      </w:r>
      <w:proofErr w:type="spellStart"/>
      <w:r>
        <w:t>repozitáře</w:t>
      </w:r>
      <w:proofErr w:type="spellEnd"/>
      <w:r>
        <w:t xml:space="preserve"> a umožnit otevřený přístup k textu k výstupu nebo výsledku a souvisejícím výzkumným datům za podmínek vhodné veřejné licence zveřejněním v </w:t>
      </w:r>
      <w:proofErr w:type="spellStart"/>
      <w:r>
        <w:t>repozitáři</w:t>
      </w:r>
      <w:proofErr w:type="spellEnd"/>
      <w:r>
        <w:t xml:space="preserve"> nebo publikováním v otevřeném časopise, a to tak, že otevřený přístup musí být </w:t>
      </w:r>
      <w:r>
        <w:lastRenderedPageBreak/>
        <w:t>poskytnut do 6  měsíců od zveřejnění nebo dokončení výstupu nebo výsledku, nejpozději do konce řešení projektu.</w:t>
      </w:r>
    </w:p>
    <w:p w14:paraId="3801B455" w14:textId="77777777" w:rsidR="00795D3A" w:rsidRDefault="00795D3A" w:rsidP="00795D3A">
      <w:pPr>
        <w:tabs>
          <w:tab w:val="clear" w:pos="425"/>
        </w:tabs>
      </w:pPr>
      <w:r>
        <w:t>4.</w:t>
      </w:r>
      <w:r>
        <w:tab/>
        <w:t>Smluvní strany se dále zavazují u výsledků a výstupů dle předchozího odstavce zajistit dlouhodobý bezplatný on-line přístup pro jakéhokoliv uživatele, stejně jako k souvisejícím výzkumným datům a bibliografickým informacím (metadatům). Výstup/výsledek a data musí být opatřeny perzistentním identifikátorem.</w:t>
      </w:r>
    </w:p>
    <w:p w14:paraId="50369CA9" w14:textId="650743AE" w:rsidR="00795D3A" w:rsidRDefault="00795D3A" w:rsidP="00015962">
      <w:pPr>
        <w:tabs>
          <w:tab w:val="clear" w:pos="425"/>
        </w:tabs>
        <w:ind w:left="426" w:hanging="426"/>
      </w:pPr>
      <w:r>
        <w:t xml:space="preserve">5. </w:t>
      </w:r>
      <w:r>
        <w:tab/>
        <w:t>Povinnost dle odst. 3 tohoto článku se nevztahuje na výzkumná data, pokud by jejich zpřístupněním došlo k nepřiměřenému zásahu do práva na ochranu duševního vlastnictví, práva na ochranu soukromí a osobních údajů nebo práva na ochranu obchodního tajemství, bezpečnosti státu nebo jiných oprávněných zájmů stran.</w:t>
      </w:r>
    </w:p>
    <w:p w14:paraId="70663D6A" w14:textId="0E8153E6" w:rsidR="00EE64BC" w:rsidRDefault="00795D3A" w:rsidP="00EE64BC">
      <w:r>
        <w:t>6.</w:t>
      </w:r>
      <w:r w:rsidR="00EE64BC" w:rsidRPr="00AD453A">
        <w:tab/>
        <w:t>Ustanovení předchozích odstavců nebrání tomu, aby smluvní strany po vzájemné dohodě upravily vlastnická a užívací práva k výsledkům projektu v jednotlivých případech odlišně</w:t>
      </w:r>
      <w:r w:rsidR="00EE64BC">
        <w:t xml:space="preserve"> při respektování platné legislativy a podmínek projektu stanovených poskytovatelem.</w:t>
      </w:r>
    </w:p>
    <w:p w14:paraId="1D4F0365" w14:textId="127C619E" w:rsidR="00EE64BC" w:rsidRDefault="00795D3A" w:rsidP="00EE64BC">
      <w:r>
        <w:t>7</w:t>
      </w:r>
      <w:r w:rsidR="00EE64BC">
        <w:t>.</w:t>
      </w:r>
      <w:r w:rsidR="00EE64BC" w:rsidRPr="00AD453A">
        <w:tab/>
      </w:r>
      <w:r w:rsidR="00EE64BC">
        <w:t>Pokud se smluvní strany nedohodnou písemně jinak, uplatní se ustanovení tohoto článku obdobně na nároky k výsledkům projektu v případě předčasného ukončení smlouvy.</w:t>
      </w:r>
    </w:p>
    <w:p w14:paraId="6CB62EE5" w14:textId="48B9B3AE" w:rsidR="006C55E3" w:rsidRDefault="00795D3A" w:rsidP="00EE64BC">
      <w:r>
        <w:t>8</w:t>
      </w:r>
      <w:r w:rsidR="006C55E3">
        <w:t xml:space="preserve">. </w:t>
      </w:r>
      <w:r w:rsidR="006C55E3">
        <w:tab/>
      </w:r>
      <w:r w:rsidR="006C55E3" w:rsidRPr="006C55E3">
        <w:t>Smluvní strany se zavazují spolupracovat a poskytnout si vzájemně maximální součinnost k tomu, aby k dosaženým výsledk</w:t>
      </w:r>
      <w:r w:rsidR="00E54D11">
        <w:t>ům vytvořily implementační plán</w:t>
      </w:r>
      <w:r w:rsidR="006C55E3" w:rsidRPr="006C55E3">
        <w:t>. Při užití výsledků včetně, pokud to bude nezbytné, uzavření příslušných smluv o postoupení práv nebo užívacích práv z výsledků se smluvní strany zavazují poskytovat tyto výsledky dle implementačního plánu a za obvyklých tržních podmínek. Pro vyloučení pochybností strany výslovně prohlašují, že touto smlouvou nejsou převáděna jakákoliv práva k Výsledkům, pokud k ní nebude uzavřen dodatek nebo dodatky, tato práva následně měnící.</w:t>
      </w:r>
    </w:p>
    <w:p w14:paraId="7B420524" w14:textId="77777777" w:rsidR="00EE64BC" w:rsidRDefault="00EE64BC" w:rsidP="00EE64BC"/>
    <w:p w14:paraId="2ECC32E9" w14:textId="77777777" w:rsidR="00EE64BC" w:rsidRDefault="00EE64BC" w:rsidP="008516B3">
      <w:pPr>
        <w:pStyle w:val="Nadpis2"/>
      </w:pPr>
      <w:r>
        <w:t>IX.</w:t>
      </w:r>
      <w:r>
        <w:br/>
        <w:t>Odpovědnost a sankce</w:t>
      </w:r>
    </w:p>
    <w:p w14:paraId="5D9B7611" w14:textId="26D43A45" w:rsidR="00EE64BC" w:rsidRDefault="003042BB" w:rsidP="00EE64BC">
      <w:r>
        <w:t>1.</w:t>
      </w:r>
      <w:r w:rsidR="00EE64BC">
        <w:tab/>
        <w:t>Za každé závažné (podstatné) porušení povinností vyplývajících z této smlouvy je smluvní strana, která svou povinnost porušila, povinna uhradit druhé smluvní str</w:t>
      </w:r>
      <w:r w:rsidR="000E2EE3">
        <w:t>aně smluvní pokutu ve výši 0,05 </w:t>
      </w:r>
      <w:r w:rsidR="00EE64BC">
        <w:t>% z celkové výše poskytnutých účelových finančních prostředků. Tímto ujednáním o smluvních sankcích není dotčeno právo smluvní strany na náhradu vzniklé škody, kterou je oprávněna vymáhat samostatně.</w:t>
      </w:r>
    </w:p>
    <w:p w14:paraId="083C1C06" w14:textId="172EE66A" w:rsidR="00EE64BC" w:rsidRDefault="007F008B" w:rsidP="00015962">
      <w:pPr>
        <w:ind w:left="0" w:firstLine="0"/>
      </w:pPr>
      <w:r>
        <w:t>3</w:t>
      </w:r>
      <w:r w:rsidR="00EE64BC">
        <w:t>.</w:t>
      </w:r>
      <w:r w:rsidR="00EE64BC">
        <w:tab/>
        <w:t>Pokud by došlo k porušení pravidel (podmínek) spolupráce vymezených v této smlouvě některou ze smluvních stran, je strana, která porušení způsobila, povinna nahradit druhé straně prokazatelnou škodu.</w:t>
      </w:r>
    </w:p>
    <w:p w14:paraId="050BD565" w14:textId="77777777" w:rsidR="00EE64BC" w:rsidRPr="006522BB" w:rsidRDefault="00EE64BC" w:rsidP="008516B3">
      <w:pPr>
        <w:pStyle w:val="Nadpis2"/>
      </w:pPr>
      <w:r>
        <w:t>X</w:t>
      </w:r>
      <w:r w:rsidRPr="006522BB">
        <w:t>.</w:t>
      </w:r>
      <w:r>
        <w:br/>
        <w:t>Závěrečná ustanovení</w:t>
      </w:r>
    </w:p>
    <w:p w14:paraId="3206348C" w14:textId="1E106A71" w:rsidR="00EE64BC" w:rsidRDefault="00EE64BC" w:rsidP="00EE64BC">
      <w:r>
        <w:t>1.</w:t>
      </w:r>
      <w:r>
        <w:tab/>
        <w:t>Další účastník se bezvýhradně zavazuje, že se bude řídit smlouvou o poskytnutí podpory na řešení projektu uzavřenou mezi poskytovatelem a příjemcem, včetně všech jejích příloh. Další účastník je dále povinen poskytnout příjemci veškerou potřebnou součinnost za účelem dodržení povinností mu plynoucích ze smlouvy o poskytnutí podpory uzavřené s poskytovatelem.</w:t>
      </w:r>
    </w:p>
    <w:p w14:paraId="76D02D97" w14:textId="5C557C33" w:rsidR="00DA5670" w:rsidRDefault="00DA5670" w:rsidP="00EE64BC">
      <w:r>
        <w:t>2.</w:t>
      </w:r>
      <w:r>
        <w:tab/>
      </w:r>
      <w:r w:rsidRPr="00DA5670">
        <w:t>Smluvní pokuty sjednané touto smlouvou nesaturují případný nárok poškozené strany na náhradu škody.</w:t>
      </w:r>
    </w:p>
    <w:p w14:paraId="1FE52277" w14:textId="05F2AD5A" w:rsidR="00EE64BC" w:rsidRDefault="00DA5670" w:rsidP="00EE64BC">
      <w:r>
        <w:t>3</w:t>
      </w:r>
      <w:r w:rsidR="00EE64BC">
        <w:t>.</w:t>
      </w:r>
      <w:r w:rsidR="00EE64BC">
        <w:tab/>
        <w:t>Zásady,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pozdějších předpisů.</w:t>
      </w:r>
    </w:p>
    <w:p w14:paraId="3467F058" w14:textId="5B4F64F6" w:rsidR="00EE64BC" w:rsidRDefault="00DA5670" w:rsidP="00EE64BC">
      <w:r>
        <w:lastRenderedPageBreak/>
        <w:t>4</w:t>
      </w:r>
      <w:r w:rsidR="00EE64BC">
        <w:tab/>
      </w:r>
      <w:r w:rsidR="00EE64BC" w:rsidRPr="00CC485F">
        <w:t xml:space="preserve">Tuto smlouvu lze měnit pouze </w:t>
      </w:r>
      <w:r w:rsidR="00EE64BC">
        <w:t>písemně</w:t>
      </w:r>
      <w:r w:rsidR="00EE64BC" w:rsidRPr="00CC485F">
        <w:t>, její změna v jiné formě je vyloučena. Za písemnou formu se pro tento účel nepovažuje jednání učiněné elektronickými či jinými technickými prostředky (e-mail, fax).</w:t>
      </w:r>
      <w:r w:rsidR="00EE64BC">
        <w:t xml:space="preserve"> Smluvní strany mohou </w:t>
      </w:r>
      <w:r w:rsidR="00EE64BC" w:rsidRPr="000A00ED">
        <w:t>namítnout neplatnost změny této smlouvy z důvodu nedodržení formy kdyk</w:t>
      </w:r>
      <w:r w:rsidR="00EE64BC">
        <w:t xml:space="preserve">oliv, i poté, co bylo započato </w:t>
      </w:r>
      <w:r w:rsidR="00EE64BC" w:rsidRPr="000A00ED">
        <w:t>s plněním.</w:t>
      </w:r>
    </w:p>
    <w:p w14:paraId="127C33E4" w14:textId="132DAA00" w:rsidR="00EE64BC" w:rsidRDefault="00DA5670" w:rsidP="00EE64BC">
      <w:r>
        <w:t>5</w:t>
      </w:r>
      <w:r w:rsidR="002A16D1">
        <w:t>.</w:t>
      </w:r>
      <w:r w:rsidR="00EE64BC" w:rsidRPr="005B593E">
        <w:tab/>
      </w:r>
      <w:r w:rsidR="00EE64BC" w:rsidRPr="00494E85">
        <w:t>Tato smlouva o vzájemných vztazích mezi příjemci se uzavírá s účinností od data zahájení řešení projektu, na dobu určitou do ukončení řešení projektu a vyrovnání všech závazků smluvních stran s tím souvisejících, avšak s</w:t>
      </w:r>
      <w:r w:rsidR="00EE64BC">
        <w:t xml:space="preserve"> výjimkou přežívajícího článku VII a VIII</w:t>
      </w:r>
      <w:r w:rsidR="00EE64BC" w:rsidRPr="00494E85">
        <w:t xml:space="preserve"> této smlouvy.</w:t>
      </w:r>
    </w:p>
    <w:p w14:paraId="41DF7617" w14:textId="5F8D7402" w:rsidR="00EE64BC" w:rsidRDefault="00DA5670" w:rsidP="00EE64BC">
      <w:r>
        <w:t>6</w:t>
      </w:r>
      <w:r w:rsidR="00EE64BC" w:rsidRPr="00197388">
        <w:t>.</w:t>
      </w:r>
      <w:r w:rsidR="00EE64BC" w:rsidRPr="00197388">
        <w:tab/>
        <w:t>Kterákoliv smluvní strana může tuto smlouvu vypovědět. Výpovědní doba je v takovém případě dvouměsíční a její běh začíná prvým dnem měsíce následujícího po doručení výpovědi. Výpověď musí být učiněna v písemné formě, jinak je neplatná.</w:t>
      </w:r>
    </w:p>
    <w:p w14:paraId="34C2160A" w14:textId="59CA9C80" w:rsidR="00EE64BC" w:rsidRPr="00197388" w:rsidRDefault="00DA5670" w:rsidP="00EE64BC">
      <w:r>
        <w:t>7</w:t>
      </w:r>
      <w:r w:rsidR="00EE64BC">
        <w:t>.</w:t>
      </w:r>
      <w:r w:rsidR="00EE64BC">
        <w:tab/>
      </w:r>
      <w:r w:rsidR="00EE64BC" w:rsidRPr="009E2AC9">
        <w:t>Smluvní strany podpisem této smlouvy potvrzují, že jsou si vědomy, že se na smlouvu vztahuje povinnost jejího uveřejnění dle zákona č. 340/2015 Sb. o registru smluv, v platném znění. Uveřejnění smlouvy zajišťuje VUT.</w:t>
      </w:r>
    </w:p>
    <w:p w14:paraId="14D454A1" w14:textId="0DC53124" w:rsidR="00EE64BC" w:rsidRDefault="00DA5670" w:rsidP="00EE64BC">
      <w:r>
        <w:t>8</w:t>
      </w:r>
      <w:r w:rsidR="00EE64BC">
        <w:t>.</w:t>
      </w:r>
      <w:r w:rsidR="00EE64BC">
        <w:tab/>
      </w:r>
      <w:r w:rsidR="001E3181" w:rsidRPr="001E3181">
        <w:t>Smlouva je vyhotovena v elektronické podobě podepsané každou stranou minimálně zaručeným elektronickým podpisem dle Nařízení eIDAS. Každá strana obdrží elektronické vyhotovení smlouvy.</w:t>
      </w:r>
      <w:r w:rsidR="001E3181">
        <w:t xml:space="preserve"> </w:t>
      </w:r>
    </w:p>
    <w:p w14:paraId="30BF538B" w14:textId="4ED57C53" w:rsidR="00EE64BC" w:rsidRDefault="00DA5670" w:rsidP="00EE64BC">
      <w:r>
        <w:t>9</w:t>
      </w:r>
      <w:r w:rsidR="00EE64BC">
        <w:t>.</w:t>
      </w:r>
      <w:r w:rsidR="00EE64BC">
        <w:tab/>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6F4D809" w14:textId="3BAAC4FD" w:rsidR="00EE64BC" w:rsidRPr="00CC485F" w:rsidRDefault="00DA5670" w:rsidP="00EE64BC">
      <w:r>
        <w:t>10</w:t>
      </w:r>
      <w:r w:rsidR="00EE64BC">
        <w:t>.</w:t>
      </w:r>
      <w:r w:rsidR="00EE64BC">
        <w:tab/>
      </w:r>
      <w:r w:rsidR="00EE64BC" w:rsidRPr="00CC485F">
        <w:t>Smluvní strany výslovně potvrzují, že tato smlouva je výsledkem jejich jednání a každá ze stran měla příležitost ovlivnit její základní podmínky.</w:t>
      </w:r>
    </w:p>
    <w:p w14:paraId="75CC8D26" w14:textId="77777777" w:rsidR="00A056DE" w:rsidRPr="00CC485F" w:rsidRDefault="00A056DE" w:rsidP="006522BB"/>
    <w:p w14:paraId="77EFC330" w14:textId="77726983" w:rsidR="005A209D" w:rsidRDefault="005A209D" w:rsidP="00CB740A">
      <w:pPr>
        <w:tabs>
          <w:tab w:val="clear" w:pos="425"/>
          <w:tab w:val="left" w:pos="0"/>
          <w:tab w:val="left" w:pos="5812"/>
        </w:tabs>
        <w:ind w:left="0" w:firstLine="0"/>
        <w:jc w:val="left"/>
      </w:pPr>
    </w:p>
    <w:p w14:paraId="001AF920" w14:textId="09033813" w:rsidR="005A209D" w:rsidRPr="00CC485F" w:rsidRDefault="00C65CD7" w:rsidP="00443817">
      <w:pPr>
        <w:tabs>
          <w:tab w:val="left" w:pos="5103"/>
        </w:tabs>
      </w:pPr>
      <w:r w:rsidRPr="00CC485F">
        <w:t>V </w:t>
      </w:r>
      <w:r w:rsidR="001E3181" w:rsidRPr="001E3181">
        <w:t>České</w:t>
      </w:r>
      <w:r w:rsidRPr="00AB30DD">
        <w:t xml:space="preserve"> </w:t>
      </w:r>
      <w:r w:rsidR="005A209D" w:rsidRPr="00AB30DD">
        <w:t>dne</w:t>
      </w:r>
      <w:r w:rsidR="005A209D" w:rsidRPr="00CC485F">
        <w:t xml:space="preserve"> ___________</w:t>
      </w:r>
      <w:r w:rsidR="005A209D" w:rsidRPr="00CC485F">
        <w:tab/>
      </w:r>
      <w:r w:rsidR="00AB30DD" w:rsidRPr="00CC485F">
        <w:t>V </w:t>
      </w:r>
      <w:r w:rsidR="00AB30DD" w:rsidRPr="00FA1A24">
        <w:t>Brně</w:t>
      </w:r>
      <w:r w:rsidR="00AB30DD" w:rsidRPr="00CC485F">
        <w:t xml:space="preserve"> dne ___________</w:t>
      </w:r>
    </w:p>
    <w:p w14:paraId="25D3E3C5" w14:textId="77777777" w:rsidR="005A209D" w:rsidRDefault="005A209D" w:rsidP="00AA626C">
      <w:pPr>
        <w:tabs>
          <w:tab w:val="left" w:pos="5670"/>
        </w:tabs>
      </w:pPr>
    </w:p>
    <w:p w14:paraId="4CD5B750" w14:textId="77777777" w:rsidR="005A209D" w:rsidRPr="00CC485F" w:rsidRDefault="005A209D" w:rsidP="00AA626C">
      <w:pPr>
        <w:tabs>
          <w:tab w:val="left" w:pos="5670"/>
        </w:tabs>
      </w:pPr>
    </w:p>
    <w:p w14:paraId="16138A47" w14:textId="2DAC2642" w:rsidR="00637E5F" w:rsidRDefault="00637E5F" w:rsidP="00637E5F">
      <w:pPr>
        <w:tabs>
          <w:tab w:val="clear" w:pos="425"/>
          <w:tab w:val="left" w:pos="0"/>
          <w:tab w:val="left" w:pos="5103"/>
        </w:tabs>
        <w:ind w:left="0" w:firstLine="0"/>
        <w:jc w:val="left"/>
      </w:pPr>
      <w:r w:rsidRPr="00CC485F">
        <w:t>_____________________________</w:t>
      </w:r>
      <w:r>
        <w:t>_</w:t>
      </w:r>
      <w:r w:rsidRPr="00CC485F">
        <w:tab/>
        <w:t>_____________________________</w:t>
      </w:r>
      <w:r>
        <w:t>_</w:t>
      </w:r>
      <w:r w:rsidRPr="00CC485F">
        <w:br/>
      </w:r>
      <w:r w:rsidR="001E3181" w:rsidRPr="001E3181">
        <w:t>doc. Ing. Ladislav Pospíchal, CSc.</w:t>
      </w:r>
      <w:r w:rsidRPr="00EE64BC">
        <w:tab/>
      </w:r>
      <w:r w:rsidR="005E4E5A" w:rsidRPr="005E4E5A">
        <w:t>prof. RNDr. Vladimír Aubrecht, CSc.</w:t>
      </w:r>
      <w:r w:rsidRPr="00EE64BC">
        <w:br/>
      </w:r>
      <w:r w:rsidR="001E3181" w:rsidRPr="001E3181">
        <w:t>předseda představenstva</w:t>
      </w:r>
      <w:r w:rsidRPr="00EE64BC">
        <w:tab/>
      </w:r>
      <w:r w:rsidR="005E4E5A" w:rsidRPr="005E4E5A">
        <w:t>děkan</w:t>
      </w:r>
      <w:r w:rsidRPr="00EE64BC">
        <w:br/>
        <w:t>za příjemce</w:t>
      </w:r>
      <w:r w:rsidRPr="00EE64BC">
        <w:tab/>
        <w:t>za dalšího účastníka</w:t>
      </w:r>
    </w:p>
    <w:p w14:paraId="4B6A9CFA" w14:textId="77777777" w:rsidR="004233E1" w:rsidRDefault="004233E1" w:rsidP="00637E5F">
      <w:pPr>
        <w:tabs>
          <w:tab w:val="clear" w:pos="425"/>
          <w:tab w:val="left" w:pos="0"/>
          <w:tab w:val="left" w:pos="5103"/>
        </w:tabs>
        <w:ind w:left="0" w:firstLine="0"/>
        <w:jc w:val="left"/>
      </w:pPr>
    </w:p>
    <w:p w14:paraId="3611A41B" w14:textId="77777777" w:rsidR="004233E1" w:rsidRDefault="004233E1" w:rsidP="004233E1">
      <w:pPr>
        <w:tabs>
          <w:tab w:val="left" w:pos="5812"/>
        </w:tabs>
        <w:jc w:val="left"/>
      </w:pPr>
    </w:p>
    <w:p w14:paraId="73390D6A" w14:textId="77777777" w:rsidR="00755F00" w:rsidRDefault="004233E1" w:rsidP="00755F00">
      <w:pPr>
        <w:tabs>
          <w:tab w:val="left" w:pos="5812"/>
        </w:tabs>
        <w:jc w:val="left"/>
      </w:pPr>
      <w:r w:rsidRPr="00CC485F">
        <w:t>_____________________________</w:t>
      </w:r>
      <w:r w:rsidRPr="00CC485F">
        <w:tab/>
      </w:r>
    </w:p>
    <w:p w14:paraId="5FE6B769" w14:textId="77777777" w:rsidR="00755F00" w:rsidRDefault="004233E1" w:rsidP="00755F00">
      <w:pPr>
        <w:tabs>
          <w:tab w:val="left" w:pos="5812"/>
        </w:tabs>
        <w:spacing w:after="0"/>
        <w:jc w:val="left"/>
      </w:pPr>
      <w:r>
        <w:t>Ing</w:t>
      </w:r>
      <w:r w:rsidRPr="00CB7607">
        <w:t>.</w:t>
      </w:r>
      <w:r>
        <w:t xml:space="preserve"> Markéta Bolková</w:t>
      </w:r>
      <w:r w:rsidRPr="00CC485F">
        <w:tab/>
      </w:r>
    </w:p>
    <w:p w14:paraId="6E871E68" w14:textId="77777777" w:rsidR="00755F00" w:rsidRDefault="004233E1" w:rsidP="00755F00">
      <w:pPr>
        <w:tabs>
          <w:tab w:val="left" w:pos="5812"/>
        </w:tabs>
        <w:spacing w:after="0"/>
        <w:jc w:val="left"/>
      </w:pPr>
      <w:r>
        <w:t>člen představenstva</w:t>
      </w:r>
      <w:r w:rsidRPr="00CC485F">
        <w:tab/>
      </w:r>
    </w:p>
    <w:p w14:paraId="1042360E" w14:textId="5E6BF447" w:rsidR="004233E1" w:rsidRPr="00CC485F" w:rsidRDefault="004233E1" w:rsidP="00755F00">
      <w:pPr>
        <w:tabs>
          <w:tab w:val="left" w:pos="5812"/>
        </w:tabs>
        <w:spacing w:after="0"/>
        <w:jc w:val="left"/>
      </w:pPr>
      <w:r w:rsidRPr="00F501C3">
        <w:t xml:space="preserve">za </w:t>
      </w:r>
      <w:r>
        <w:t>p</w:t>
      </w:r>
      <w:r w:rsidRPr="00F501C3">
        <w:t>říjemce</w:t>
      </w:r>
    </w:p>
    <w:p w14:paraId="446FCE18" w14:textId="77777777" w:rsidR="004233E1" w:rsidRPr="00CC485F" w:rsidRDefault="004233E1" w:rsidP="00637E5F">
      <w:pPr>
        <w:tabs>
          <w:tab w:val="clear" w:pos="425"/>
          <w:tab w:val="left" w:pos="0"/>
          <w:tab w:val="left" w:pos="5103"/>
        </w:tabs>
        <w:ind w:left="0" w:firstLine="0"/>
        <w:jc w:val="left"/>
      </w:pPr>
    </w:p>
    <w:p w14:paraId="7B46B69B" w14:textId="77777777" w:rsidR="005A209D" w:rsidRPr="00CC485F" w:rsidRDefault="005A209D" w:rsidP="00CB740A">
      <w:pPr>
        <w:tabs>
          <w:tab w:val="clear" w:pos="425"/>
          <w:tab w:val="left" w:pos="0"/>
          <w:tab w:val="left" w:pos="5812"/>
        </w:tabs>
        <w:ind w:left="0" w:firstLine="0"/>
        <w:jc w:val="left"/>
      </w:pPr>
    </w:p>
    <w:sectPr w:rsidR="005A209D" w:rsidRPr="00CC485F" w:rsidSect="00C553A9">
      <w:headerReference w:type="even" r:id="rId11"/>
      <w:footerReference w:type="even" r:id="rId12"/>
      <w:footerReference w:type="default" r:id="rId13"/>
      <w:pgSz w:w="11900" w:h="16840"/>
      <w:pgMar w:top="1417" w:right="1417" w:bottom="1417" w:left="1417" w:header="992"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89BA" w14:textId="77777777" w:rsidR="0031062A" w:rsidRDefault="0031062A" w:rsidP="006522BB">
      <w:r>
        <w:separator/>
      </w:r>
    </w:p>
    <w:p w14:paraId="46DB793D" w14:textId="77777777" w:rsidR="0031062A" w:rsidRDefault="0031062A" w:rsidP="006522BB"/>
  </w:endnote>
  <w:endnote w:type="continuationSeparator" w:id="0">
    <w:p w14:paraId="28DAC7DC" w14:textId="77777777" w:rsidR="0031062A" w:rsidRDefault="0031062A" w:rsidP="006522BB">
      <w:r>
        <w:continuationSeparator/>
      </w:r>
    </w:p>
    <w:p w14:paraId="6C321DA8" w14:textId="77777777" w:rsidR="0031062A" w:rsidRDefault="0031062A" w:rsidP="00652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EE"/>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E11F" w14:textId="77777777" w:rsidR="00FE3E51" w:rsidRPr="00FE3E51" w:rsidRDefault="00FE3E51" w:rsidP="006522BB">
    <w:pPr>
      <w:pStyle w:val="Zpat"/>
    </w:pPr>
  </w:p>
  <w:p w14:paraId="17B92EEB" w14:textId="77777777" w:rsidR="00824688" w:rsidRDefault="00824688" w:rsidP="006522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2288" w14:textId="066ECBB2" w:rsidR="00824688" w:rsidRPr="00CC047C" w:rsidRDefault="00D302A8" w:rsidP="00CC047C">
    <w:pPr>
      <w:pStyle w:val="Zpat"/>
      <w:jc w:val="center"/>
      <w:rPr>
        <w:sz w:val="18"/>
        <w:szCs w:val="18"/>
      </w:rPr>
    </w:pPr>
    <w:r w:rsidRPr="00CC047C">
      <w:rPr>
        <w:rStyle w:val="slostrnky"/>
        <w:sz w:val="18"/>
        <w:szCs w:val="18"/>
      </w:rPr>
      <w:t xml:space="preserve">Strana </w:t>
    </w:r>
    <w:r w:rsidRPr="00CC047C">
      <w:rPr>
        <w:rStyle w:val="slostrnky"/>
        <w:sz w:val="18"/>
        <w:szCs w:val="18"/>
      </w:rPr>
      <w:fldChar w:fldCharType="begin"/>
    </w:r>
    <w:r w:rsidRPr="00CC047C">
      <w:rPr>
        <w:rStyle w:val="slostrnky"/>
        <w:sz w:val="18"/>
        <w:szCs w:val="18"/>
      </w:rPr>
      <w:instrText xml:space="preserve"> PAGE </w:instrText>
    </w:r>
    <w:r w:rsidRPr="00CC047C">
      <w:rPr>
        <w:rStyle w:val="slostrnky"/>
        <w:sz w:val="18"/>
        <w:szCs w:val="18"/>
      </w:rPr>
      <w:fldChar w:fldCharType="separate"/>
    </w:r>
    <w:r w:rsidR="00282C4F">
      <w:rPr>
        <w:rStyle w:val="slostrnky"/>
        <w:noProof/>
        <w:sz w:val="18"/>
        <w:szCs w:val="18"/>
      </w:rPr>
      <w:t>5</w:t>
    </w:r>
    <w:r w:rsidRPr="00CC047C">
      <w:rPr>
        <w:rStyle w:val="slostrnky"/>
        <w:sz w:val="18"/>
        <w:szCs w:val="18"/>
      </w:rPr>
      <w:fldChar w:fldCharType="end"/>
    </w:r>
    <w:r w:rsidR="0013442F" w:rsidRPr="00CC047C">
      <w:rPr>
        <w:rStyle w:val="slostrnky"/>
        <w:sz w:val="18"/>
        <w:szCs w:val="18"/>
      </w:rPr>
      <w:t xml:space="preserve"> </w:t>
    </w:r>
    <w:r w:rsidRPr="00CC047C">
      <w:rPr>
        <w:rStyle w:val="slostrnky"/>
        <w:sz w:val="18"/>
        <w:szCs w:val="18"/>
      </w:rPr>
      <w:t xml:space="preserve">(celkem </w:t>
    </w:r>
    <w:r w:rsidRPr="00CC047C">
      <w:rPr>
        <w:rStyle w:val="slostrnky"/>
        <w:sz w:val="18"/>
        <w:szCs w:val="18"/>
      </w:rPr>
      <w:fldChar w:fldCharType="begin"/>
    </w:r>
    <w:r w:rsidRPr="00CC047C">
      <w:rPr>
        <w:rStyle w:val="slostrnky"/>
        <w:sz w:val="18"/>
        <w:szCs w:val="18"/>
      </w:rPr>
      <w:instrText xml:space="preserve"> NUMPAGES </w:instrText>
    </w:r>
    <w:r w:rsidRPr="00CC047C">
      <w:rPr>
        <w:rStyle w:val="slostrnky"/>
        <w:sz w:val="18"/>
        <w:szCs w:val="18"/>
      </w:rPr>
      <w:fldChar w:fldCharType="separate"/>
    </w:r>
    <w:r w:rsidR="00282C4F">
      <w:rPr>
        <w:rStyle w:val="slostrnky"/>
        <w:noProof/>
        <w:sz w:val="18"/>
        <w:szCs w:val="18"/>
      </w:rPr>
      <w:t>7</w:t>
    </w:r>
    <w:r w:rsidRPr="00CC047C">
      <w:rPr>
        <w:rStyle w:val="slostrnky"/>
        <w:sz w:val="18"/>
        <w:szCs w:val="18"/>
      </w:rPr>
      <w:fldChar w:fldCharType="end"/>
    </w:r>
    <w:r w:rsidRPr="00CC047C">
      <w:rPr>
        <w:rStyle w:val="slostrnky"/>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DB0B0" w14:textId="77777777" w:rsidR="0031062A" w:rsidRDefault="0031062A" w:rsidP="006522BB">
      <w:r>
        <w:separator/>
      </w:r>
    </w:p>
    <w:p w14:paraId="04F0195F" w14:textId="77777777" w:rsidR="0031062A" w:rsidRDefault="0031062A" w:rsidP="006522BB"/>
  </w:footnote>
  <w:footnote w:type="continuationSeparator" w:id="0">
    <w:p w14:paraId="3D79AF11" w14:textId="77777777" w:rsidR="0031062A" w:rsidRDefault="0031062A" w:rsidP="006522BB">
      <w:r>
        <w:continuationSeparator/>
      </w:r>
    </w:p>
    <w:p w14:paraId="003DE816" w14:textId="77777777" w:rsidR="0031062A" w:rsidRDefault="0031062A" w:rsidP="00652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EA1E" w14:textId="77777777" w:rsidR="00FE3E51" w:rsidRDefault="00FE3E51" w:rsidP="006522BB">
    <w:pPr>
      <w:pStyle w:val="Zhlav"/>
    </w:pPr>
  </w:p>
  <w:p w14:paraId="66094B13" w14:textId="77777777" w:rsidR="00824688" w:rsidRDefault="00824688" w:rsidP="006522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2CB"/>
    <w:multiLevelType w:val="hybridMultilevel"/>
    <w:tmpl w:val="0CC2D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5D4BD2"/>
    <w:multiLevelType w:val="hybridMultilevel"/>
    <w:tmpl w:val="E14EF2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C45A8"/>
    <w:multiLevelType w:val="hybridMultilevel"/>
    <w:tmpl w:val="0FEC1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ED4773"/>
    <w:multiLevelType w:val="hybridMultilevel"/>
    <w:tmpl w:val="659EF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09684A"/>
    <w:multiLevelType w:val="hybridMultilevel"/>
    <w:tmpl w:val="6B342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D5D36A4"/>
    <w:multiLevelType w:val="hybridMultilevel"/>
    <w:tmpl w:val="0360DA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A04C8D"/>
    <w:multiLevelType w:val="hybridMultilevel"/>
    <w:tmpl w:val="F138B8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05124D"/>
    <w:multiLevelType w:val="hybridMultilevel"/>
    <w:tmpl w:val="837E07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574D91"/>
    <w:multiLevelType w:val="hybridMultilevel"/>
    <w:tmpl w:val="F5CEA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FC6983"/>
    <w:multiLevelType w:val="hybridMultilevel"/>
    <w:tmpl w:val="4ADC27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5762271">
    <w:abstractNumId w:val="3"/>
  </w:num>
  <w:num w:numId="2" w16cid:durableId="1086614608">
    <w:abstractNumId w:val="7"/>
  </w:num>
  <w:num w:numId="3" w16cid:durableId="1496341401">
    <w:abstractNumId w:val="10"/>
  </w:num>
  <w:num w:numId="4" w16cid:durableId="1926762759">
    <w:abstractNumId w:val="8"/>
  </w:num>
  <w:num w:numId="5" w16cid:durableId="1072392125">
    <w:abstractNumId w:val="1"/>
  </w:num>
  <w:num w:numId="6" w16cid:durableId="1135681790">
    <w:abstractNumId w:val="6"/>
  </w:num>
  <w:num w:numId="7" w16cid:durableId="413363102">
    <w:abstractNumId w:val="5"/>
  </w:num>
  <w:num w:numId="8" w16cid:durableId="2027243844">
    <w:abstractNumId w:val="0"/>
  </w:num>
  <w:num w:numId="9" w16cid:durableId="2038579753">
    <w:abstractNumId w:val="4"/>
  </w:num>
  <w:num w:numId="10" w16cid:durableId="1117141652">
    <w:abstractNumId w:val="9"/>
  </w:num>
  <w:num w:numId="11" w16cid:durableId="1701466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CF"/>
    <w:rsid w:val="00004C4F"/>
    <w:rsid w:val="00012CEA"/>
    <w:rsid w:val="00015962"/>
    <w:rsid w:val="00031AB1"/>
    <w:rsid w:val="00060C3B"/>
    <w:rsid w:val="00067C7C"/>
    <w:rsid w:val="0007065E"/>
    <w:rsid w:val="000840BB"/>
    <w:rsid w:val="000A00ED"/>
    <w:rsid w:val="000A2CE7"/>
    <w:rsid w:val="000A2D8A"/>
    <w:rsid w:val="000A7C52"/>
    <w:rsid w:val="000C2999"/>
    <w:rsid w:val="000C6471"/>
    <w:rsid w:val="000C70EE"/>
    <w:rsid w:val="000E2EE3"/>
    <w:rsid w:val="000E725C"/>
    <w:rsid w:val="001058A0"/>
    <w:rsid w:val="00111963"/>
    <w:rsid w:val="00120A6B"/>
    <w:rsid w:val="00122BBD"/>
    <w:rsid w:val="00126B7F"/>
    <w:rsid w:val="0013442F"/>
    <w:rsid w:val="00141161"/>
    <w:rsid w:val="00150155"/>
    <w:rsid w:val="00155579"/>
    <w:rsid w:val="00182900"/>
    <w:rsid w:val="00184BFE"/>
    <w:rsid w:val="00195CD0"/>
    <w:rsid w:val="001A2DC8"/>
    <w:rsid w:val="001C0399"/>
    <w:rsid w:val="001C3992"/>
    <w:rsid w:val="001D3B02"/>
    <w:rsid w:val="001E3181"/>
    <w:rsid w:val="001E680B"/>
    <w:rsid w:val="001F1825"/>
    <w:rsid w:val="001F3409"/>
    <w:rsid w:val="00201242"/>
    <w:rsid w:val="00202665"/>
    <w:rsid w:val="00205074"/>
    <w:rsid w:val="00206B3C"/>
    <w:rsid w:val="00213A30"/>
    <w:rsid w:val="00217A1A"/>
    <w:rsid w:val="0022523A"/>
    <w:rsid w:val="00241F78"/>
    <w:rsid w:val="00245C72"/>
    <w:rsid w:val="00263CA8"/>
    <w:rsid w:val="002644A8"/>
    <w:rsid w:val="00271679"/>
    <w:rsid w:val="00282C4F"/>
    <w:rsid w:val="00287BB6"/>
    <w:rsid w:val="002A0213"/>
    <w:rsid w:val="002A11CA"/>
    <w:rsid w:val="002A16D1"/>
    <w:rsid w:val="002A67D3"/>
    <w:rsid w:val="002C3200"/>
    <w:rsid w:val="003042BB"/>
    <w:rsid w:val="0031062A"/>
    <w:rsid w:val="00311469"/>
    <w:rsid w:val="003237F5"/>
    <w:rsid w:val="00331E99"/>
    <w:rsid w:val="00332DD6"/>
    <w:rsid w:val="003334D2"/>
    <w:rsid w:val="0034020E"/>
    <w:rsid w:val="00342A93"/>
    <w:rsid w:val="003453AD"/>
    <w:rsid w:val="0038683A"/>
    <w:rsid w:val="00397741"/>
    <w:rsid w:val="003A3579"/>
    <w:rsid w:val="003D5028"/>
    <w:rsid w:val="003D7C09"/>
    <w:rsid w:val="003E0F30"/>
    <w:rsid w:val="003E150F"/>
    <w:rsid w:val="003E2AC0"/>
    <w:rsid w:val="003E5E0F"/>
    <w:rsid w:val="003E7ED3"/>
    <w:rsid w:val="004233E1"/>
    <w:rsid w:val="00423B33"/>
    <w:rsid w:val="00424A37"/>
    <w:rsid w:val="00443817"/>
    <w:rsid w:val="00452B71"/>
    <w:rsid w:val="004566BE"/>
    <w:rsid w:val="00477AB1"/>
    <w:rsid w:val="00497963"/>
    <w:rsid w:val="004A5E14"/>
    <w:rsid w:val="004B2F54"/>
    <w:rsid w:val="004B5D1D"/>
    <w:rsid w:val="004B7308"/>
    <w:rsid w:val="004C30AF"/>
    <w:rsid w:val="004E5FDF"/>
    <w:rsid w:val="004F3E47"/>
    <w:rsid w:val="004F726C"/>
    <w:rsid w:val="0050309C"/>
    <w:rsid w:val="0050536B"/>
    <w:rsid w:val="0056216E"/>
    <w:rsid w:val="00573204"/>
    <w:rsid w:val="00585507"/>
    <w:rsid w:val="005904F3"/>
    <w:rsid w:val="0059200B"/>
    <w:rsid w:val="005A209D"/>
    <w:rsid w:val="005A7E3C"/>
    <w:rsid w:val="005B00CE"/>
    <w:rsid w:val="005D0DC1"/>
    <w:rsid w:val="005E4E5A"/>
    <w:rsid w:val="005F6578"/>
    <w:rsid w:val="00605E46"/>
    <w:rsid w:val="006120C0"/>
    <w:rsid w:val="00612130"/>
    <w:rsid w:val="006214DB"/>
    <w:rsid w:val="00633FE0"/>
    <w:rsid w:val="00637E5F"/>
    <w:rsid w:val="00640009"/>
    <w:rsid w:val="006522BB"/>
    <w:rsid w:val="00674BDA"/>
    <w:rsid w:val="006769C9"/>
    <w:rsid w:val="00681CE9"/>
    <w:rsid w:val="006946FB"/>
    <w:rsid w:val="006957B6"/>
    <w:rsid w:val="00697E8E"/>
    <w:rsid w:val="006A5D63"/>
    <w:rsid w:val="006B1C9F"/>
    <w:rsid w:val="006C23F4"/>
    <w:rsid w:val="006C55E3"/>
    <w:rsid w:val="006D51CB"/>
    <w:rsid w:val="006F277F"/>
    <w:rsid w:val="00700AA9"/>
    <w:rsid w:val="00716609"/>
    <w:rsid w:val="00724D99"/>
    <w:rsid w:val="00735A48"/>
    <w:rsid w:val="00755F00"/>
    <w:rsid w:val="00756A88"/>
    <w:rsid w:val="00764C3D"/>
    <w:rsid w:val="007826D3"/>
    <w:rsid w:val="007955E4"/>
    <w:rsid w:val="00795D3A"/>
    <w:rsid w:val="007C11C0"/>
    <w:rsid w:val="007E5F30"/>
    <w:rsid w:val="007F008B"/>
    <w:rsid w:val="007F385F"/>
    <w:rsid w:val="00800606"/>
    <w:rsid w:val="008063AA"/>
    <w:rsid w:val="00807A69"/>
    <w:rsid w:val="00824688"/>
    <w:rsid w:val="008478B4"/>
    <w:rsid w:val="008516B3"/>
    <w:rsid w:val="00862D80"/>
    <w:rsid w:val="008630B7"/>
    <w:rsid w:val="00864024"/>
    <w:rsid w:val="00876875"/>
    <w:rsid w:val="00877B03"/>
    <w:rsid w:val="008964CA"/>
    <w:rsid w:val="008A097D"/>
    <w:rsid w:val="008A57E4"/>
    <w:rsid w:val="008B58B6"/>
    <w:rsid w:val="008C45E6"/>
    <w:rsid w:val="008C5CB7"/>
    <w:rsid w:val="008C71E5"/>
    <w:rsid w:val="008D59DE"/>
    <w:rsid w:val="008E1B95"/>
    <w:rsid w:val="008E1F78"/>
    <w:rsid w:val="008F6AE1"/>
    <w:rsid w:val="00911C1C"/>
    <w:rsid w:val="009206D0"/>
    <w:rsid w:val="00935FE1"/>
    <w:rsid w:val="00997228"/>
    <w:rsid w:val="009A2266"/>
    <w:rsid w:val="009C6EEA"/>
    <w:rsid w:val="009F0540"/>
    <w:rsid w:val="00A00770"/>
    <w:rsid w:val="00A056DE"/>
    <w:rsid w:val="00A05BCC"/>
    <w:rsid w:val="00A07FF9"/>
    <w:rsid w:val="00A21D2C"/>
    <w:rsid w:val="00A24505"/>
    <w:rsid w:val="00A24F12"/>
    <w:rsid w:val="00A36C68"/>
    <w:rsid w:val="00A56689"/>
    <w:rsid w:val="00A63AF8"/>
    <w:rsid w:val="00A712A0"/>
    <w:rsid w:val="00A72E20"/>
    <w:rsid w:val="00A73E69"/>
    <w:rsid w:val="00A82B30"/>
    <w:rsid w:val="00A907E2"/>
    <w:rsid w:val="00A93A8D"/>
    <w:rsid w:val="00A965B4"/>
    <w:rsid w:val="00AA0C09"/>
    <w:rsid w:val="00AA626C"/>
    <w:rsid w:val="00AB30DD"/>
    <w:rsid w:val="00AB3329"/>
    <w:rsid w:val="00AB4BD8"/>
    <w:rsid w:val="00AC0449"/>
    <w:rsid w:val="00AC2325"/>
    <w:rsid w:val="00AC5970"/>
    <w:rsid w:val="00AE3CDC"/>
    <w:rsid w:val="00B17AB2"/>
    <w:rsid w:val="00B30B4A"/>
    <w:rsid w:val="00B35878"/>
    <w:rsid w:val="00B41345"/>
    <w:rsid w:val="00B45FB2"/>
    <w:rsid w:val="00B53FAC"/>
    <w:rsid w:val="00B70AD4"/>
    <w:rsid w:val="00B76003"/>
    <w:rsid w:val="00B84EF9"/>
    <w:rsid w:val="00B8576C"/>
    <w:rsid w:val="00BB59C2"/>
    <w:rsid w:val="00BC1CD8"/>
    <w:rsid w:val="00BD369B"/>
    <w:rsid w:val="00BE2AF1"/>
    <w:rsid w:val="00BE6F4C"/>
    <w:rsid w:val="00BF5CB9"/>
    <w:rsid w:val="00BF6046"/>
    <w:rsid w:val="00C122C9"/>
    <w:rsid w:val="00C24FC3"/>
    <w:rsid w:val="00C3241B"/>
    <w:rsid w:val="00C428A0"/>
    <w:rsid w:val="00C46A1A"/>
    <w:rsid w:val="00C553A9"/>
    <w:rsid w:val="00C65CD7"/>
    <w:rsid w:val="00CB740A"/>
    <w:rsid w:val="00CC047C"/>
    <w:rsid w:val="00CC485F"/>
    <w:rsid w:val="00CE13AB"/>
    <w:rsid w:val="00CE7A16"/>
    <w:rsid w:val="00CF4B06"/>
    <w:rsid w:val="00CF5AD4"/>
    <w:rsid w:val="00D01812"/>
    <w:rsid w:val="00D04F4B"/>
    <w:rsid w:val="00D07B67"/>
    <w:rsid w:val="00D302A8"/>
    <w:rsid w:val="00D33C52"/>
    <w:rsid w:val="00D41D47"/>
    <w:rsid w:val="00D446B4"/>
    <w:rsid w:val="00D567EB"/>
    <w:rsid w:val="00D7196F"/>
    <w:rsid w:val="00D77DD2"/>
    <w:rsid w:val="00D858A1"/>
    <w:rsid w:val="00DA5670"/>
    <w:rsid w:val="00DB22BE"/>
    <w:rsid w:val="00DD4F56"/>
    <w:rsid w:val="00DE1BF0"/>
    <w:rsid w:val="00DE374E"/>
    <w:rsid w:val="00DE3D72"/>
    <w:rsid w:val="00DF1ED8"/>
    <w:rsid w:val="00DF4F67"/>
    <w:rsid w:val="00E00ADE"/>
    <w:rsid w:val="00E132EA"/>
    <w:rsid w:val="00E14FF5"/>
    <w:rsid w:val="00E476EF"/>
    <w:rsid w:val="00E51A10"/>
    <w:rsid w:val="00E53231"/>
    <w:rsid w:val="00E54D11"/>
    <w:rsid w:val="00E64A43"/>
    <w:rsid w:val="00EA69F0"/>
    <w:rsid w:val="00EB265D"/>
    <w:rsid w:val="00EE64BC"/>
    <w:rsid w:val="00F04ADD"/>
    <w:rsid w:val="00F04EEF"/>
    <w:rsid w:val="00F10AFC"/>
    <w:rsid w:val="00F126CF"/>
    <w:rsid w:val="00F20125"/>
    <w:rsid w:val="00F31474"/>
    <w:rsid w:val="00F37636"/>
    <w:rsid w:val="00F41827"/>
    <w:rsid w:val="00F42874"/>
    <w:rsid w:val="00F434FE"/>
    <w:rsid w:val="00F43A8C"/>
    <w:rsid w:val="00F56835"/>
    <w:rsid w:val="00F63556"/>
    <w:rsid w:val="00F679EA"/>
    <w:rsid w:val="00F905FE"/>
    <w:rsid w:val="00FA1A24"/>
    <w:rsid w:val="00FA6F5B"/>
    <w:rsid w:val="00FA72B8"/>
    <w:rsid w:val="00FA77D0"/>
    <w:rsid w:val="00FB3C70"/>
    <w:rsid w:val="00FC76E7"/>
    <w:rsid w:val="00FD2E3F"/>
    <w:rsid w:val="00FE0D7F"/>
    <w:rsid w:val="00FE3E51"/>
    <w:rsid w:val="00FF219B"/>
    <w:rsid w:val="00FF3D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CF723"/>
  <w15:docId w15:val="{35E12611-B279-4A2F-BD8A-7AF42872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0540"/>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B8576C"/>
    <w:pPr>
      <w:ind w:left="0" w:firstLine="0"/>
      <w:jc w:val="center"/>
      <w:outlineLvl w:val="0"/>
    </w:pPr>
    <w:rPr>
      <w:b/>
      <w:caps/>
      <w:sz w:val="40"/>
    </w:rPr>
  </w:style>
  <w:style w:type="paragraph" w:styleId="Nadpis2">
    <w:name w:val="heading 2"/>
    <w:basedOn w:val="Normln"/>
    <w:next w:val="Normln"/>
    <w:link w:val="Nadpis2Char"/>
    <w:uiPriority w:val="9"/>
    <w:unhideWhenUsed/>
    <w:qFormat/>
    <w:rsid w:val="00CB740A"/>
    <w:pPr>
      <w:keepNext/>
      <w:ind w:left="0" w:firstLine="0"/>
      <w:jc w:val="center"/>
      <w:outlineLvl w:val="1"/>
    </w:pPr>
    <w:rPr>
      <w:b/>
    </w:rPr>
  </w:style>
  <w:style w:type="paragraph" w:styleId="Nadpis3">
    <w:name w:val="heading 3"/>
    <w:basedOn w:val="Normln"/>
    <w:next w:val="Normln"/>
    <w:link w:val="Nadpis3Char"/>
    <w:uiPriority w:val="9"/>
    <w:unhideWhenUsed/>
    <w:qFormat/>
    <w:rsid w:val="00DE37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5F6578"/>
    <w:pPr>
      <w:keepNext/>
      <w:keepLines/>
      <w:tabs>
        <w:tab w:val="clear" w:pos="425"/>
      </w:tabs>
      <w:spacing w:after="0"/>
      <w:ind w:left="0" w:firstLine="0"/>
      <w:outlineLvl w:val="3"/>
    </w:pPr>
    <w:rPr>
      <w:rFonts w:eastAsiaTheme="majorEastAsia" w:cstheme="majorBidi"/>
      <w:iCs/>
      <w:color w:val="auto"/>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9F"/>
    <w:pPr>
      <w:tabs>
        <w:tab w:val="center" w:pos="4320"/>
        <w:tab w:val="right" w:pos="8640"/>
      </w:tabs>
      <w:spacing w:after="0"/>
    </w:pPr>
  </w:style>
  <w:style w:type="character" w:customStyle="1" w:styleId="ZhlavChar">
    <w:name w:val="Záhlaví Char"/>
    <w:basedOn w:val="Standardnpsmoodstavce"/>
    <w:link w:val="Zhlav"/>
    <w:uiPriority w:val="99"/>
    <w:rsid w:val="006B1C9F"/>
    <w:rPr>
      <w:rFonts w:ascii="Cambria" w:eastAsia="Cambria" w:hAnsi="Cambria" w:cs="Times New Roman"/>
      <w:sz w:val="24"/>
      <w:szCs w:val="24"/>
      <w:lang w:val="en-US"/>
    </w:rPr>
  </w:style>
  <w:style w:type="paragraph" w:styleId="Zpat">
    <w:name w:val="footer"/>
    <w:basedOn w:val="Normln"/>
    <w:link w:val="ZpatChar"/>
    <w:unhideWhenUsed/>
    <w:rsid w:val="006B1C9F"/>
    <w:pPr>
      <w:tabs>
        <w:tab w:val="center" w:pos="4320"/>
        <w:tab w:val="right" w:pos="8640"/>
      </w:tabs>
      <w:spacing w:after="0"/>
    </w:pPr>
  </w:style>
  <w:style w:type="character" w:customStyle="1" w:styleId="ZpatChar">
    <w:name w:val="Zápatí Char"/>
    <w:basedOn w:val="Standardnpsmoodstavce"/>
    <w:link w:val="Zpat"/>
    <w:rsid w:val="006B1C9F"/>
    <w:rPr>
      <w:rFonts w:ascii="Cambria" w:eastAsia="Cambria" w:hAnsi="Cambria" w:cs="Times New Roman"/>
      <w:sz w:val="24"/>
      <w:szCs w:val="24"/>
      <w:lang w:val="en-US"/>
    </w:rPr>
  </w:style>
  <w:style w:type="character" w:styleId="slostrnky">
    <w:name w:val="page number"/>
    <w:basedOn w:val="Standardnpsmoodstavce"/>
    <w:uiPriority w:val="99"/>
    <w:rsid w:val="00D302A8"/>
    <w:rPr>
      <w:rFonts w:cs="Times New Roman"/>
    </w:rPr>
  </w:style>
  <w:style w:type="paragraph" w:styleId="Textbubliny">
    <w:name w:val="Balloon Text"/>
    <w:basedOn w:val="Normln"/>
    <w:link w:val="TextbublinyChar"/>
    <w:uiPriority w:val="99"/>
    <w:semiHidden/>
    <w:unhideWhenUsed/>
    <w:rsid w:val="00F3147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474"/>
    <w:rPr>
      <w:rFonts w:ascii="Segoe UI" w:eastAsia="Cambria" w:hAnsi="Segoe UI" w:cs="Segoe UI"/>
      <w:sz w:val="18"/>
      <w:szCs w:val="18"/>
      <w:lang w:val="en-US"/>
    </w:rPr>
  </w:style>
  <w:style w:type="character" w:customStyle="1" w:styleId="Nadpis2Char">
    <w:name w:val="Nadpis 2 Char"/>
    <w:basedOn w:val="Standardnpsmoodstavce"/>
    <w:link w:val="Nadpis2"/>
    <w:uiPriority w:val="9"/>
    <w:rsid w:val="00CB740A"/>
    <w:rPr>
      <w:rFonts w:ascii="Open Sans" w:eastAsia="Cambria" w:hAnsi="Open Sans" w:cs="Times New Roman"/>
      <w:b/>
      <w:color w:val="000000" w:themeColor="text1"/>
      <w:sz w:val="20"/>
    </w:rPr>
  </w:style>
  <w:style w:type="character" w:customStyle="1" w:styleId="Nadpis1Char">
    <w:name w:val="Nadpis 1 Char"/>
    <w:basedOn w:val="Standardnpsmoodstavce"/>
    <w:link w:val="Nadpis1"/>
    <w:uiPriority w:val="9"/>
    <w:rsid w:val="00B8576C"/>
    <w:rPr>
      <w:rFonts w:ascii="Open Sans" w:eastAsia="Cambria" w:hAnsi="Open Sans" w:cs="Times New Roman"/>
      <w:b/>
      <w:caps/>
      <w:color w:val="000000" w:themeColor="text1"/>
      <w:sz w:val="40"/>
    </w:rPr>
  </w:style>
  <w:style w:type="character" w:customStyle="1" w:styleId="Nadpis3Char">
    <w:name w:val="Nadpis 3 Char"/>
    <w:basedOn w:val="Standardnpsmoodstavce"/>
    <w:link w:val="Nadpis3"/>
    <w:uiPriority w:val="9"/>
    <w:rsid w:val="00DE374E"/>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rsid w:val="00201242"/>
    <w:rPr>
      <w:sz w:val="16"/>
      <w:szCs w:val="16"/>
    </w:rPr>
  </w:style>
  <w:style w:type="paragraph" w:styleId="Textkomente">
    <w:name w:val="annotation text"/>
    <w:basedOn w:val="Normln"/>
    <w:link w:val="TextkomenteChar"/>
    <w:uiPriority w:val="99"/>
    <w:semiHidden/>
    <w:unhideWhenUsed/>
    <w:rsid w:val="00201242"/>
    <w:rPr>
      <w:szCs w:val="20"/>
    </w:rPr>
  </w:style>
  <w:style w:type="character" w:customStyle="1" w:styleId="TextkomenteChar">
    <w:name w:val="Text komentáře Char"/>
    <w:basedOn w:val="Standardnpsmoodstavce"/>
    <w:link w:val="Textkomente"/>
    <w:uiPriority w:val="99"/>
    <w:semiHidden/>
    <w:rsid w:val="00201242"/>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201242"/>
    <w:rPr>
      <w:b/>
      <w:bCs/>
    </w:rPr>
  </w:style>
  <w:style w:type="character" w:customStyle="1" w:styleId="PedmtkomenteChar">
    <w:name w:val="Předmět komentáře Char"/>
    <w:basedOn w:val="TextkomenteChar"/>
    <w:link w:val="Pedmtkomente"/>
    <w:uiPriority w:val="99"/>
    <w:semiHidden/>
    <w:rsid w:val="00201242"/>
    <w:rPr>
      <w:rFonts w:eastAsia="Cambria" w:cs="Times New Roman"/>
      <w:b/>
      <w:bCs/>
      <w:color w:val="000000" w:themeColor="text1"/>
      <w:sz w:val="20"/>
      <w:szCs w:val="20"/>
    </w:rPr>
  </w:style>
  <w:style w:type="paragraph" w:styleId="Textpoznpodarou">
    <w:name w:val="footnote text"/>
    <w:basedOn w:val="Normln"/>
    <w:link w:val="TextpoznpodarouChar"/>
    <w:uiPriority w:val="99"/>
    <w:semiHidden/>
    <w:unhideWhenUsed/>
    <w:rsid w:val="005F6578"/>
    <w:pPr>
      <w:spacing w:after="0"/>
    </w:pPr>
    <w:rPr>
      <w:szCs w:val="20"/>
    </w:rPr>
  </w:style>
  <w:style w:type="character" w:customStyle="1" w:styleId="TextpoznpodarouChar">
    <w:name w:val="Text pozn. pod čarou Char"/>
    <w:basedOn w:val="Standardnpsmoodstavce"/>
    <w:link w:val="Textpoznpodarou"/>
    <w:uiPriority w:val="99"/>
    <w:semiHidden/>
    <w:rsid w:val="005F6578"/>
    <w:rPr>
      <w:rFonts w:ascii="Open Sans" w:eastAsia="Cambria" w:hAnsi="Open Sans" w:cs="Times New Roman"/>
      <w:color w:val="000000" w:themeColor="text1"/>
      <w:sz w:val="20"/>
      <w:szCs w:val="20"/>
    </w:rPr>
  </w:style>
  <w:style w:type="character" w:styleId="Znakapoznpodarou">
    <w:name w:val="footnote reference"/>
    <w:basedOn w:val="Standardnpsmoodstavce"/>
    <w:uiPriority w:val="99"/>
    <w:semiHidden/>
    <w:unhideWhenUsed/>
    <w:rsid w:val="005F6578"/>
    <w:rPr>
      <w:vertAlign w:val="superscript"/>
    </w:rPr>
  </w:style>
  <w:style w:type="character" w:customStyle="1" w:styleId="Nadpis4Char">
    <w:name w:val="Nadpis 4 Char"/>
    <w:basedOn w:val="Standardnpsmoodstavce"/>
    <w:link w:val="Nadpis4"/>
    <w:uiPriority w:val="9"/>
    <w:rsid w:val="005F6578"/>
    <w:rPr>
      <w:rFonts w:ascii="Open Sans" w:eastAsiaTheme="majorEastAsia" w:hAnsi="Open Sans" w:cstheme="majorBidi"/>
      <w:iCs/>
      <w:sz w:val="16"/>
    </w:rPr>
  </w:style>
  <w:style w:type="paragraph" w:styleId="Odstavecseseznamem">
    <w:name w:val="List Paragraph"/>
    <w:basedOn w:val="Normln"/>
    <w:uiPriority w:val="34"/>
    <w:qFormat/>
    <w:rsid w:val="00585507"/>
    <w:pPr>
      <w:ind w:left="720"/>
      <w:contextualSpacing/>
    </w:pPr>
  </w:style>
  <w:style w:type="character" w:customStyle="1" w:styleId="ordo-tab-link">
    <w:name w:val="ordo-tab-link"/>
    <w:basedOn w:val="Standardnpsmoodstavce"/>
    <w:rsid w:val="00A73E69"/>
  </w:style>
  <w:style w:type="paragraph" w:styleId="Revize">
    <w:name w:val="Revision"/>
    <w:hidden/>
    <w:uiPriority w:val="99"/>
    <w:semiHidden/>
    <w:rsid w:val="004233E1"/>
    <w:pPr>
      <w:spacing w:after="0" w:line="240" w:lineRule="auto"/>
    </w:pPr>
    <w:rPr>
      <w:rFonts w:eastAsia="Cambria" w:cs="Times New Roman"/>
      <w:color w:val="000000" w:themeColor="text1"/>
    </w:rPr>
  </w:style>
  <w:style w:type="paragraph" w:customStyle="1" w:styleId="Zkladntext5">
    <w:name w:val="Základní text 5"/>
    <w:basedOn w:val="Normln"/>
    <w:uiPriority w:val="99"/>
    <w:rsid w:val="004233E1"/>
    <w:pPr>
      <w:tabs>
        <w:tab w:val="clear" w:pos="425"/>
      </w:tabs>
      <w:spacing w:before="120" w:after="0"/>
      <w:ind w:left="0" w:firstLine="0"/>
      <w:jc w:val="center"/>
    </w:pPr>
    <w:rPr>
      <w:rFonts w:ascii="Verdana" w:eastAsia="Times New Roman" w:hAnsi="Verdana"/>
      <w:color w:val="auto"/>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1625">
      <w:bodyDiv w:val="1"/>
      <w:marLeft w:val="0"/>
      <w:marRight w:val="0"/>
      <w:marTop w:val="0"/>
      <w:marBottom w:val="0"/>
      <w:divBdr>
        <w:top w:val="none" w:sz="0" w:space="0" w:color="auto"/>
        <w:left w:val="none" w:sz="0" w:space="0" w:color="auto"/>
        <w:bottom w:val="none" w:sz="0" w:space="0" w:color="auto"/>
        <w:right w:val="none" w:sz="0" w:space="0" w:color="auto"/>
      </w:divBdr>
    </w:div>
    <w:div w:id="1878884153">
      <w:bodyDiv w:val="1"/>
      <w:marLeft w:val="0"/>
      <w:marRight w:val="0"/>
      <w:marTop w:val="0"/>
      <w:marBottom w:val="0"/>
      <w:divBdr>
        <w:top w:val="none" w:sz="0" w:space="0" w:color="auto"/>
        <w:left w:val="none" w:sz="0" w:space="0" w:color="auto"/>
        <w:bottom w:val="none" w:sz="0" w:space="0" w:color="auto"/>
        <w:right w:val="none" w:sz="0" w:space="0" w:color="auto"/>
      </w:divBdr>
    </w:div>
    <w:div w:id="2009089398">
      <w:bodyDiv w:val="1"/>
      <w:marLeft w:val="0"/>
      <w:marRight w:val="0"/>
      <w:marTop w:val="0"/>
      <w:marBottom w:val="0"/>
      <w:divBdr>
        <w:top w:val="none" w:sz="0" w:space="0" w:color="auto"/>
        <w:left w:val="none" w:sz="0" w:space="0" w:color="auto"/>
        <w:bottom w:val="none" w:sz="0" w:space="0" w:color="auto"/>
        <w:right w:val="none" w:sz="0" w:space="0" w:color="auto"/>
      </w:divBdr>
    </w:div>
    <w:div w:id="20238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dd7646-6f00-46d9-ad4d-87f7b9a4ad83">
      <Terms xmlns="http://schemas.microsoft.com/office/infopath/2007/PartnerControls"/>
    </lcf76f155ced4ddcb4097134ff3c332f>
    <TaxCatchAll xmlns="ee88709b-5a3d-41dc-991a-526d7dc4ba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E0997F2D2BA6041A497C683A0127424" ma:contentTypeVersion="14" ma:contentTypeDescription="Vytvoří nový dokument" ma:contentTypeScope="" ma:versionID="fb91d0e429d26913bf0fd837e2061c23">
  <xsd:schema xmlns:xsd="http://www.w3.org/2001/XMLSchema" xmlns:xs="http://www.w3.org/2001/XMLSchema" xmlns:p="http://schemas.microsoft.com/office/2006/metadata/properties" xmlns:ns2="eadd7646-6f00-46d9-ad4d-87f7b9a4ad83" xmlns:ns3="ee88709b-5a3d-41dc-991a-526d7dc4bad3" targetNamespace="http://schemas.microsoft.com/office/2006/metadata/properties" ma:root="true" ma:fieldsID="580b24fc1074978e38dcdbb4be4b9176" ns2:_="" ns3:_="">
    <xsd:import namespace="eadd7646-6f00-46d9-ad4d-87f7b9a4ad83"/>
    <xsd:import namespace="ee88709b-5a3d-41dc-991a-526d7dc4ba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d7646-6f00-46d9-ad4d-87f7b9a4a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dc0c66c-3bbb-45c0-81fe-e66ee927fa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709b-5a3d-41dc-991a-526d7dc4bad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e9d42d3d-c0bf-4086-b50c-8dd02fe23863}" ma:internalName="TaxCatchAll" ma:showField="CatchAllData" ma:web="ee88709b-5a3d-41dc-991a-526d7dc4b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42987-5AEB-4F2A-9474-69DA97B0BEBB}">
  <ds:schemaRefs>
    <ds:schemaRef ds:uri="http://schemas.microsoft.com/sharepoint/v3/contenttype/forms"/>
  </ds:schemaRefs>
</ds:datastoreItem>
</file>

<file path=customXml/itemProps2.xml><?xml version="1.0" encoding="utf-8"?>
<ds:datastoreItem xmlns:ds="http://schemas.openxmlformats.org/officeDocument/2006/customXml" ds:itemID="{0FF6FE33-D46B-45D6-A57A-0756BD40F630}">
  <ds:schemaRefs>
    <ds:schemaRef ds:uri="http://schemas.microsoft.com/office/2006/documentManagement/types"/>
    <ds:schemaRef ds:uri="36fef74f-0dd9-4d47-b8f6-d27f0b2fb457"/>
    <ds:schemaRef ds:uri="http://schemas.microsoft.com/office/2006/metadata/properties"/>
    <ds:schemaRef ds:uri="http://purl.org/dc/terms/"/>
    <ds:schemaRef ds:uri="http://purl.org/dc/dcmitype/"/>
    <ds:schemaRef ds:uri="bf63a074-beef-4ac5-83ac-f332b652fec6"/>
    <ds:schemaRef ds:uri="http://www.w3.org/XML/1998/namespace"/>
    <ds:schemaRef ds:uri="http://schemas.microsoft.com/office/infopath/2007/PartnerControls"/>
    <ds:schemaRef ds:uri="http://schemas.openxmlformats.org/package/2006/metadata/core-properties"/>
    <ds:schemaRef ds:uri="http://purl.org/dc/elements/1.1/"/>
    <ds:schemaRef ds:uri="eadd7646-6f00-46d9-ad4d-87f7b9a4ad83"/>
    <ds:schemaRef ds:uri="ee88709b-5a3d-41dc-991a-526d7dc4bad3"/>
  </ds:schemaRefs>
</ds:datastoreItem>
</file>

<file path=customXml/itemProps3.xml><?xml version="1.0" encoding="utf-8"?>
<ds:datastoreItem xmlns:ds="http://schemas.openxmlformats.org/officeDocument/2006/customXml" ds:itemID="{14BEC9D4-591E-4231-A378-841883FF0B36}">
  <ds:schemaRefs>
    <ds:schemaRef ds:uri="http://schemas.openxmlformats.org/officeDocument/2006/bibliography"/>
  </ds:schemaRefs>
</ds:datastoreItem>
</file>

<file path=customXml/itemProps4.xml><?xml version="1.0" encoding="utf-8"?>
<ds:datastoreItem xmlns:ds="http://schemas.openxmlformats.org/officeDocument/2006/customXml" ds:itemID="{05D9502B-E2E8-4DE3-A874-C788A991E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d7646-6f00-46d9-ad4d-87f7b9a4ad83"/>
    <ds:schemaRef ds:uri="ee88709b-5a3d-41dc-991a-526d7dc4b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3566</Words>
  <Characters>21043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Gregorek Kamil</dc:creator>
  <cp:lastModifiedBy>Drahanská Iveta (19797)</cp:lastModifiedBy>
  <cp:revision>2</cp:revision>
  <cp:lastPrinted>2023-12-01T08:26:00Z</cp:lastPrinted>
  <dcterms:created xsi:type="dcterms:W3CDTF">2023-12-06T09:33:00Z</dcterms:created>
  <dcterms:modified xsi:type="dcterms:W3CDTF">2023-12-06T09:33:00Z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0x0101008E0997F2D2BA6041A497C683A0127424</vt:lpwstr>
  </property>
</Properties>
</file>