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43" w:lineRule="exact"/>
        <w:ind w:left="60" w:right="835" w:firstLine="0"/>
      </w:pPr>
      <w:r>
        <w:drawing>
          <wp:anchor simplePos="0" relativeHeight="251658391" behindDoc="0" locked="0" layoutInCell="1" allowOverlap="1">
            <wp:simplePos x="0" y="0"/>
            <wp:positionH relativeFrom="page">
              <wp:posOffset>222504</wp:posOffset>
            </wp:positionH>
            <wp:positionV relativeFrom="line">
              <wp:posOffset>-49833</wp:posOffset>
            </wp:positionV>
            <wp:extent cx="24384" cy="775666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384" cy="775666"/>
                    </a:xfrm>
                    <a:custGeom>
                      <a:rect l="l" t="t" r="r" b="b"/>
                      <a:pathLst>
                        <a:path w="24384" h="775666">
                          <a:moveTo>
                            <a:pt x="0" y="0"/>
                          </a:moveTo>
                          <a:lnTo>
                            <a:pt x="24384" y="0"/>
                          </a:lnTo>
                          <a:lnTo>
                            <a:pt x="24384" y="775666"/>
                          </a:lnTo>
                          <a:lnTo>
                            <a:pt x="0" y="77566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246888</wp:posOffset>
            </wp:positionH>
            <wp:positionV relativeFrom="line">
              <wp:posOffset>-49833</wp:posOffset>
            </wp:positionV>
            <wp:extent cx="6722364" cy="24384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22364" cy="24384"/>
                    </a:xfrm>
                    <a:custGeom>
                      <a:rect l="l" t="t" r="r" b="b"/>
                      <a:pathLst>
                        <a:path w="6722364" h="24384">
                          <a:moveTo>
                            <a:pt x="0" y="0"/>
                          </a:moveTo>
                          <a:lnTo>
                            <a:pt x="6722364" y="0"/>
                          </a:lnTo>
                          <a:lnTo>
                            <a:pt x="6722364" y="24384"/>
                          </a:lnTo>
                          <a:lnTo>
                            <a:pt x="0" y="2438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77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6944868</wp:posOffset>
            </wp:positionH>
            <wp:positionV relativeFrom="line">
              <wp:posOffset>-25449</wp:posOffset>
            </wp:positionV>
            <wp:extent cx="24384" cy="751281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384" cy="751281"/>
                    </a:xfrm>
                    <a:custGeom>
                      <a:rect l="l" t="t" r="r" b="b"/>
                      <a:pathLst>
                        <a:path w="24384" h="751281">
                          <a:moveTo>
                            <a:pt x="0" y="0"/>
                          </a:moveTo>
                          <a:lnTo>
                            <a:pt x="24384" y="0"/>
                          </a:lnTo>
                          <a:lnTo>
                            <a:pt x="24384" y="751281"/>
                          </a:lnTo>
                          <a:lnTo>
                            <a:pt x="0" y="7512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Eviden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č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ní list, návrh zm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ě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ny stavby / projektové dokumentace - j</w:t>
      </w:r>
      <w:r>
        <w:rPr baseline="0" dirty="0">
          <w:rFonts w:ascii="Arial" w:hAnsi="Arial" w:cs="Arial"/>
          <w:color w:val="000000"/>
          <w:spacing w:val="2"/>
          <w:sz w:val="28"/>
          <w:szCs w:val="28"/>
          <w:lang w:val="cs-CZ"/>
        </w:rPr>
        <w:t>e  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podkladem pro</w:t>
      </w:r>
      <w:r>
        <w:rPr>
          <w:rFonts w:ascii="Times New Roman" w:hAnsi="Times New Roman" w:cs="Times New Roman"/>
          <w:sz w:val="28"/>
          <w:szCs w:val="28"/>
        </w:rPr>
        <w:t> </w:t>
      </w:r>
      <w:r/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zm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ě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nu ceny díla dle smlouvy o dílo 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č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.240/2023</w:t>
      </w:r>
      <w:r>
        <w:rPr>
          <w:rFonts w:ascii="Times New Roman" w:hAnsi="Times New Roman" w:cs="Times New Roman"/>
          <w:sz w:val="28"/>
          <w:szCs w:val="28"/>
        </w:rPr>
        <w:t> </w:t>
      </w:r>
      <w:r/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CZ.06.3.33/0.0/0.0/017_099/0007900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360" w:tblpY="-8"/>
        <w:tblOverlap w:val="never"/>
        "
        <w:tblW w:w="10585" w:type="dxa"/>
        <w:tblLook w:val="04A0" w:firstRow="1" w:lastRow="0" w:firstColumn="1" w:lastColumn="0" w:noHBand="0" w:noVBand="1"/>
      </w:tblPr>
      <w:tblGrid>
        <w:gridCol w:w="4568"/>
        <w:gridCol w:w="6037"/>
      </w:tblGrid>
      <w:tr>
        <w:trPr>
          <w:trHeight w:hRule="exact" w:val="1096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6" w:after="448" w:line="240" w:lineRule="auto"/>
              <w:ind w:left="27" w:right="-18" w:firstLine="0"/>
            </w:pPr>
            <w:r>
              <w:drawing>
                <wp:anchor simplePos="0" relativeHeight="251658438" behindDoc="0" locked="0" layoutInCell="1" allowOverlap="1">
                  <wp:simplePos x="0" y="0"/>
                  <wp:positionH relativeFrom="page">
                    <wp:posOffset>18288</wp:posOffset>
                  </wp:positionH>
                  <wp:positionV relativeFrom="line">
                    <wp:posOffset>-115903</wp:posOffset>
                  </wp:positionV>
                  <wp:extent cx="6722364" cy="24384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722364" cy="24384"/>
                          </a:xfrm>
                          <a:custGeom>
                            <a:rect l="l" t="t" r="r" b="b"/>
                            <a:pathLst>
                              <a:path w="6722364" h="24384">
                                <a:moveTo>
                                  <a:pt x="0" y="0"/>
                                </a:moveTo>
                                <a:lnTo>
                                  <a:pt x="6722364" y="0"/>
                                </a:lnTo>
                                <a:lnTo>
                                  <a:pt x="672236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778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cs-CZ"/>
              </w:rPr>
              <w:t>Stavební akce: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60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5" w:after="0" w:line="256" w:lineRule="exact"/>
              <w:ind w:left="184" w:right="73" w:firstLine="0"/>
            </w:pP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Realizace expozice Národopisného muzea Plze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ň</w:t>
            </w:r>
            <w:r>
              <w:rPr baseline="0" dirty="0"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lang w:val="cs-CZ"/>
              </w:rPr>
              <w:t>ska v rámci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projektu „Revitalizace Západo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eského muzea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196" w:line="222" w:lineRule="exact"/>
              <w:ind w:left="184" w:right="0" w:firstLine="0"/>
            </w:pP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v Plzni – Národopisného muzea Plze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ň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ska“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360" w:tblpY="-117"/>
        <w:tblOverlap w:val="never"/>
        "
        <w:tblW w:w="10585" w:type="dxa"/>
        <w:tblLook w:val="04A0" w:firstRow="1" w:lastRow="0" w:firstColumn="1" w:lastColumn="0" w:noHBand="0" w:noVBand="1"/>
      </w:tblPr>
      <w:tblGrid>
        <w:gridCol w:w="4568"/>
        <w:gridCol w:w="6037"/>
      </w:tblGrid>
      <w:tr>
        <w:trPr>
          <w:trHeight w:hRule="exact" w:val="404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102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na stavby / projektové dokumentace 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603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129539</wp:posOffset>
                  </wp:positionH>
                  <wp:positionV relativeFrom="paragraph">
                    <wp:posOffset>46481</wp:posOffset>
                  </wp:positionV>
                  <wp:extent cx="2235923" cy="862729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258946" y="46481"/>
                            <a:ext cx="2121623" cy="7484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8" w:lineRule="exact"/>
                                <w:ind w:left="4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cs-CZ"/>
                                </w:rPr>
                                <w:t>ZL 10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53" w:after="0" w:line="436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Chot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ě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šovský d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ů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m, Gerlachovský d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ů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pacing w:val="-21"/>
                                  <w:sz w:val="20"/>
                                  <w:szCs w:val="20"/>
                                  <w:lang w:val="cs-CZ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Neocen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ě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ná položka A.05, B.306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360" w:tblpY="-117"/>
        <w:tblOverlap w:val="never"/>
        "
        <w:tblW w:w="10585" w:type="dxa"/>
        <w:tblLook w:val="04A0" w:firstRow="1" w:lastRow="0" w:firstColumn="1" w:lastColumn="0" w:noHBand="0" w:noVBand="1"/>
      </w:tblPr>
      <w:tblGrid>
        <w:gridCol w:w="4568"/>
        <w:gridCol w:w="2666"/>
        <w:gridCol w:w="1294"/>
        <w:gridCol w:w="2076"/>
      </w:tblGrid>
      <w:tr>
        <w:trPr>
          <w:trHeight w:hRule="exact" w:val="239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Dot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ená 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ást stavby: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76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608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1" w:after="204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Název / ozna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ení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76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Podklad pro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76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Zápis ve stavebním deníku ze dne: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76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24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8" w:after="162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Návrh pro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nu podal: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8" w:after="162" w:line="240" w:lineRule="auto"/>
              <w:ind w:left="204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objednatel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8" w:after="162" w:line="240" w:lineRule="auto"/>
              <w:ind w:left="429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0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8" w:after="162" w:line="240" w:lineRule="auto"/>
              <w:ind w:left="204" w:right="-18" w:firstLine="0"/>
            </w:pPr>
            <w:r/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21.11.2023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3366"/>
        </w:trPr>
        <w:tc>
          <w:tcPr>
            <w:tcW w:w="10605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2" w:lineRule="exact"/>
              <w:ind w:left="27" w:right="-18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Zd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vodn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ní a popis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cs-CZ"/>
              </w:rPr>
              <w:t>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11" w:line="247" w:lineRule="exact"/>
              <w:ind w:left="193" w:right="117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Vzhledem k tomu, že zhotovitel opomn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l nacenit položku A05 B.306 (atypická sestava v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etn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soklu, vestavba 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schody), kterou je však t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eba v rámci expozici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ního celku realizovat. Proto byla zhotovitelem dodate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n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nacen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pacing w:val="-2"/>
                <w:sz w:val="20"/>
                <w:szCs w:val="20"/>
                <w:lang w:val="cs-CZ"/>
              </w:rPr>
              <w:t>na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pro zachování celkové zasmluvn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né ceny díla byla její hodnota ode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tena z položky A2 B.401.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Vliv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ny na termín don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ení díla: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11" w:right="0" w:firstLine="0"/>
            </w:pP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0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Vliv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ny na cenu díla: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11" w:right="0" w:firstLine="0"/>
            </w:pP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0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Náklady na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nu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370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99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236220</wp:posOffset>
                  </wp:positionH>
                  <wp:positionV relativeFrom="line">
                    <wp:posOffset>-6096</wp:posOffset>
                  </wp:positionV>
                  <wp:extent cx="675921" cy="569535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59045" y="-6096"/>
                            <a:ext cx="561621" cy="455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7" w:lineRule="exact"/>
                                <w:ind w:left="0" w:right="0" w:firstLine="497"/>
                                <w:jc w:val="right"/>
                              </w:pP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6"/>
                                  <w:sz w:val="20"/>
                                  <w:szCs w:val="20"/>
                                  <w:lang w:val="cs-CZ"/>
                                </w:rPr>
                                <w:t>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3"/>
                                  <w:sz w:val="20"/>
                                  <w:szCs w:val="20"/>
                                  <w:lang w:val="cs-CZ"/>
                                </w:rPr>
                                <w:t>90 000,00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20" w:after="0" w:line="222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3"/>
                                  <w:sz w:val="20"/>
                                  <w:szCs w:val="20"/>
                                  <w:lang w:val="cs-CZ"/>
                                </w:rPr>
                                <w:t>90 000,00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 baseline="0" dirty="0"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>č 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p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ípo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ty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370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99" w:right="-18" w:firstLine="0"/>
            </w:pP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 baseline="0" dirty="0"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>č 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odpo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ty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370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99" w:right="-18" w:firstLine="0"/>
            </w:pP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 baseline="0" dirty="0"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>č 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1381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50"/>
              </w:tabs>
              <w:spacing w:before="62" w:after="0" w:line="222" w:lineRule="exact"/>
              <w:ind w:left="27" w:right="0" w:firstLine="0"/>
            </w:pPr>
            <w:r/>
            <w:r>
              <w:rPr baseline="0" dirty="0"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P</w:t>
            </w:r>
            <w:r>
              <w:rPr baseline="0" dirty="0"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ílohy:	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detailní soupis položek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222" w:lineRule="exact"/>
              <w:ind w:left="192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zápisy ve 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325" w:line="247" w:lineRule="exact"/>
              <w:ind w:left="192" w:right="1238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cs-CZ"/>
              </w:rPr>
              <w:t>zápisy z KD /z projednání, porady/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ostatní ( foto, výkresy)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76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08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Za útvar / odd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lení / firma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Jméno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45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0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22" w:right="-18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cs-CZ"/>
              </w:rPr>
              <w:t>Podpis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354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7" w:after="0" w:line="240" w:lineRule="auto"/>
              <w:ind w:left="883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zhotovitel - Capacity Expo s.r.o.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7" w:after="0" w:line="240" w:lineRule="auto"/>
              <w:ind w:left="38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Mgr. Petr Pato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8"/>
        </w:trPr>
        <w:tc>
          <w:tcPr>
            <w:tcW w:w="45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8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1025" w:right="1080" w:firstLine="0"/>
              <w:jc w:val="right"/>
            </w:pPr>
            <w:r/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projektant / autorský dozor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-42" w:right="194" w:firstLine="0"/>
              <w:jc w:val="right"/>
            </w:pPr>
            <w:r/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Ing.Arch Tereza Karásková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5"/>
        </w:trPr>
        <w:tc>
          <w:tcPr>
            <w:tcW w:w="4568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-42" w:right="172" w:firstLine="0"/>
              <w:jc w:val="right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Ing.Arch Silvie Bedna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íková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9"/>
        </w:trPr>
        <w:tc>
          <w:tcPr>
            <w:tcW w:w="45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9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1792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objednatel: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38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Mgr.Ji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í Orna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8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1997" w:right="2050" w:firstLine="0"/>
              <w:jc w:val="right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TDS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-42" w:right="1183" w:firstLine="0"/>
              <w:jc w:val="right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Ing.Arch Ji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í Opl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35"/>
        </w:trPr>
        <w:tc>
          <w:tcPr>
            <w:tcW w:w="45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20" w:h="17320"/>
          <w:pgMar w:top="343" w:right="500" w:bottom="275" w:left="340" w:header="708" w:footer="708" w:gutter="0"/>
          <w:docGrid w:linePitch="360"/>
        </w:sectPr>
      </w:pP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365" w:tblpY="-270"/>
        <w:tblOverlap w:val="never"/>
        "
        <w:tblW w:w="15416" w:type="dxa"/>
        <w:tblLook w:val="04A0" w:firstRow="1" w:lastRow="0" w:firstColumn="1" w:lastColumn="0" w:noHBand="0" w:noVBand="1"/>
      </w:tblPr>
      <w:tblGrid>
        <w:gridCol w:w="604"/>
        <w:gridCol w:w="624"/>
        <w:gridCol w:w="3271"/>
        <w:gridCol w:w="616"/>
        <w:gridCol w:w="624"/>
        <w:gridCol w:w="631"/>
        <w:gridCol w:w="617"/>
        <w:gridCol w:w="624"/>
        <w:gridCol w:w="624"/>
        <w:gridCol w:w="623"/>
        <w:gridCol w:w="943"/>
        <w:gridCol w:w="827"/>
        <w:gridCol w:w="105"/>
        <w:gridCol w:w="4697"/>
      </w:tblGrid>
      <w:tr>
        <w:trPr>
          <w:trHeight w:hRule="exact" w:val="129"/>
        </w:trPr>
        <w:tc>
          <w:tcPr>
            <w:tcW w:w="604" w:type="dxa"/>
            <w:vMerge w:val="restart"/>
            <w:tcBorders>
              <w:bottom w:val="nil"/>
            </w:tcBorders>
            <w:shd w:val="clear" w:color="auto" w:fill="59595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2" w:after="154" w:line="240" w:lineRule="auto"/>
              <w:ind w:left="186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FFFFFF"/>
                <w:sz w:val="11"/>
                <w:szCs w:val="11"/>
                <w:lang w:val="cs-CZ"/>
              </w:rPr>
              <w:t>Kód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624" w:type="dxa"/>
            <w:vMerge w:val="restart"/>
            <w:tcBorders>
              <w:bottom w:val="nil"/>
            </w:tcBorders>
            <w:shd w:val="clear" w:color="auto" w:fill="59595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2" w:after="154" w:line="240" w:lineRule="auto"/>
              <w:ind w:left="140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FFFFFF"/>
                <w:sz w:val="11"/>
                <w:szCs w:val="11"/>
                <w:lang w:val="cs-CZ"/>
              </w:rPr>
              <w:t>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3271" w:type="dxa"/>
            <w:vMerge w:val="restart"/>
            <w:tcBorders>
              <w:bottom w:val="nil"/>
            </w:tcBorders>
            <w:shd w:val="clear" w:color="auto" w:fill="595959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593"/>
              </w:tabs>
              <w:spacing w:before="142" w:after="154" w:line="240" w:lineRule="auto"/>
              <w:ind w:left="168" w:right="-18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FFFFFF"/>
                <w:sz w:val="11"/>
                <w:szCs w:val="11"/>
                <w:lang w:val="cs-CZ"/>
              </w:rPr>
              <w:t>modul	</w:t>
            </w:r>
            <w:r>
              <w:rPr baseline="0" dirty="0">
                <w:rFonts w:ascii="Times New Roman" w:hAnsi="Times New Roman" w:cs="Times New Roman"/>
                <w:b/>
                <w:bCs/>
                <w:color w:val="FFFFFF"/>
                <w:spacing w:val="-1"/>
                <w:sz w:val="11"/>
                <w:szCs w:val="11"/>
                <w:lang w:val="cs-CZ"/>
              </w:rPr>
              <w:t>Název výrobku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1872" w:type="dxa"/>
            <w:gridSpan w:val="3"/>
            <w:shd w:val="clear" w:color="auto" w:fill="FFC0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99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Zm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n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né rozm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ry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1865" w:type="dxa"/>
            <w:gridSpan w:val="3"/>
            <w:shd w:val="clear" w:color="auto" w:fill="80808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8" w:right="-18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FFFFFF"/>
                <w:sz w:val="11"/>
                <w:szCs w:val="11"/>
                <w:lang w:val="cs-CZ"/>
              </w:rPr>
              <w:t>Rozm</w:t>
            </w:r>
            <w:r>
              <w:rPr baseline="0" dirty="0">
                <w:rFonts w:ascii="Times New Roman" w:hAnsi="Times New Roman" w:cs="Times New Roman"/>
                <w:b/>
                <w:bCs/>
                <w:color w:val="FFFFFF"/>
                <w:sz w:val="11"/>
                <w:szCs w:val="11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b/>
                <w:bCs/>
                <w:color w:val="FFFFFF"/>
                <w:sz w:val="11"/>
                <w:szCs w:val="11"/>
                <w:lang w:val="cs-CZ"/>
              </w:rPr>
              <w:t>ry </w:t>
            </w:r>
            <w:r>
              <w:rPr baseline="0" dirty="0">
                <w:rFonts w:ascii="Times New Roman" w:hAnsi="Times New Roman" w:cs="Times New Roman"/>
                <w:b/>
                <w:bCs/>
                <w:color w:val="FFFFFF"/>
                <w:spacing w:val="13"/>
                <w:sz w:val="11"/>
                <w:szCs w:val="11"/>
                <w:lang w:val="cs-CZ"/>
              </w:rPr>
              <w:t>z </w:t>
            </w:r>
            <w:r>
              <w:rPr baseline="0" dirty="0">
                <w:rFonts w:ascii="Times New Roman" w:hAnsi="Times New Roman" w:cs="Times New Roman"/>
                <w:b/>
                <w:bCs/>
                <w:color w:val="FFFFFF"/>
                <w:sz w:val="11"/>
                <w:szCs w:val="11"/>
                <w:lang w:val="cs-CZ"/>
              </w:rPr>
              <w:t>dokumentace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623" w:type="dxa"/>
            <w:vMerge w:val="restart"/>
            <w:tcBorders>
              <w:bottom w:val="nil"/>
            </w:tcBorders>
            <w:shd w:val="clear" w:color="auto" w:fill="80808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161543</wp:posOffset>
                  </wp:positionH>
                  <wp:positionV relativeFrom="paragraph">
                    <wp:posOffset>89938</wp:posOffset>
                  </wp:positionV>
                  <wp:extent cx="195760" cy="191904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627496" y="89938"/>
                            <a:ext cx="81460" cy="77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22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8"/>
                                  <w:sz w:val="11"/>
                                  <w:szCs w:val="11"/>
                                  <w:lang w:val="cs-CZ"/>
                                </w:rPr>
                                <w:t>ks.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771" w:type="dxa"/>
            <w:gridSpan w:val="2"/>
            <w:shd w:val="clear" w:color="auto" w:fill="80808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66" w:right="-18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FFFFFF"/>
                <w:spacing w:val="-2"/>
                <w:sz w:val="11"/>
                <w:szCs w:val="11"/>
                <w:lang w:val="cs-CZ"/>
              </w:rPr>
              <w:t>Smluvní cena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105" w:type="dxa"/>
            <w:vMerge w:val="restart"/>
            <w:tcBorders>
              <w:bottom w:val="nil"/>
            </w:tcBorders>
            <w:shd w:val="clear" w:color="auto" w:fill="80808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697" w:type="dxa"/>
            <w:vMerge w:val="restart"/>
            <w:tcBorders>
              <w:bottom w:val="nil"/>
            </w:tcBorders>
            <w:shd w:val="clear" w:color="auto" w:fill="808080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77"/>
                <w:tab w:val="left" w:pos="2708"/>
              </w:tabs>
              <w:spacing w:before="142" w:after="154" w:line="240" w:lineRule="auto"/>
              <w:ind w:left="85" w:right="-18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FFFFFF"/>
                <w:sz w:val="11"/>
                <w:szCs w:val="11"/>
                <w:lang w:val="cs-CZ"/>
              </w:rPr>
              <w:t>Odpo</w:t>
            </w:r>
            <w:r>
              <w:rPr baseline="0" dirty="0">
                <w:rFonts w:ascii="Times New Roman" w:hAnsi="Times New Roman" w:cs="Times New Roman"/>
                <w:b/>
                <w:bCs/>
                <w:color w:val="FFFFFF"/>
                <w:sz w:val="11"/>
                <w:szCs w:val="11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b/>
                <w:bCs/>
                <w:color w:val="FFFFFF"/>
                <w:sz w:val="11"/>
                <w:szCs w:val="11"/>
                <w:lang w:val="cs-CZ"/>
              </w:rPr>
              <w:t>et	</w:t>
            </w:r>
            <w:r>
              <w:rPr baseline="0" dirty="0">
                <w:rFonts w:ascii="Times New Roman" w:hAnsi="Times New Roman" w:cs="Times New Roman"/>
                <w:b/>
                <w:bCs/>
                <w:color w:val="FFFFFF"/>
                <w:sz w:val="11"/>
                <w:szCs w:val="11"/>
                <w:lang w:val="cs-CZ"/>
              </w:rPr>
              <w:t> P</w:t>
            </w:r>
            <w:r>
              <w:rPr baseline="0" dirty="0">
                <w:rFonts w:ascii="Times New Roman" w:hAnsi="Times New Roman" w:cs="Times New Roman"/>
                <w:b/>
                <w:bCs/>
                <w:color w:val="FFFFFF"/>
                <w:sz w:val="11"/>
                <w:szCs w:val="11"/>
                <w:lang w:val="cs-CZ"/>
              </w:rPr>
              <w:t>ř</w:t>
            </w:r>
            <w:r>
              <w:rPr baseline="0" dirty="0">
                <w:rFonts w:ascii="Times New Roman" w:hAnsi="Times New Roman" w:cs="Times New Roman"/>
                <w:b/>
                <w:bCs/>
                <w:color w:val="FFFFFF"/>
                <w:sz w:val="11"/>
                <w:szCs w:val="11"/>
                <w:lang w:val="cs-CZ"/>
              </w:rPr>
              <w:t>ípo</w:t>
            </w:r>
            <w:r>
              <w:rPr baseline="0" dirty="0">
                <w:rFonts w:ascii="Times New Roman" w:hAnsi="Times New Roman" w:cs="Times New Roman"/>
                <w:b/>
                <w:bCs/>
                <w:color w:val="FFFFFF"/>
                <w:sz w:val="11"/>
                <w:szCs w:val="11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b/>
                <w:bCs/>
                <w:color w:val="FFFFFF"/>
                <w:sz w:val="11"/>
                <w:szCs w:val="11"/>
                <w:lang w:val="cs-CZ"/>
              </w:rPr>
              <w:t>et	</w:t>
            </w:r>
            <w:r>
              <w:rPr baseline="0" dirty="0">
                <w:rFonts w:ascii="Times New Roman" w:hAnsi="Times New Roman" w:cs="Times New Roman"/>
                <w:b/>
                <w:bCs/>
                <w:color w:val="FFFFFF"/>
                <w:sz w:val="11"/>
                <w:szCs w:val="11"/>
                <w:lang w:val="cs-CZ"/>
              </w:rPr>
              <w:t>ZM</w:t>
            </w:r>
            <w:r>
              <w:rPr baseline="0" dirty="0">
                <w:rFonts w:ascii="Times New Roman" w:hAnsi="Times New Roman" w:cs="Times New Roman"/>
                <w:b/>
                <w:bCs/>
                <w:color w:val="FFFFFF"/>
                <w:sz w:val="11"/>
                <w:szCs w:val="11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b/>
                <w:bCs/>
                <w:color w:val="FFFFFF"/>
                <w:spacing w:val="-1"/>
                <w:sz w:val="11"/>
                <w:szCs w:val="11"/>
                <w:lang w:val="cs-CZ"/>
              </w:rPr>
              <w:t>NA – popis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268"/>
        </w:trPr>
        <w:tc>
          <w:tcPr>
            <w:tcW w:w="604" w:type="dxa"/>
            <w:vMerge/>
            <w:tcBorders>
              <w:top w:val="nil"/>
            </w:tcBorders>
            <w:shd w:val="clear" w:color="auto" w:fill="59595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24" w:type="dxa"/>
            <w:vMerge/>
            <w:tcBorders>
              <w:top w:val="nil"/>
            </w:tcBorders>
            <w:shd w:val="clear" w:color="auto" w:fill="59595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71" w:type="dxa"/>
            <w:vMerge/>
            <w:tcBorders>
              <w:top w:val="nil"/>
            </w:tcBorders>
            <w:shd w:val="clear" w:color="auto" w:fill="59595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16" w:type="dxa"/>
            <w:shd w:val="clear" w:color="auto" w:fill="FFC0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75" w:line="240" w:lineRule="auto"/>
              <w:ind w:left="247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d.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624" w:type="dxa"/>
            <w:shd w:val="clear" w:color="auto" w:fill="FFC0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75" w:line="240" w:lineRule="auto"/>
              <w:ind w:left="262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hl.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631" w:type="dxa"/>
            <w:shd w:val="clear" w:color="auto" w:fill="FFC0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75" w:line="240" w:lineRule="auto"/>
              <w:ind w:left="276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617" w:type="dxa"/>
            <w:shd w:val="clear" w:color="auto" w:fill="80808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75" w:line="240" w:lineRule="auto"/>
              <w:ind w:left="267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FFFFFF"/>
                <w:sz w:val="11"/>
                <w:szCs w:val="11"/>
                <w:lang w:val="cs-CZ"/>
              </w:rPr>
              <w:t>d.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624" w:type="dxa"/>
            <w:shd w:val="clear" w:color="auto" w:fill="80808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75" w:line="240" w:lineRule="auto"/>
              <w:ind w:left="262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FFFFFF"/>
                <w:sz w:val="11"/>
                <w:szCs w:val="11"/>
                <w:lang w:val="cs-CZ"/>
              </w:rPr>
              <w:t>hl.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624" w:type="dxa"/>
            <w:shd w:val="clear" w:color="auto" w:fill="80808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75" w:line="240" w:lineRule="auto"/>
              <w:ind w:left="276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FFFFFF"/>
                <w:sz w:val="11"/>
                <w:szCs w:val="11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623" w:type="dxa"/>
            <w:vMerge/>
            <w:tcBorders>
              <w:top w:val="nil"/>
            </w:tcBorders>
            <w:shd w:val="clear" w:color="auto" w:fill="80808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43" w:type="dxa"/>
            <w:shd w:val="clear" w:color="auto" w:fill="80808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75" w:line="240" w:lineRule="auto"/>
              <w:ind w:left="207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FFFFFF"/>
                <w:sz w:val="11"/>
                <w:szCs w:val="11"/>
                <w:lang w:val="cs-CZ"/>
              </w:rPr>
              <w:t>ks bez DPH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827" w:type="dxa"/>
            <w:shd w:val="clear" w:color="auto" w:fill="80808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75" w:line="240" w:lineRule="auto"/>
              <w:ind w:left="41" w:right="-18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FFFFFF"/>
                <w:spacing w:val="-2"/>
                <w:sz w:val="11"/>
                <w:szCs w:val="11"/>
                <w:lang w:val="cs-CZ"/>
              </w:rPr>
              <w:t>celkem bez DPH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105" w:type="dxa"/>
            <w:vMerge/>
            <w:tcBorders>
              <w:top w:val="nil"/>
            </w:tcBorders>
            <w:shd w:val="clear" w:color="auto" w:fill="80808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697" w:type="dxa"/>
            <w:vMerge/>
            <w:tcBorders>
              <w:top w:val="nil"/>
            </w:tcBorders>
            <w:shd w:val="clear" w:color="auto" w:fill="80808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402"/>
        </w:trPr>
        <w:tc>
          <w:tcPr>
            <w:tcW w:w="6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161544</wp:posOffset>
                  </wp:positionH>
                  <wp:positionV relativeFrom="paragraph">
                    <wp:posOffset>94510</wp:posOffset>
                  </wp:positionV>
                  <wp:extent cx="7700660" cy="193733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96544" y="94510"/>
                            <a:ext cx="7586360" cy="7943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14"/>
                                  <w:tab w:val="left" w:pos="1151"/>
                                  <w:tab w:val="left" w:pos="1612"/>
                                  <w:tab w:val="left" w:pos="6320"/>
                                  <w:tab w:val="left" w:pos="6944"/>
                                  <w:tab w:val="left" w:pos="7568"/>
                                  <w:tab w:val="left" w:pos="11252"/>
                                </w:tabs>
                                <w:spacing w:before="0" w:after="0" w:line="125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1"/>
                                  <w:szCs w:val="11"/>
                                  <w:lang w:val="cs-CZ"/>
                                </w:rPr>
                                <w:t>A.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1"/>
                                  <w:szCs w:val="11"/>
                                  <w:lang w:val="cs-CZ"/>
                                </w:rPr>
                                <w:t>05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1"/>
                                  <w:szCs w:val="11"/>
                                  <w:lang w:val="cs-CZ"/>
                                </w:rPr>
                                <w:t>B.306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1"/>
                                  <w:szCs w:val="11"/>
                                  <w:lang w:val="cs-CZ"/>
                                </w:rPr>
                                <w:t>atypická sestava v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1"/>
                                  <w:szCs w:val="11"/>
                                  <w:lang w:val="cs-CZ"/>
                                </w:rPr>
                                <w:t>č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1"/>
                                  <w:szCs w:val="11"/>
                                  <w:lang w:val="cs-CZ"/>
                                </w:rPr>
                                <w:t>etn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1"/>
                                  <w:szCs w:val="11"/>
                                  <w:lang w:val="cs-CZ"/>
                                </w:rPr>
                                <w:t>ě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1"/>
                                  <w:szCs w:val="11"/>
                                  <w:lang w:val="cs-CZ"/>
                                </w:rPr>
                                <w:t> soklu, vestavba pod schody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1"/>
                                  <w:szCs w:val="11"/>
                                  <w:lang w:val="cs-CZ"/>
                                </w:rPr>
                                <w:t>4100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1"/>
                                  <w:szCs w:val="11"/>
                                  <w:lang w:val="cs-CZ"/>
                                </w:rPr>
                                <w:t>2100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1"/>
                                  <w:szCs w:val="11"/>
                                  <w:lang w:val="cs-CZ"/>
                                </w:rPr>
                                <w:t>2400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pacing w:val="-2"/>
                                  <w:sz w:val="11"/>
                                  <w:szCs w:val="11"/>
                                  <w:lang w:val="cs-CZ"/>
                                </w:rPr>
                                <w:t>90 000,00 CZK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6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7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16" w:type="dxa"/>
            <w:shd w:val="clear" w:color="auto" w:fill="E4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24" w:type="dxa"/>
            <w:shd w:val="clear" w:color="auto" w:fill="E4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31" w:type="dxa"/>
            <w:shd w:val="clear" w:color="auto" w:fill="E4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1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2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4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2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5" w:type="dxa"/>
            <w:shd w:val="clear" w:color="auto" w:fill="FF9D9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69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0" w:line="139" w:lineRule="exact"/>
              <w:ind w:left="1521" w:right="-5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Tato položka byla omylem ocen</w:t>
            </w:r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na za 0 K</w:t>
            </w:r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. Položka byla nov</w:t>
            </w:r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 ocen</w:t>
            </w:r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pacing w:val="-2"/>
                <w:sz w:val="11"/>
                <w:szCs w:val="11"/>
                <w:lang w:val="cs-CZ"/>
              </w:rPr>
              <w:t>na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a v rámci zachování celkové zasmluvn</w:t>
            </w:r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né ceny díla byla její hodnota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/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ode</w:t>
            </w:r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tena z následující položky.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119"/>
        </w:trPr>
        <w:tc>
          <w:tcPr>
            <w:tcW w:w="6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41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A.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62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8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32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39"/>
              </w:tabs>
              <w:spacing w:before="0" w:after="0" w:line="240" w:lineRule="auto"/>
              <w:ind w:left="185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B.401	</w:t>
            </w:r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atypická sestav</w:t>
            </w:r>
            <w:r>
              <w:rPr baseline="0" dirty="0">
                <w:rFonts w:ascii="Times New Roman" w:hAnsi="Times New Roman" w:cs="Times New Roman"/>
                <w:color w:val="000000"/>
                <w:spacing w:val="1"/>
                <w:sz w:val="11"/>
                <w:szCs w:val="11"/>
                <w:lang w:val="cs-CZ"/>
              </w:rPr>
              <w:t>a  </w:t>
            </w:r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velkoprostorové vitríny </w:t>
            </w:r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  </w:t>
            </w:r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nezasklená </w:t>
            </w:r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ást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616" w:type="dxa"/>
            <w:shd w:val="clear" w:color="auto" w:fill="E4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24" w:type="dxa"/>
            <w:shd w:val="clear" w:color="auto" w:fill="E4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31" w:type="dxa"/>
            <w:shd w:val="clear" w:color="auto" w:fill="E4DF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0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23500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62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16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1800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62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16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2500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62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8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94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1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691 130,00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3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691 130,00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105" w:type="dxa"/>
            <w:shd w:val="clear" w:color="auto" w:fill="FF9D9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0" w:right="0" w:firstLine="0"/>
            </w:pPr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469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549"/>
              </w:tabs>
              <w:spacing w:before="0" w:after="0" w:line="240" w:lineRule="auto"/>
              <w:ind w:left="0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90 000,00 CZK	</w:t>
            </w:r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Dorovnání viz. výše - v rámci zachování celkové zasmluvn</w:t>
            </w:r>
            <w:r>
              <w:rPr baseline="0" dirty="0"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pacing w:val="-3"/>
                <w:sz w:val="11"/>
                <w:szCs w:val="11"/>
                <w:lang w:val="cs-CZ"/>
              </w:rPr>
              <w:t>né ceny díla.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126"/>
        </w:trPr>
        <w:tc>
          <w:tcPr>
            <w:tcW w:w="5117" w:type="dxa"/>
            <w:gridSpan w:val="4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24" w:type="dxa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248" w:type="dxa"/>
            <w:gridSpan w:val="2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24" w:type="dxa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191" w:type="dxa"/>
            <w:gridSpan w:val="3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27" w:type="dxa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bottom w:val="nil"/>
            </w:tcBorders>
            <w:shd w:val="clear" w:color="auto" w:fill="FF9D9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37" w:right="7" w:firstLine="0"/>
              <w:jc w:val="right"/>
            </w:pP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4697" w:type="dxa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3209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90 000,00 CZ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pacing w:val="6"/>
                <w:sz w:val="11"/>
                <w:szCs w:val="11"/>
                <w:lang w:val="cs-CZ"/>
              </w:rPr>
              <w:t>K  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pacing w:val="-2"/>
                <w:sz w:val="11"/>
                <w:szCs w:val="11"/>
                <w:lang w:val="cs-CZ"/>
              </w:rPr>
              <w:t>90 000,00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6840" w:h="12400"/>
          <w:pgMar w:top="343" w:right="500" w:bottom="275" w:left="345" w:header="708" w:footer="708" w:gutter="0"/>
          <w:docGrid w:linePitch="360"/>
        </w:sectPr>
      </w:pPr>
      <w:r/>
    </w:p>
    <w:p>
      <w:r/>
    </w:p>
    <w:sectPr>
      <w:type w:val="continuous"/>
      <w:pgSz w:w="16840" w:h="12400"/>
      <w:pgMar w:top="343" w:right="500" w:bottom="275" w:left="34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2023-12-07T16:15:39Z</dcterms:created>
  <dcterms:modified xsi:type="dcterms:W3CDTF">2023-12-07T16:15:39Z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