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b/>
          <w:bCs/>
          <w:sz w:val="22"/>
          <w:szCs w:val="22"/>
        </w:rPr>
      </w:pPr>
      <w:r w:rsidRPr="00523801">
        <w:rPr>
          <w:b/>
          <w:bCs/>
          <w:sz w:val="22"/>
          <w:szCs w:val="22"/>
        </w:rPr>
        <w:t>Národní památkový ústav, státní příspěvková organizace</w:t>
      </w:r>
    </w:p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IČO: 75032333, DIČ: CZ75032333</w:t>
      </w:r>
    </w:p>
    <w:p w:rsidR="006663F0" w:rsidRPr="00523801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se sídlem Valdštejnské náměstí 162/3, 118 01 Praha 1 - Malá Strana</w:t>
      </w:r>
    </w:p>
    <w:p w:rsidR="006663F0" w:rsidRPr="00491C09" w:rsidRDefault="006663F0" w:rsidP="006663F0">
      <w:pPr>
        <w:spacing w:line="200" w:lineRule="atLeast"/>
        <w:rPr>
          <w:sz w:val="22"/>
          <w:szCs w:val="22"/>
        </w:rPr>
      </w:pPr>
      <w:r w:rsidRPr="00523801">
        <w:rPr>
          <w:sz w:val="22"/>
          <w:szCs w:val="22"/>
        </w:rPr>
        <w:t>zastoupen</w:t>
      </w:r>
      <w:r w:rsidRPr="00491C09">
        <w:rPr>
          <w:sz w:val="22"/>
          <w:szCs w:val="22"/>
        </w:rPr>
        <w:t xml:space="preserve">: </w:t>
      </w:r>
      <w:r w:rsidR="0037445B">
        <w:rPr>
          <w:sz w:val="22"/>
          <w:szCs w:val="22"/>
        </w:rPr>
        <w:t>JUDr. Petrem Zemánkem, vedoucím správy hradů Žebrák a Točník</w:t>
      </w:r>
    </w:p>
    <w:p w:rsidR="006663F0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noProof/>
          <w:sz w:val="22"/>
          <w:szCs w:val="22"/>
          <w:lang w:eastAsia="en-US"/>
        </w:rPr>
      </w:pPr>
      <w:r w:rsidRPr="00491C09">
        <w:rPr>
          <w:sz w:val="22"/>
          <w:szCs w:val="22"/>
        </w:rPr>
        <w:t xml:space="preserve">zástupce pro věcná jednání (investiční referent) bez oprávnění právně zastupovat: </w:t>
      </w:r>
      <w:r w:rsidR="00ED3797">
        <w:rPr>
          <w:noProof/>
          <w:sz w:val="22"/>
          <w:szCs w:val="22"/>
          <w:lang w:eastAsia="en-US"/>
        </w:rPr>
        <w:t>XXXX</w:t>
      </w:r>
    </w:p>
    <w:p w:rsidR="006663F0" w:rsidRPr="008312A5" w:rsidRDefault="006663F0" w:rsidP="006663F0">
      <w:pPr>
        <w:tabs>
          <w:tab w:val="left" w:pos="567"/>
          <w:tab w:val="left" w:pos="3402"/>
          <w:tab w:val="left" w:pos="3686"/>
        </w:tabs>
        <w:spacing w:line="200" w:lineRule="atLeast"/>
        <w:rPr>
          <w:noProof/>
          <w:sz w:val="22"/>
          <w:szCs w:val="22"/>
          <w:lang w:eastAsia="en-US"/>
        </w:rPr>
      </w:pPr>
    </w:p>
    <w:p w:rsidR="006663F0" w:rsidRPr="00B15139" w:rsidRDefault="006663F0" w:rsidP="006663F0">
      <w:pPr>
        <w:contextualSpacing/>
        <w:rPr>
          <w:sz w:val="22"/>
          <w:szCs w:val="22"/>
        </w:rPr>
      </w:pPr>
      <w:r w:rsidRPr="00B15139">
        <w:rPr>
          <w:b/>
          <w:bCs/>
          <w:sz w:val="22"/>
          <w:szCs w:val="22"/>
        </w:rPr>
        <w:t>Doručovací adresa:</w:t>
      </w:r>
    </w:p>
    <w:p w:rsidR="006663F0" w:rsidRPr="00B15139" w:rsidRDefault="006663F0" w:rsidP="006663F0">
      <w:pPr>
        <w:contextualSpacing/>
        <w:rPr>
          <w:sz w:val="22"/>
          <w:szCs w:val="22"/>
        </w:rPr>
      </w:pPr>
      <w:r w:rsidRPr="00B15139">
        <w:rPr>
          <w:sz w:val="22"/>
          <w:szCs w:val="22"/>
        </w:rPr>
        <w:t xml:space="preserve">Národní památkový ústav, </w:t>
      </w:r>
      <w:r w:rsidR="0037445B">
        <w:rPr>
          <w:sz w:val="22"/>
          <w:szCs w:val="22"/>
        </w:rPr>
        <w:t>Správa hradů Žebrák a Točník</w:t>
      </w:r>
    </w:p>
    <w:p w:rsidR="006663F0" w:rsidRPr="000F497D" w:rsidRDefault="0037445B" w:rsidP="006663F0">
      <w:pPr>
        <w:rPr>
          <w:color w:val="000000"/>
          <w:sz w:val="22"/>
          <w:szCs w:val="22"/>
        </w:rPr>
      </w:pPr>
      <w:r>
        <w:rPr>
          <w:sz w:val="22"/>
          <w:szCs w:val="22"/>
        </w:rPr>
        <w:t>Točník čp.1</w:t>
      </w:r>
      <w:r w:rsidR="006663F0" w:rsidRPr="00B1513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267 </w:t>
      </w:r>
      <w:proofErr w:type="gramStart"/>
      <w:r>
        <w:rPr>
          <w:sz w:val="22"/>
          <w:szCs w:val="22"/>
        </w:rPr>
        <w:t>51  Zdice</w:t>
      </w:r>
      <w:proofErr w:type="gramEnd"/>
    </w:p>
    <w:p w:rsidR="006663F0" w:rsidRDefault="006663F0" w:rsidP="005E2709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:rsidR="005E2709" w:rsidRPr="000F497D" w:rsidRDefault="005E2709" w:rsidP="005E2709">
      <w:pPr>
        <w:rPr>
          <w:color w:val="000000"/>
          <w:sz w:val="22"/>
          <w:szCs w:val="22"/>
        </w:rPr>
      </w:pPr>
    </w:p>
    <w:p w:rsidR="006663F0" w:rsidRDefault="005E2709" w:rsidP="006663F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5E2709" w:rsidRPr="000F497D" w:rsidRDefault="005E2709" w:rsidP="006663F0">
      <w:pPr>
        <w:rPr>
          <w:color w:val="000000"/>
          <w:sz w:val="22"/>
          <w:szCs w:val="22"/>
        </w:rPr>
      </w:pPr>
    </w:p>
    <w:p w:rsidR="005E2709" w:rsidRDefault="005E2709" w:rsidP="005E2709">
      <w:pPr>
        <w:pStyle w:val="Standard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Arbovert</w:t>
      </w:r>
      <w:proofErr w:type="spellEnd"/>
      <w:r w:rsidRPr="00B1273B">
        <w:rPr>
          <w:rFonts w:ascii="Calibri" w:hAnsi="Calibri"/>
          <w:b/>
          <w:bCs/>
          <w:sz w:val="22"/>
          <w:szCs w:val="22"/>
        </w:rPr>
        <w:t xml:space="preserve"> s.r.o.,</w:t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Zapsaná v obchodním rejstříku vedeném u Krajského soudu v Českých Budějovicích, </w:t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Sp.zn</w:t>
      </w:r>
      <w:proofErr w:type="spellEnd"/>
      <w:r>
        <w:rPr>
          <w:rFonts w:ascii="Calibri" w:hAnsi="Calibri"/>
          <w:sz w:val="22"/>
          <w:szCs w:val="22"/>
        </w:rPr>
        <w:t>. C 30280/KSCB</w:t>
      </w:r>
      <w:r w:rsidRPr="00B127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ze dne 17.9. 2020</w:t>
      </w:r>
    </w:p>
    <w:p w:rsidR="005E2709" w:rsidRPr="00B1273B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02059690</w:t>
      </w:r>
      <w:r>
        <w:rPr>
          <w:rFonts w:ascii="Calibri" w:hAnsi="Calibri"/>
          <w:sz w:val="22"/>
          <w:szCs w:val="22"/>
        </w:rPr>
        <w:tab/>
        <w:t>DIĆ: CZ02059690</w:t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Pasovská 84/37, 385 01 Vimperk</w:t>
      </w:r>
    </w:p>
    <w:p w:rsidR="005E2709" w:rsidRPr="00B1273B" w:rsidRDefault="00ED3797" w:rsidP="005E2709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</w:t>
      </w:r>
    </w:p>
    <w:p w:rsidR="00ED3797" w:rsidRDefault="005E2709" w:rsidP="005E2709">
      <w:pPr>
        <w:pStyle w:val="Standard"/>
        <w:rPr>
          <w:rFonts w:ascii="Calibri" w:hAnsi="Calibri"/>
          <w:sz w:val="22"/>
          <w:szCs w:val="22"/>
        </w:rPr>
      </w:pPr>
      <w:r w:rsidRPr="00B1273B">
        <w:rPr>
          <w:rFonts w:ascii="Calibri" w:hAnsi="Calibri"/>
          <w:sz w:val="22"/>
          <w:szCs w:val="22"/>
        </w:rPr>
        <w:t xml:space="preserve">tel.: </w:t>
      </w:r>
      <w:r w:rsidR="00ED3797">
        <w:rPr>
          <w:rFonts w:ascii="Calibri" w:hAnsi="Calibri"/>
          <w:sz w:val="22"/>
          <w:szCs w:val="22"/>
        </w:rPr>
        <w:t>XXXX</w:t>
      </w:r>
    </w:p>
    <w:p w:rsidR="005E2709" w:rsidRDefault="005E2709" w:rsidP="005E2709">
      <w:pPr>
        <w:pStyle w:val="Standard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v zastoupení pana Lukáše Kačera</w:t>
      </w:r>
    </w:p>
    <w:p w:rsidR="006663F0" w:rsidRPr="000F497D" w:rsidRDefault="005E2709" w:rsidP="005E2709">
      <w:pPr>
        <w:ind w:left="0" w:firstLine="0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 </w:t>
      </w:r>
      <w:r w:rsidR="006663F0" w:rsidRPr="000F497D">
        <w:rPr>
          <w:color w:val="000000"/>
          <w:sz w:val="22"/>
          <w:szCs w:val="22"/>
        </w:rPr>
        <w:t>(dále jen „</w:t>
      </w:r>
      <w:r w:rsidR="006663F0">
        <w:rPr>
          <w:b/>
          <w:color w:val="000000"/>
          <w:sz w:val="22"/>
          <w:szCs w:val="22"/>
        </w:rPr>
        <w:t>Zhotovitel</w:t>
      </w:r>
      <w:r w:rsidR="006663F0" w:rsidRPr="000F497D">
        <w:rPr>
          <w:color w:val="000000"/>
          <w:sz w:val="22"/>
          <w:szCs w:val="22"/>
        </w:rPr>
        <w:t>“)</w:t>
      </w:r>
    </w:p>
    <w:p w:rsidR="006663F0" w:rsidRPr="000F497D" w:rsidRDefault="006663F0" w:rsidP="006663F0">
      <w:pPr>
        <w:rPr>
          <w:color w:val="000000"/>
          <w:sz w:val="22"/>
          <w:szCs w:val="22"/>
        </w:rPr>
      </w:pPr>
    </w:p>
    <w:p w:rsidR="006663F0" w:rsidRPr="000F497D" w:rsidRDefault="006663F0" w:rsidP="005E2709">
      <w:pPr>
        <w:pStyle w:val="Default"/>
        <w:jc w:val="center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:rsidR="006663F0" w:rsidRPr="000F497D" w:rsidRDefault="006663F0" w:rsidP="005E2709">
      <w:pPr>
        <w:spacing w:before="240" w:line="240" w:lineRule="atLeast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:rsidR="006663F0" w:rsidRPr="000F497D" w:rsidRDefault="006663F0" w:rsidP="006663F0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:rsidR="006663F0" w:rsidRPr="00F7639D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:rsidR="006663F0" w:rsidRPr="000F497D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:rsidR="006663F0" w:rsidRPr="006D1683" w:rsidRDefault="006663F0" w:rsidP="006663F0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:rsidR="003052DC" w:rsidRDefault="006663F0" w:rsidP="006663F0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614FDB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Pr="0037445B">
        <w:rPr>
          <w:b/>
          <w:sz w:val="22"/>
          <w:szCs w:val="22"/>
          <w:u w:val="none"/>
          <w:lang w:val="cs-CZ"/>
        </w:rPr>
        <w:t>„</w:t>
      </w:r>
      <w:bookmarkStart w:id="1" w:name="_Hlk149555927"/>
      <w:r w:rsidRPr="0037445B">
        <w:rPr>
          <w:b/>
          <w:sz w:val="22"/>
          <w:szCs w:val="22"/>
          <w:u w:val="none"/>
        </w:rPr>
        <w:t xml:space="preserve">SH Točník </w:t>
      </w:r>
      <w:r w:rsidR="0037445B">
        <w:rPr>
          <w:b/>
          <w:sz w:val="22"/>
          <w:szCs w:val="22"/>
          <w:u w:val="none"/>
        </w:rPr>
        <w:t>–</w:t>
      </w:r>
      <w:r w:rsidRPr="0037445B">
        <w:rPr>
          <w:b/>
          <w:sz w:val="22"/>
          <w:szCs w:val="22"/>
          <w:u w:val="none"/>
        </w:rPr>
        <w:t xml:space="preserve"> </w:t>
      </w:r>
      <w:r w:rsidR="0037445B">
        <w:rPr>
          <w:b/>
          <w:sz w:val="22"/>
          <w:szCs w:val="22"/>
          <w:u w:val="none"/>
          <w:lang w:val="cs-CZ"/>
        </w:rPr>
        <w:t>Postupná v</w:t>
      </w:r>
      <w:proofErr w:type="spellStart"/>
      <w:r w:rsidRPr="0037445B">
        <w:rPr>
          <w:b/>
          <w:sz w:val="22"/>
          <w:szCs w:val="22"/>
          <w:u w:val="none"/>
        </w:rPr>
        <w:t>ýměna</w:t>
      </w:r>
      <w:proofErr w:type="spellEnd"/>
      <w:r w:rsidRPr="0037445B">
        <w:rPr>
          <w:b/>
          <w:sz w:val="22"/>
          <w:szCs w:val="22"/>
          <w:u w:val="none"/>
        </w:rPr>
        <w:t xml:space="preserve"> šindelů na střeše pokladny a zázemí hradu.</w:t>
      </w:r>
      <w:bookmarkEnd w:id="1"/>
      <w:r w:rsidRPr="0037445B">
        <w:rPr>
          <w:b/>
          <w:sz w:val="22"/>
          <w:szCs w:val="22"/>
          <w:u w:val="none"/>
          <w:lang w:val="cs-CZ"/>
        </w:rPr>
        <w:t>“,</w:t>
      </w:r>
      <w:r w:rsidRPr="00614FDB">
        <w:rPr>
          <w:sz w:val="22"/>
          <w:szCs w:val="22"/>
          <w:u w:val="none"/>
          <w:lang w:val="cs-CZ"/>
        </w:rPr>
        <w:t xml:space="preserve"> </w:t>
      </w:r>
      <w:r w:rsidRPr="00A4633E">
        <w:rPr>
          <w:sz w:val="22"/>
          <w:szCs w:val="22"/>
          <w:u w:val="none"/>
          <w:lang w:val="cs-CZ"/>
        </w:rPr>
        <w:t>zaregistrované prostřednictvím Národního elektronického nástroj</w:t>
      </w:r>
      <w:r w:rsidR="003052DC">
        <w:rPr>
          <w:sz w:val="22"/>
          <w:szCs w:val="22"/>
          <w:u w:val="none"/>
          <w:lang w:val="cs-CZ"/>
        </w:rPr>
        <w:t xml:space="preserve"> </w:t>
      </w:r>
      <w:r w:rsidRPr="00A4633E">
        <w:rPr>
          <w:sz w:val="22"/>
          <w:szCs w:val="22"/>
          <w:u w:val="none"/>
          <w:lang w:val="cs-CZ"/>
        </w:rPr>
        <w:t xml:space="preserve">pod ID: </w:t>
      </w:r>
      <w:r w:rsidR="003052DC">
        <w:rPr>
          <w:sz w:val="22"/>
          <w:szCs w:val="22"/>
          <w:u w:val="none"/>
          <w:lang w:val="cs-CZ"/>
        </w:rPr>
        <w:t>……………………………</w:t>
      </w:r>
    </w:p>
    <w:p w:rsidR="006663F0" w:rsidRPr="00A4633E" w:rsidRDefault="006663F0" w:rsidP="006663F0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A4633E">
        <w:rPr>
          <w:sz w:val="22"/>
          <w:szCs w:val="22"/>
          <w:u w:val="none"/>
          <w:lang w:val="cs-CZ"/>
        </w:rPr>
        <w:t>(dále jen „veřejná zakázka“).</w:t>
      </w:r>
    </w:p>
    <w:p w:rsidR="006663F0" w:rsidRPr="00A4633E" w:rsidRDefault="006663F0" w:rsidP="006663F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:rsidR="006663F0" w:rsidRPr="00A4633E" w:rsidRDefault="006663F0" w:rsidP="006663F0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2" w:name="_Ref29200563"/>
      <w:r w:rsidRPr="00A4633E">
        <w:rPr>
          <w:b/>
          <w:bCs/>
          <w:sz w:val="22"/>
          <w:szCs w:val="22"/>
          <w:u w:val="none"/>
          <w:lang w:val="cs-CZ"/>
        </w:rPr>
        <w:t>Předmět smlouvy</w:t>
      </w:r>
      <w:bookmarkEnd w:id="2"/>
    </w:p>
    <w:p w:rsidR="006663F0" w:rsidRPr="00A4633E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bookmarkStart w:id="3" w:name="_Ref29209901"/>
      <w:r w:rsidRPr="00A4633E">
        <w:rPr>
          <w:rFonts w:ascii="Calibri" w:hAnsi="Calibri"/>
          <w:sz w:val="22"/>
          <w:szCs w:val="22"/>
        </w:rPr>
        <w:t xml:space="preserve">Zhotovitel je povinen pro Objednatele provést na svůj náklad a nebezpečí dílo: </w:t>
      </w:r>
      <w:r w:rsidRPr="0037445B">
        <w:rPr>
          <w:rFonts w:ascii="Calibri" w:hAnsi="Calibri"/>
          <w:b/>
          <w:sz w:val="22"/>
          <w:szCs w:val="22"/>
        </w:rPr>
        <w:t>„</w:t>
      </w:r>
      <w:r w:rsidRPr="0037445B">
        <w:rPr>
          <w:rFonts w:asciiTheme="minorHAnsi" w:hAnsiTheme="minorHAnsi" w:cstheme="minorHAnsi"/>
          <w:b/>
          <w:sz w:val="22"/>
          <w:szCs w:val="22"/>
        </w:rPr>
        <w:t xml:space="preserve">SH Točník </w:t>
      </w:r>
      <w:r w:rsidR="0037445B">
        <w:rPr>
          <w:rFonts w:asciiTheme="minorHAnsi" w:hAnsiTheme="minorHAnsi" w:cstheme="minorHAnsi"/>
          <w:b/>
          <w:sz w:val="22"/>
          <w:szCs w:val="22"/>
        </w:rPr>
        <w:t>–</w:t>
      </w:r>
      <w:r w:rsidRPr="003744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445B">
        <w:rPr>
          <w:rFonts w:asciiTheme="minorHAnsi" w:hAnsiTheme="minorHAnsi" w:cstheme="minorHAnsi"/>
          <w:b/>
          <w:sz w:val="22"/>
          <w:szCs w:val="22"/>
        </w:rPr>
        <w:t xml:space="preserve">postupná </w:t>
      </w:r>
      <w:r w:rsidRPr="0037445B">
        <w:rPr>
          <w:rFonts w:asciiTheme="minorHAnsi" w:hAnsiTheme="minorHAnsi" w:cstheme="minorHAnsi"/>
          <w:b/>
          <w:sz w:val="22"/>
          <w:szCs w:val="22"/>
        </w:rPr>
        <w:t>výměna šindelů na střeše pokladny a zázemí hradu.“</w:t>
      </w:r>
      <w:r w:rsidRPr="00A4633E">
        <w:rPr>
          <w:rFonts w:ascii="Calibri" w:hAnsi="Calibri"/>
          <w:sz w:val="22"/>
          <w:szCs w:val="22"/>
        </w:rPr>
        <w:t xml:space="preserve"> dílo je specifikované podrobněji v dalších částech této Smlouvy v </w:t>
      </w:r>
      <w:r w:rsidR="0037445B">
        <w:rPr>
          <w:rFonts w:ascii="Calibri" w:hAnsi="Calibri"/>
          <w:sz w:val="22"/>
          <w:szCs w:val="22"/>
        </w:rPr>
        <w:t>p</w:t>
      </w:r>
      <w:r w:rsidRPr="00A4633E">
        <w:rPr>
          <w:rFonts w:ascii="Calibri" w:hAnsi="Calibri"/>
          <w:sz w:val="22"/>
          <w:szCs w:val="22"/>
        </w:rPr>
        <w:t>říloze 1 –</w:t>
      </w:r>
      <w:r w:rsidR="0037445B">
        <w:rPr>
          <w:rFonts w:ascii="Calibri" w:hAnsi="Calibri"/>
          <w:sz w:val="22"/>
          <w:szCs w:val="22"/>
        </w:rPr>
        <w:t>r</w:t>
      </w:r>
      <w:r w:rsidRPr="00A4633E">
        <w:rPr>
          <w:rFonts w:ascii="Calibri" w:hAnsi="Calibri"/>
          <w:sz w:val="22"/>
          <w:szCs w:val="22"/>
        </w:rPr>
        <w:t xml:space="preserve">ozpočet (dále jen „Dílo“). </w:t>
      </w:r>
    </w:p>
    <w:p w:rsidR="006663F0" w:rsidRPr="00A4633E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A4633E">
        <w:rPr>
          <w:rFonts w:ascii="Calibri" w:hAnsi="Calibri"/>
          <w:sz w:val="22"/>
          <w:szCs w:val="22"/>
        </w:rPr>
        <w:t xml:space="preserve">Objednatel se zavazuje řádně zhotovené Dílo převzít a zaplatit za něj Smluvní cenu uvedenou </w:t>
      </w:r>
      <w:r w:rsidR="0037445B">
        <w:rPr>
          <w:rFonts w:ascii="Calibri" w:hAnsi="Calibri"/>
          <w:sz w:val="22"/>
          <w:szCs w:val="22"/>
        </w:rPr>
        <w:t xml:space="preserve">           </w:t>
      </w:r>
      <w:r w:rsidRPr="00A4633E">
        <w:rPr>
          <w:rFonts w:ascii="Calibri" w:hAnsi="Calibri"/>
          <w:sz w:val="22"/>
          <w:szCs w:val="22"/>
        </w:rPr>
        <w:t>v této Smlouvě.</w:t>
      </w:r>
    </w:p>
    <w:p w:rsidR="0037445B" w:rsidRDefault="006663F0" w:rsidP="006663F0">
      <w:pPr>
        <w:pStyle w:val="Zkladntext"/>
        <w:numPr>
          <w:ilvl w:val="1"/>
          <w:numId w:val="7"/>
        </w:numPr>
        <w:ind w:left="567" w:hanging="567"/>
        <w:rPr>
          <w:rFonts w:ascii="Calibri" w:hAnsi="Calibri"/>
          <w:sz w:val="22"/>
          <w:szCs w:val="22"/>
        </w:rPr>
      </w:pPr>
      <w:r w:rsidRPr="00A4633E">
        <w:rPr>
          <w:rFonts w:ascii="Calibri" w:hAnsi="Calibri"/>
          <w:sz w:val="22"/>
          <w:szCs w:val="22"/>
        </w:rPr>
        <w:t xml:space="preserve">Místem plnění je </w:t>
      </w:r>
      <w:r>
        <w:rPr>
          <w:rFonts w:ascii="Calibri" w:hAnsi="Calibri"/>
          <w:sz w:val="22"/>
          <w:szCs w:val="22"/>
        </w:rPr>
        <w:t>SH Točník</w:t>
      </w:r>
      <w:r w:rsidRPr="00A4633E">
        <w:rPr>
          <w:rFonts w:ascii="Calibri" w:hAnsi="Calibri"/>
          <w:sz w:val="22"/>
          <w:szCs w:val="22"/>
        </w:rPr>
        <w:t>.</w:t>
      </w:r>
    </w:p>
    <w:p w:rsidR="0037445B" w:rsidRDefault="0037445B" w:rsidP="0037445B">
      <w:pPr>
        <w:pStyle w:val="Zkladntext"/>
        <w:rPr>
          <w:rFonts w:ascii="Calibri" w:hAnsi="Calibri"/>
          <w:sz w:val="22"/>
          <w:szCs w:val="22"/>
        </w:rPr>
      </w:pPr>
    </w:p>
    <w:p w:rsidR="005E2709" w:rsidRDefault="005E2709" w:rsidP="0037445B">
      <w:pPr>
        <w:pStyle w:val="Zkladntext"/>
        <w:rPr>
          <w:rFonts w:ascii="Calibri" w:hAnsi="Calibri"/>
          <w:sz w:val="22"/>
          <w:szCs w:val="22"/>
        </w:rPr>
      </w:pPr>
    </w:p>
    <w:p w:rsidR="005E2709" w:rsidRDefault="005E2709" w:rsidP="0037445B">
      <w:pPr>
        <w:pStyle w:val="Zkladntext"/>
        <w:rPr>
          <w:rFonts w:ascii="Calibri" w:hAnsi="Calibri"/>
          <w:sz w:val="22"/>
          <w:szCs w:val="22"/>
        </w:rPr>
      </w:pPr>
    </w:p>
    <w:p w:rsidR="006663F0" w:rsidRPr="00A4633E" w:rsidRDefault="006663F0" w:rsidP="0037445B">
      <w:pPr>
        <w:pStyle w:val="Zkladntext"/>
        <w:rPr>
          <w:rFonts w:ascii="Calibri" w:hAnsi="Calibri"/>
          <w:sz w:val="22"/>
          <w:szCs w:val="22"/>
        </w:rPr>
      </w:pPr>
      <w:r w:rsidRPr="00A4633E">
        <w:rPr>
          <w:rFonts w:ascii="Calibri" w:hAnsi="Calibri"/>
          <w:sz w:val="22"/>
          <w:szCs w:val="22"/>
        </w:rPr>
        <w:t xml:space="preserve"> </w:t>
      </w:r>
    </w:p>
    <w:p w:rsidR="006663F0" w:rsidRPr="002A2068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4" w:name="_Ref29202019"/>
      <w:bookmarkEnd w:id="3"/>
    </w:p>
    <w:p w:rsidR="006663F0" w:rsidRDefault="006663F0" w:rsidP="006663F0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lastRenderedPageBreak/>
        <w:t xml:space="preserve">Podmínky provádění Díla 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:rsidR="006663F0" w:rsidRPr="00426251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:rsidR="006663F0" w:rsidRPr="002A2068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4"/>
    <w:p w:rsidR="006663F0" w:rsidRPr="002A2068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:rsidR="0037445B" w:rsidRPr="00A4224B" w:rsidRDefault="0037445B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Zhotovitel bude dbát o to, aby nebyl narušen každodenní provoz budovy, která je sídlem Správy hradů Žebrák a Točník a nachází se v ní kanceláře</w:t>
      </w:r>
      <w:r w:rsidR="00A4224B"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, archív, pokoj průvodců, sociální zařízení a pokladna hradu.</w:t>
      </w:r>
      <w:r w:rsid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Z těchto důvodů je třeba vykonávat postupně po dohodě se Správou hradů a řádně budovu zabezpečovat proti povětrnostním vlivům.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:rsidR="00A4224B" w:rsidRPr="00A4224B" w:rsidRDefault="00A4224B" w:rsidP="006663F0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A4224B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Zhotovitel bere na vědomí, že pod budovou se nachází v hradním příkopu výběh medvědů. Při odkrývání střechy je k tomu nutno přihlížet, aby nedošlo k poškození ohradníků a poranění chovaných medvědů.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6D1683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:rsidR="006663F0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:rsidR="006663F0" w:rsidRPr="006D168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:rsidR="006663F0" w:rsidRPr="007767E0" w:rsidRDefault="006663F0" w:rsidP="006663F0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:rsidR="006663F0" w:rsidRPr="007767E0" w:rsidRDefault="006663F0" w:rsidP="006663F0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="00815C54">
        <w:rPr>
          <w:b/>
          <w:sz w:val="22"/>
          <w:szCs w:val="22"/>
          <w:u w:val="none"/>
          <w:lang w:val="cs-CZ"/>
        </w:rPr>
        <w:t>20</w:t>
      </w:r>
      <w:r w:rsidRPr="00A4633E">
        <w:rPr>
          <w:b/>
          <w:sz w:val="22"/>
          <w:szCs w:val="22"/>
          <w:u w:val="none"/>
          <w:lang w:val="cs-CZ"/>
        </w:rPr>
        <w:t>.12.2023</w:t>
      </w:r>
      <w:r>
        <w:rPr>
          <w:b/>
          <w:sz w:val="22"/>
          <w:szCs w:val="22"/>
          <w:u w:val="none"/>
          <w:lang w:val="cs-CZ"/>
        </w:rPr>
        <w:t>.</w:t>
      </w:r>
    </w:p>
    <w:p w:rsidR="006663F0" w:rsidRPr="008E077E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:rsidR="006663F0" w:rsidRDefault="006663F0" w:rsidP="006663F0">
      <w:pPr>
        <w:pStyle w:val="Nzev"/>
        <w:numPr>
          <w:ilvl w:val="0"/>
          <w:numId w:val="3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 (</w:t>
      </w:r>
      <w:r w:rsidRPr="00A4633E">
        <w:rPr>
          <w:sz w:val="22"/>
          <w:szCs w:val="22"/>
          <w:u w:val="none"/>
          <w:lang w:val="cs-CZ"/>
        </w:rPr>
        <w:t>např. manuál, návod, závěrečná zpráva)</w:t>
      </w:r>
      <w:r w:rsidRPr="00A4633E">
        <w:rPr>
          <w:sz w:val="22"/>
          <w:szCs w:val="22"/>
          <w:u w:val="none"/>
        </w:rPr>
        <w:t>.</w:t>
      </w:r>
    </w:p>
    <w:p w:rsidR="006663F0" w:rsidRPr="005653DC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C45AAE" w:rsidRDefault="006663F0" w:rsidP="006663F0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:rsidR="006663F0" w:rsidRPr="0020035D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A4633E">
        <w:rPr>
          <w:sz w:val="22"/>
          <w:szCs w:val="22"/>
          <w:u w:val="none"/>
        </w:rPr>
        <w:t>uvedených Zhotovitelem v Příloze: Rozpočet</w:t>
      </w:r>
      <w:r w:rsidRPr="0020035D">
        <w:rPr>
          <w:sz w:val="22"/>
          <w:szCs w:val="22"/>
          <w:u w:val="none"/>
        </w:rPr>
        <w:t>:</w:t>
      </w:r>
    </w:p>
    <w:p w:rsidR="00B40721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</w:p>
    <w:p w:rsidR="004C1623" w:rsidRDefault="00B40721" w:rsidP="004C1623">
      <w:pPr>
        <w:pStyle w:val="Nzev"/>
        <w:numPr>
          <w:ilvl w:val="0"/>
          <w:numId w:val="0"/>
        </w:numPr>
        <w:ind w:left="2832"/>
        <w:jc w:val="both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  <w:lang w:val="cs-CZ"/>
        </w:rPr>
        <w:t xml:space="preserve">715.870,- </w:t>
      </w:r>
      <w:r w:rsidR="006663F0" w:rsidRPr="0020035D">
        <w:rPr>
          <w:sz w:val="22"/>
          <w:szCs w:val="22"/>
          <w:u w:val="none"/>
        </w:rPr>
        <w:t>Kč</w:t>
      </w:r>
    </w:p>
    <w:p w:rsidR="004C1623" w:rsidRDefault="004C1623" w:rsidP="004C162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         (slovy „</w:t>
      </w:r>
      <w:proofErr w:type="spellStart"/>
      <w:r>
        <w:rPr>
          <w:b/>
          <w:i/>
          <w:sz w:val="22"/>
          <w:szCs w:val="22"/>
          <w:u w:val="none"/>
          <w:lang w:val="cs-CZ"/>
        </w:rPr>
        <w:t>sedmsetpatnácttisícosmsetsedmdesát</w:t>
      </w:r>
      <w:proofErr w:type="spellEnd"/>
      <w:r>
        <w:rPr>
          <w:sz w:val="22"/>
          <w:szCs w:val="22"/>
          <w:u w:val="none"/>
          <w:lang w:val="cs-CZ"/>
        </w:rPr>
        <w:t xml:space="preserve"> korun českých</w:t>
      </w:r>
      <w:r w:rsidRPr="0020035D">
        <w:rPr>
          <w:sz w:val="22"/>
          <w:szCs w:val="22"/>
          <w:u w:val="none"/>
        </w:rPr>
        <w:t>“)</w:t>
      </w:r>
    </w:p>
    <w:p w:rsidR="004C1623" w:rsidRDefault="004C1623" w:rsidP="004C162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Smluvní cena nezahrnuje daň z přidané</w:t>
      </w:r>
      <w:r w:rsidRPr="004C1623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 xml:space="preserve">hodnoty (dále jen DPH) ve výši </w:t>
      </w:r>
      <w:proofErr w:type="gramStart"/>
      <w:r>
        <w:rPr>
          <w:sz w:val="22"/>
          <w:szCs w:val="22"/>
          <w:u w:val="none"/>
          <w:lang w:val="cs-CZ"/>
        </w:rPr>
        <w:t>21%</w:t>
      </w:r>
      <w:proofErr w:type="gramEnd"/>
      <w:r>
        <w:rPr>
          <w:sz w:val="22"/>
          <w:szCs w:val="22"/>
          <w:u w:val="none"/>
          <w:lang w:val="cs-CZ"/>
        </w:rPr>
        <w:t xml:space="preserve">, která činí </w:t>
      </w:r>
      <w:r>
        <w:rPr>
          <w:b/>
          <w:sz w:val="22"/>
          <w:szCs w:val="22"/>
          <w:u w:val="none"/>
          <w:lang w:val="cs-CZ"/>
        </w:rPr>
        <w:t xml:space="preserve">150.332,70 </w:t>
      </w:r>
      <w:r w:rsidRPr="0020035D">
        <w:rPr>
          <w:sz w:val="22"/>
          <w:szCs w:val="22"/>
          <w:u w:val="none"/>
        </w:rPr>
        <w:t>Kč</w:t>
      </w:r>
      <w:r>
        <w:rPr>
          <w:sz w:val="22"/>
          <w:szCs w:val="22"/>
          <w:u w:val="none"/>
          <w:lang w:val="cs-CZ"/>
        </w:rPr>
        <w:t>.</w:t>
      </w:r>
    </w:p>
    <w:p w:rsidR="004C1623" w:rsidRDefault="004C1623" w:rsidP="004C162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:rsidR="004C1623" w:rsidRPr="004C1623" w:rsidRDefault="004C1623" w:rsidP="004C1623">
      <w:pPr>
        <w:pStyle w:val="Nzev"/>
        <w:numPr>
          <w:ilvl w:val="0"/>
          <w:numId w:val="0"/>
        </w:numPr>
        <w:jc w:val="both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Celková cena </w:t>
      </w:r>
      <w:proofErr w:type="gramStart"/>
      <w:r>
        <w:rPr>
          <w:sz w:val="22"/>
          <w:szCs w:val="22"/>
          <w:u w:val="none"/>
          <w:lang w:val="cs-CZ"/>
        </w:rPr>
        <w:t xml:space="preserve">tak  </w:t>
      </w:r>
      <w:r w:rsidRPr="00A4633E">
        <w:rPr>
          <w:sz w:val="22"/>
          <w:szCs w:val="22"/>
          <w:u w:val="none"/>
        </w:rPr>
        <w:t>vč.</w:t>
      </w:r>
      <w:proofErr w:type="gramEnd"/>
      <w:r w:rsidRPr="00A4633E">
        <w:rPr>
          <w:sz w:val="22"/>
          <w:szCs w:val="22"/>
          <w:u w:val="none"/>
        </w:rPr>
        <w:t xml:space="preserve"> DPH</w:t>
      </w:r>
      <w:r w:rsidRPr="00A4633E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 xml:space="preserve">činí </w:t>
      </w:r>
      <w:r>
        <w:rPr>
          <w:b/>
          <w:sz w:val="22"/>
          <w:szCs w:val="22"/>
          <w:u w:val="none"/>
          <w:lang w:val="cs-CZ"/>
        </w:rPr>
        <w:t xml:space="preserve">866.202,70 Kč </w:t>
      </w:r>
    </w:p>
    <w:p w:rsidR="004C1623" w:rsidRPr="00445DDE" w:rsidRDefault="004C1623" w:rsidP="004C1623">
      <w:pPr>
        <w:pStyle w:val="Nzev"/>
        <w:numPr>
          <w:ilvl w:val="0"/>
          <w:numId w:val="0"/>
        </w:numPr>
        <w:ind w:left="4680" w:hanging="360"/>
        <w:jc w:val="both"/>
        <w:rPr>
          <w:b/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           </w:t>
      </w:r>
    </w:p>
    <w:p w:rsidR="004C1623" w:rsidRPr="004C1623" w:rsidRDefault="004C1623" w:rsidP="004C1623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</w:p>
    <w:p w:rsidR="00B40721" w:rsidRDefault="006663F0" w:rsidP="00445DDE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 </w:t>
      </w:r>
    </w:p>
    <w:p w:rsidR="00445DDE" w:rsidRDefault="00445DDE" w:rsidP="00445DDE">
      <w:pPr>
        <w:pStyle w:val="Nzev"/>
        <w:numPr>
          <w:ilvl w:val="0"/>
          <w:numId w:val="0"/>
        </w:numPr>
        <w:ind w:left="4320"/>
        <w:jc w:val="both"/>
        <w:rPr>
          <w:sz w:val="22"/>
          <w:szCs w:val="22"/>
          <w:u w:val="none"/>
          <w:lang w:val="cs-CZ"/>
        </w:rPr>
      </w:pPr>
    </w:p>
    <w:p w:rsidR="00445DDE" w:rsidRDefault="00445DDE" w:rsidP="00445DDE">
      <w:pPr>
        <w:pStyle w:val="Nzev"/>
        <w:numPr>
          <w:ilvl w:val="0"/>
          <w:numId w:val="0"/>
        </w:numPr>
        <w:ind w:left="4320"/>
        <w:jc w:val="both"/>
        <w:rPr>
          <w:sz w:val="22"/>
          <w:szCs w:val="22"/>
          <w:u w:val="none"/>
          <w:lang w:val="cs-CZ"/>
        </w:rPr>
      </w:pP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 xml:space="preserve">zisku, </w:t>
      </w:r>
      <w:r w:rsidRPr="00A4633E">
        <w:rPr>
          <w:sz w:val="22"/>
          <w:szCs w:val="22"/>
          <w:u w:val="none"/>
        </w:rPr>
        <w:t>cenu licenčního ujednání</w:t>
      </w:r>
      <w:r w:rsidRPr="0020035D">
        <w:rPr>
          <w:sz w:val="22"/>
          <w:szCs w:val="22"/>
          <w:u w:val="none"/>
        </w:rPr>
        <w:t xml:space="preserve"> a ostatní náklady související s plněním podmínek dle této Smlouvy.</w:t>
      </w:r>
    </w:p>
    <w:p w:rsidR="00016EE3" w:rsidRPr="00016EE3" w:rsidRDefault="00016EE3" w:rsidP="006663F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  <w:u w:val="none"/>
        </w:rPr>
      </w:pPr>
      <w:r w:rsidRPr="00016EE3">
        <w:rPr>
          <w:b/>
          <w:sz w:val="22"/>
          <w:szCs w:val="22"/>
          <w:u w:val="none"/>
          <w:lang w:val="cs-CZ"/>
        </w:rPr>
        <w:t>Objednavatel poskytuje zhotoviteli</w:t>
      </w:r>
      <w:r w:rsidR="00815C54">
        <w:rPr>
          <w:b/>
          <w:sz w:val="22"/>
          <w:szCs w:val="22"/>
          <w:u w:val="none"/>
          <w:lang w:val="cs-CZ"/>
        </w:rPr>
        <w:t xml:space="preserve"> zálohu</w:t>
      </w:r>
      <w:r w:rsidRPr="00016EE3">
        <w:rPr>
          <w:b/>
          <w:sz w:val="22"/>
          <w:szCs w:val="22"/>
          <w:u w:val="none"/>
          <w:lang w:val="cs-CZ"/>
        </w:rPr>
        <w:t xml:space="preserve"> na nákup šindele, která bude proplacena na základě</w:t>
      </w:r>
      <w:r w:rsidR="00815C54">
        <w:rPr>
          <w:b/>
          <w:sz w:val="22"/>
          <w:szCs w:val="22"/>
          <w:u w:val="none"/>
          <w:lang w:val="cs-CZ"/>
        </w:rPr>
        <w:t xml:space="preserve"> dodání materiálu a</w:t>
      </w:r>
      <w:r w:rsidRPr="00016EE3">
        <w:rPr>
          <w:b/>
          <w:sz w:val="22"/>
          <w:szCs w:val="22"/>
          <w:u w:val="none"/>
          <w:lang w:val="cs-CZ"/>
        </w:rPr>
        <w:t xml:space="preserve"> vystavení faktury zhotovitelem</w:t>
      </w:r>
      <w:r>
        <w:rPr>
          <w:b/>
          <w:sz w:val="22"/>
          <w:szCs w:val="22"/>
          <w:u w:val="none"/>
          <w:lang w:val="cs-CZ"/>
        </w:rPr>
        <w:t>.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 w:rsidRPr="004825BB">
        <w:rPr>
          <w:sz w:val="22"/>
          <w:szCs w:val="22"/>
          <w:u w:val="none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5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5"/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6" w:name="_Ref29210228"/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4825BB">
        <w:rPr>
          <w:sz w:val="22"/>
          <w:szCs w:val="22"/>
          <w:u w:val="none"/>
          <w:lang w:val="cs-CZ"/>
        </w:rPr>
        <w:t>Zhotovitel</w:t>
      </w:r>
      <w:r w:rsidRPr="004825BB">
        <w:rPr>
          <w:sz w:val="22"/>
          <w:szCs w:val="22"/>
          <w:u w:val="none"/>
        </w:rPr>
        <w:t xml:space="preserve"> doručí fakturu v listinné podobě na doručovací adresu</w:t>
      </w:r>
      <w:r w:rsidRPr="004825BB">
        <w:rPr>
          <w:sz w:val="22"/>
          <w:szCs w:val="22"/>
          <w:u w:val="none"/>
          <w:lang w:val="cs-CZ"/>
        </w:rPr>
        <w:t xml:space="preserve"> Objednatele</w:t>
      </w:r>
      <w:r w:rsidRPr="004825BB">
        <w:rPr>
          <w:sz w:val="22"/>
          <w:szCs w:val="22"/>
          <w:u w:val="none"/>
        </w:rPr>
        <w:t xml:space="preserve"> nebo v elektronické podobě na e-mailovou adresu: epodatelna@npu.cz. </w:t>
      </w:r>
    </w:p>
    <w:p w:rsidR="006663F0" w:rsidRPr="00800EAC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:rsidR="006663F0" w:rsidRPr="0020035D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6663F0" w:rsidRPr="00305F4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 xml:space="preserve">finančního úřadu, jestliže </w:t>
      </w:r>
      <w:r w:rsidRPr="007E36CB">
        <w:rPr>
          <w:sz w:val="22"/>
          <w:szCs w:val="22"/>
          <w:u w:val="none"/>
        </w:rPr>
        <w:lastRenderedPageBreak/>
        <w:t>zhotovitel bude ke dni uskutečnění zdanitelného plnění veden v registru nespolehlivých plátců DPH.</w:t>
      </w:r>
      <w:bookmarkEnd w:id="6"/>
    </w:p>
    <w:p w:rsidR="006663F0" w:rsidRPr="000F1411" w:rsidRDefault="006663F0" w:rsidP="006663F0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:rsidR="006663F0" w:rsidRDefault="006663F0" w:rsidP="006663F0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:rsidR="006663F0" w:rsidRPr="00262A63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Pr="00BA76B9">
        <w:rPr>
          <w:sz w:val="22"/>
          <w:szCs w:val="22"/>
          <w:highlight w:val="lightGray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:rsidR="006663F0" w:rsidRPr="00262A6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:rsidR="006663F0" w:rsidRPr="007B536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Pr="004825BB">
        <w:rPr>
          <w:sz w:val="22"/>
          <w:szCs w:val="22"/>
          <w:u w:val="none"/>
        </w:rPr>
        <w:t>36 měsíců</w:t>
      </w:r>
      <w:r w:rsidRPr="007B5366">
        <w:rPr>
          <w:sz w:val="22"/>
          <w:szCs w:val="22"/>
          <w:u w:val="none"/>
        </w:rPr>
        <w:t>. 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:rsidR="006663F0" w:rsidRPr="00D64775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Pr="004825BB">
        <w:rPr>
          <w:sz w:val="22"/>
          <w:szCs w:val="22"/>
          <w:u w:val="none"/>
          <w:lang w:val="cs-CZ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:rsidR="006663F0" w:rsidRPr="00262A6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Pr="004825BB">
        <w:rPr>
          <w:rFonts w:ascii="Calibri" w:hAnsi="Calibri" w:cs="Calibri"/>
          <w:b w:val="0"/>
          <w:sz w:val="22"/>
          <w:szCs w:val="22"/>
        </w:rPr>
        <w:t>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6663F0" w:rsidRPr="00262A63" w:rsidRDefault="006663F0" w:rsidP="006663F0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6663F0" w:rsidRPr="00262A63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6663F0" w:rsidRPr="00305F40" w:rsidRDefault="006663F0" w:rsidP="006663F0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6663F0" w:rsidRPr="00370428" w:rsidRDefault="006663F0" w:rsidP="006663F0">
      <w:pPr>
        <w:ind w:left="567" w:firstLine="0"/>
        <w:jc w:val="both"/>
        <w:rPr>
          <w:sz w:val="22"/>
          <w:szCs w:val="22"/>
          <w:lang w:val="x-none" w:eastAsia="x-none"/>
        </w:rPr>
      </w:pPr>
    </w:p>
    <w:p w:rsidR="006663F0" w:rsidRPr="00064754" w:rsidRDefault="006663F0" w:rsidP="006663F0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:rsidR="006663F0" w:rsidRPr="009519D4" w:rsidRDefault="006663F0" w:rsidP="006663F0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:rsidR="006663F0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:rsidR="006663F0" w:rsidRDefault="006663F0" w:rsidP="006663F0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4825BB">
        <w:rPr>
          <w:sz w:val="22"/>
          <w:szCs w:val="22"/>
          <w:u w:val="none"/>
        </w:rPr>
        <w:t>0,3 % z </w:t>
      </w:r>
      <w:r w:rsidRPr="004825BB">
        <w:rPr>
          <w:sz w:val="22"/>
          <w:szCs w:val="22"/>
          <w:u w:val="none"/>
          <w:lang w:val="cs-CZ"/>
        </w:rPr>
        <w:t>ceny za</w:t>
      </w:r>
      <w:r w:rsidRPr="004825BB">
        <w:rPr>
          <w:sz w:val="22"/>
          <w:szCs w:val="22"/>
          <w:u w:val="none"/>
        </w:rPr>
        <w:t xml:space="preserve"> Dílo</w:t>
      </w:r>
      <w:r w:rsidRPr="004825BB">
        <w:rPr>
          <w:sz w:val="22"/>
          <w:szCs w:val="22"/>
          <w:u w:val="none"/>
          <w:lang w:val="cs-CZ"/>
        </w:rPr>
        <w:t xml:space="preserve"> </w:t>
      </w:r>
      <w:r w:rsidRPr="004825BB">
        <w:rPr>
          <w:sz w:val="22"/>
          <w:szCs w:val="22"/>
          <w:u w:val="none"/>
        </w:rPr>
        <w:t>(bez DPH</w:t>
      </w:r>
      <w:r w:rsidRPr="004825BB">
        <w:rPr>
          <w:sz w:val="22"/>
          <w:szCs w:val="22"/>
          <w:u w:val="none"/>
          <w:lang w:val="cs-CZ"/>
        </w:rPr>
        <w:t xml:space="preserve">, resp. </w:t>
      </w:r>
      <w:r w:rsidRPr="004825BB">
        <w:rPr>
          <w:sz w:val="22"/>
          <w:szCs w:val="22"/>
          <w:u w:val="none"/>
        </w:rPr>
        <w:t xml:space="preserve">z ceny konečné </w:t>
      </w:r>
      <w:r w:rsidRPr="004825BB">
        <w:rPr>
          <w:sz w:val="22"/>
          <w:szCs w:val="22"/>
          <w:u w:val="none"/>
          <w:lang w:val="cs-CZ"/>
        </w:rPr>
        <w:t xml:space="preserve">v případě </w:t>
      </w:r>
      <w:r w:rsidRPr="004825BB">
        <w:rPr>
          <w:sz w:val="22"/>
          <w:szCs w:val="22"/>
          <w:u w:val="none"/>
        </w:rPr>
        <w:t>neplátce DPH</w:t>
      </w:r>
      <w:r w:rsidRPr="004825BB">
        <w:rPr>
          <w:sz w:val="22"/>
          <w:szCs w:val="22"/>
          <w:u w:val="none"/>
          <w:lang w:val="cs-CZ"/>
        </w:rPr>
        <w:t>)</w:t>
      </w:r>
      <w:r w:rsidRPr="004825BB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6663F0" w:rsidRPr="009519D4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016EE3" w:rsidRDefault="00016EE3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016EE3" w:rsidRDefault="00016EE3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774F73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9"/>
    <w:bookmarkEnd w:id="10"/>
    <w:p w:rsidR="006663F0" w:rsidRPr="00305F40" w:rsidRDefault="006663F0" w:rsidP="006663F0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6663F0" w:rsidRPr="0001214E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:rsidR="006663F0" w:rsidRPr="004825B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4825BB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4825BB">
        <w:rPr>
          <w:sz w:val="22"/>
          <w:szCs w:val="22"/>
          <w:u w:val="none"/>
          <w:lang w:val="cs-CZ"/>
        </w:rPr>
        <w:t>podstatného</w:t>
      </w:r>
      <w:r w:rsidRPr="004825BB">
        <w:rPr>
          <w:sz w:val="22"/>
          <w:szCs w:val="22"/>
          <w:u w:val="none"/>
        </w:rPr>
        <w:t xml:space="preserve"> porušení Smlouvy, zejména: </w:t>
      </w:r>
    </w:p>
    <w:p w:rsidR="006663F0" w:rsidRPr="004825BB" w:rsidRDefault="006663F0" w:rsidP="006663F0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825BB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:rsidR="006663F0" w:rsidRPr="00305F40" w:rsidRDefault="006663F0" w:rsidP="006663F0">
      <w:pPr>
        <w:pStyle w:val="Nadpis2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4825BB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</w:t>
      </w:r>
      <w:r>
        <w:rPr>
          <w:rFonts w:ascii="Calibri" w:hAnsi="Calibri" w:cs="Calibri"/>
          <w:b w:val="0"/>
          <w:sz w:val="22"/>
          <w:szCs w:val="22"/>
        </w:rPr>
        <w:t xml:space="preserve"> upozorněn.</w:t>
      </w:r>
    </w:p>
    <w:p w:rsidR="006663F0" w:rsidRPr="00327F0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6663F0" w:rsidRPr="005A7DE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:rsidR="006663F0" w:rsidRPr="00305F40" w:rsidRDefault="006663F0" w:rsidP="006663F0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:rsidR="006663F0" w:rsidRPr="00305F40" w:rsidRDefault="006663F0" w:rsidP="006663F0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6663F0" w:rsidRDefault="006663F0" w:rsidP="006663F0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6663F0" w:rsidRPr="00305F40" w:rsidRDefault="006663F0" w:rsidP="006663F0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6663F0" w:rsidRPr="00C52023" w:rsidRDefault="006663F0" w:rsidP="006663F0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>mlouvou výslovně neupravené se budou řídit českými, obecně závaznými právními předpisy, zejména OZ.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>mlouvy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r w:rsidRPr="00036F2B">
        <w:rPr>
          <w:sz w:val="22"/>
          <w:szCs w:val="22"/>
          <w:u w:val="none"/>
        </w:rPr>
        <w:t xml:space="preserve">mlouvě.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r w:rsidRPr="00036F2B">
        <w:rPr>
          <w:sz w:val="22"/>
          <w:szCs w:val="22"/>
          <w:u w:val="none"/>
        </w:rPr>
        <w:t xml:space="preserve">mlouvě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:rsidR="006663F0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je podle ust.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36BA8">
        <w:rPr>
          <w:sz w:val="22"/>
          <w:szCs w:val="22"/>
          <w:u w:val="none"/>
        </w:rPr>
        <w:t xml:space="preserve">Smluvní strany berou na vědomí, že tato </w:t>
      </w:r>
      <w:r w:rsidRPr="00D36BA8">
        <w:rPr>
          <w:sz w:val="22"/>
          <w:szCs w:val="22"/>
          <w:u w:val="none"/>
          <w:lang w:val="cs-CZ"/>
        </w:rPr>
        <w:t>S</w:t>
      </w:r>
      <w:r w:rsidRPr="00D36BA8">
        <w:rPr>
          <w:sz w:val="22"/>
          <w:szCs w:val="22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D36BA8">
        <w:rPr>
          <w:sz w:val="22"/>
          <w:szCs w:val="22"/>
          <w:u w:val="none"/>
          <w:lang w:val="cs-CZ"/>
        </w:rPr>
        <w:t>Objednatel</w:t>
      </w:r>
      <w:r w:rsidRPr="00D36BA8">
        <w:rPr>
          <w:sz w:val="22"/>
          <w:szCs w:val="22"/>
          <w:u w:val="none"/>
        </w:rPr>
        <w:t>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36BA8">
        <w:rPr>
          <w:sz w:val="22"/>
          <w:szCs w:val="22"/>
          <w:u w:val="none"/>
        </w:rPr>
        <w:t xml:space="preserve">Tato </w:t>
      </w:r>
      <w:r w:rsidRPr="00D36BA8">
        <w:rPr>
          <w:sz w:val="22"/>
          <w:szCs w:val="22"/>
          <w:u w:val="none"/>
          <w:lang w:val="cs-CZ"/>
        </w:rPr>
        <w:t>S</w:t>
      </w:r>
      <w:r w:rsidRPr="00D36BA8">
        <w:rPr>
          <w:sz w:val="22"/>
          <w:szCs w:val="22"/>
          <w:u w:val="none"/>
        </w:rPr>
        <w:t xml:space="preserve">mlouva nabývá platnosti dnem jejího podpisu oběma </w:t>
      </w:r>
      <w:r w:rsidRPr="00D36BA8">
        <w:rPr>
          <w:sz w:val="22"/>
          <w:szCs w:val="22"/>
          <w:u w:val="none"/>
          <w:lang w:val="cs-CZ"/>
        </w:rPr>
        <w:t>S</w:t>
      </w:r>
      <w:r w:rsidRPr="00D36BA8">
        <w:rPr>
          <w:sz w:val="22"/>
          <w:szCs w:val="22"/>
          <w:u w:val="none"/>
        </w:rPr>
        <w:t>mluvními stranami a účinnosti dnem uveřejnění v registru smluv podle předchozího odstavce.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F9357A">
        <w:rPr>
          <w:sz w:val="22"/>
          <w:szCs w:val="22"/>
          <w:u w:val="none"/>
        </w:rPr>
        <w:t>Tato smlouva je vyhotovena ve 2 vyhotoveních v českém jazyce, přičemž každá ze Smluvních stran obdrží po jednom vyhotovení</w:t>
      </w:r>
      <w:r w:rsidRPr="00F9357A">
        <w:rPr>
          <w:sz w:val="22"/>
          <w:szCs w:val="22"/>
          <w:u w:val="none"/>
          <w:lang w:val="cs-CZ"/>
        </w:rPr>
        <w:t xml:space="preserve"> /</w:t>
      </w:r>
      <w:r w:rsidRPr="00F9357A">
        <w:rPr>
          <w:sz w:val="22"/>
          <w:szCs w:val="22"/>
          <w:u w:val="none"/>
        </w:rPr>
        <w:t>/ Tato Smlouva se uzavírá elektronickou formou [Konkrétní forma uzavření bude zvolena před podpisem smlouvy</w:t>
      </w:r>
      <w:r w:rsidRPr="00036F2B">
        <w:rPr>
          <w:sz w:val="22"/>
          <w:szCs w:val="22"/>
          <w:u w:val="none"/>
        </w:rPr>
        <w:t>].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:rsidR="006663F0" w:rsidRPr="00036F2B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:rsidR="006663F0" w:rsidRPr="00327F06" w:rsidRDefault="006663F0" w:rsidP="006663F0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:rsidR="006663F0" w:rsidRPr="00F9357A" w:rsidRDefault="006663F0" w:rsidP="006663F0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F9357A">
        <w:rPr>
          <w:rFonts w:ascii="Calibri" w:hAnsi="Calibri" w:cs="Calibri"/>
        </w:rPr>
        <w:t>Příloha č. 1: Specifikace</w:t>
      </w:r>
    </w:p>
    <w:p w:rsidR="006663F0" w:rsidRDefault="006663F0" w:rsidP="006663F0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F9357A">
        <w:rPr>
          <w:rFonts w:ascii="Calibri" w:hAnsi="Calibri" w:cs="Calibri"/>
        </w:rPr>
        <w:t>Příloha č. 2: Rozpočet</w:t>
      </w:r>
    </w:p>
    <w:p w:rsidR="006663F0" w:rsidRPr="006A0CB1" w:rsidRDefault="006663F0" w:rsidP="006663F0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8"/>
        <w:gridCol w:w="4498"/>
      </w:tblGrid>
      <w:tr w:rsidR="006663F0" w:rsidRPr="00202AE1" w:rsidTr="006663F0">
        <w:trPr>
          <w:trHeight w:val="2024"/>
          <w:jc w:val="center"/>
        </w:trPr>
        <w:tc>
          <w:tcPr>
            <w:tcW w:w="4498" w:type="dxa"/>
          </w:tcPr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4C1623">
              <w:rPr>
                <w:color w:val="000000"/>
                <w:sz w:val="22"/>
                <w:szCs w:val="22"/>
              </w:rPr>
              <w:t> </w:t>
            </w:r>
            <w:proofErr w:type="gramStart"/>
            <w:r w:rsidR="004C1623">
              <w:rPr>
                <w:color w:val="000000"/>
                <w:sz w:val="22"/>
                <w:szCs w:val="22"/>
              </w:rPr>
              <w:t xml:space="preserve">Točníku </w:t>
            </w:r>
            <w:r w:rsidRPr="006A0CB1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A0CB1">
              <w:rPr>
                <w:color w:val="000000"/>
                <w:sz w:val="22"/>
                <w:szCs w:val="22"/>
              </w:rPr>
              <w:t xml:space="preserve"> dne </w:t>
            </w:r>
            <w:r w:rsidR="004C1623">
              <w:rPr>
                <w:color w:val="000000"/>
                <w:sz w:val="22"/>
                <w:szCs w:val="22"/>
              </w:rPr>
              <w:t>5.12. 2023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6663F0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498" w:type="dxa"/>
          </w:tcPr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="004C1623">
              <w:rPr>
                <w:color w:val="000000"/>
                <w:sz w:val="22"/>
                <w:szCs w:val="22"/>
              </w:rPr>
              <w:t>Praze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4C1623">
              <w:rPr>
                <w:color w:val="000000"/>
                <w:sz w:val="22"/>
                <w:szCs w:val="22"/>
              </w:rPr>
              <w:t>6.12. 2023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:rsidR="006663F0" w:rsidRPr="006A0CB1" w:rsidRDefault="006663F0" w:rsidP="00DB355D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:rsidR="00567EF5" w:rsidRDefault="00ED3797" w:rsidP="006663F0">
      <w:pPr>
        <w:ind w:left="0" w:firstLine="0"/>
      </w:pPr>
    </w:p>
    <w:sectPr w:rsidR="00567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F35" w:rsidRDefault="00AE1F35" w:rsidP="006663F0">
      <w:r>
        <w:separator/>
      </w:r>
    </w:p>
  </w:endnote>
  <w:endnote w:type="continuationSeparator" w:id="0">
    <w:p w:rsidR="00AE1F35" w:rsidRDefault="00AE1F35" w:rsidP="0066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223323"/>
      <w:docPartObj>
        <w:docPartGallery w:val="Page Numbers (Bottom of Page)"/>
        <w:docPartUnique/>
      </w:docPartObj>
    </w:sdtPr>
    <w:sdtEndPr/>
    <w:sdtContent>
      <w:p w:rsidR="006663F0" w:rsidRDefault="006663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63F0" w:rsidRDefault="006663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F35" w:rsidRDefault="00AE1F35" w:rsidP="006663F0">
      <w:r>
        <w:separator/>
      </w:r>
    </w:p>
  </w:footnote>
  <w:footnote w:type="continuationSeparator" w:id="0">
    <w:p w:rsidR="00AE1F35" w:rsidRDefault="00AE1F35" w:rsidP="0066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3F0" w:rsidRDefault="00AE3415" w:rsidP="006663F0">
    <w:pPr>
      <w:pStyle w:val="Zhlav"/>
      <w:ind w:left="0" w:firstLine="0"/>
    </w:pPr>
    <w:r>
      <w:rPr>
        <w:noProof/>
      </w:rPr>
      <w:fldChar w:fldCharType="begin"/>
    </w:r>
    <w:r>
      <w:rPr>
        <w:noProof/>
      </w:rPr>
      <w:instrText xml:space="preserve"> INCLUDEPICTURE  "cid:image001.jpg@01D4E965.984D2BB0" \* MERGEFORMATINET </w:instrText>
    </w:r>
    <w:r>
      <w:rPr>
        <w:noProof/>
      </w:rPr>
      <w:fldChar w:fldCharType="separate"/>
    </w:r>
    <w:r w:rsidR="006E10AB">
      <w:rPr>
        <w:noProof/>
      </w:rPr>
      <w:fldChar w:fldCharType="begin"/>
    </w:r>
    <w:r w:rsidR="006E10AB">
      <w:rPr>
        <w:noProof/>
      </w:rPr>
      <w:instrText xml:space="preserve"> INCLUDEPICTURE  "cid:image001.jpg@01D4E965.984D2BB0" \* MERGEFORMATINET </w:instrText>
    </w:r>
    <w:r w:rsidR="006E10AB">
      <w:rPr>
        <w:noProof/>
      </w:rPr>
      <w:fldChar w:fldCharType="separate"/>
    </w:r>
    <w:r w:rsidR="008D102C">
      <w:rPr>
        <w:noProof/>
      </w:rPr>
      <w:fldChar w:fldCharType="begin"/>
    </w:r>
    <w:r w:rsidR="008D102C">
      <w:rPr>
        <w:noProof/>
      </w:rPr>
      <w:instrText xml:space="preserve"> INCLUDEPICTURE  "cid:image001.jpg@01D4E965.984D2BB0" \* MERGEFORMATINET </w:instrText>
    </w:r>
    <w:r w:rsidR="008D102C">
      <w:rPr>
        <w:noProof/>
      </w:rPr>
      <w:fldChar w:fldCharType="separate"/>
    </w:r>
    <w:r w:rsidR="00AE1F35">
      <w:rPr>
        <w:noProof/>
      </w:rPr>
      <w:fldChar w:fldCharType="begin"/>
    </w:r>
    <w:r w:rsidR="00AE1F35">
      <w:rPr>
        <w:noProof/>
      </w:rPr>
      <w:instrText xml:space="preserve"> INCLUDEPICTURE  "cid:image001.jpg@01D4E965.984D2BB0" \* MERGEFORMATINET </w:instrText>
    </w:r>
    <w:r w:rsidR="00AE1F35">
      <w:rPr>
        <w:noProof/>
      </w:rPr>
      <w:fldChar w:fldCharType="separate"/>
    </w:r>
    <w:r w:rsidR="002C2DE6">
      <w:rPr>
        <w:noProof/>
      </w:rPr>
      <w:fldChar w:fldCharType="begin"/>
    </w:r>
    <w:r w:rsidR="002C2DE6">
      <w:rPr>
        <w:noProof/>
      </w:rPr>
      <w:instrText xml:space="preserve"> INCLUDEPICTURE  "cid:image001.jpg@01D4E965.984D2BB0" \* MERGEFORMATINET </w:instrText>
    </w:r>
    <w:r w:rsidR="002C2DE6">
      <w:rPr>
        <w:noProof/>
      </w:rPr>
      <w:fldChar w:fldCharType="separate"/>
    </w:r>
    <w:r w:rsidR="00ED3797">
      <w:rPr>
        <w:noProof/>
      </w:rPr>
      <w:fldChar w:fldCharType="begin"/>
    </w:r>
    <w:r w:rsidR="00ED3797">
      <w:rPr>
        <w:noProof/>
      </w:rPr>
      <w:instrText xml:space="preserve"> </w:instrText>
    </w:r>
    <w:r w:rsidR="00ED3797">
      <w:rPr>
        <w:noProof/>
      </w:rPr>
      <w:instrText>INCLUDEPICTURE  "cid:image001.jpg@01</w:instrText>
    </w:r>
    <w:r w:rsidR="00ED3797">
      <w:rPr>
        <w:noProof/>
      </w:rPr>
      <w:instrText>D4E965.984D2BB0" \* MERGEFORMATINET</w:instrText>
    </w:r>
    <w:r w:rsidR="00ED3797">
      <w:rPr>
        <w:noProof/>
      </w:rPr>
      <w:instrText xml:space="preserve"> </w:instrText>
    </w:r>
    <w:r w:rsidR="00ED3797">
      <w:rPr>
        <w:noProof/>
      </w:rPr>
      <w:fldChar w:fldCharType="separate"/>
    </w:r>
    <w:r w:rsidR="00ED37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3pt;height:38.35pt;visibility:visible">
          <v:imagedata r:id="rId1" r:href="rId2"/>
        </v:shape>
      </w:pict>
    </w:r>
    <w:r w:rsidR="00ED3797">
      <w:rPr>
        <w:noProof/>
      </w:rPr>
      <w:fldChar w:fldCharType="end"/>
    </w:r>
    <w:r w:rsidR="002C2DE6">
      <w:rPr>
        <w:noProof/>
      </w:rPr>
      <w:fldChar w:fldCharType="end"/>
    </w:r>
    <w:r w:rsidR="00AE1F35">
      <w:rPr>
        <w:noProof/>
      </w:rPr>
      <w:fldChar w:fldCharType="end"/>
    </w:r>
    <w:r w:rsidR="008D102C">
      <w:rPr>
        <w:noProof/>
      </w:rPr>
      <w:fldChar w:fldCharType="end"/>
    </w:r>
    <w:r w:rsidR="006E10AB">
      <w:rPr>
        <w:noProof/>
      </w:rPr>
      <w:fldChar w:fldCharType="end"/>
    </w:r>
    <w:r>
      <w:rPr>
        <w:noProof/>
      </w:rPr>
      <w:fldChar w:fldCharType="end"/>
    </w:r>
  </w:p>
  <w:p w:rsidR="006663F0" w:rsidRDefault="00666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831445C"/>
    <w:multiLevelType w:val="multilevel"/>
    <w:tmpl w:val="8F264F38"/>
    <w:styleLink w:val="WW8Num26"/>
    <w:lvl w:ilvl="0">
      <w:start w:val="2"/>
      <w:numFmt w:val="decimal"/>
      <w:lvlText w:val="%1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b w:val="0"/>
        <w:bCs/>
        <w:sz w:val="22"/>
        <w:szCs w:val="22"/>
        <w:shd w:val="clear" w:color="auto" w:fill="C0C0C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0"/>
    <w:rsid w:val="00016EE3"/>
    <w:rsid w:val="002C2DE6"/>
    <w:rsid w:val="002F607E"/>
    <w:rsid w:val="003052DC"/>
    <w:rsid w:val="0037445B"/>
    <w:rsid w:val="003F3C2A"/>
    <w:rsid w:val="004228D5"/>
    <w:rsid w:val="00445DDE"/>
    <w:rsid w:val="004C1623"/>
    <w:rsid w:val="004C6614"/>
    <w:rsid w:val="005E2709"/>
    <w:rsid w:val="006663F0"/>
    <w:rsid w:val="006E10AB"/>
    <w:rsid w:val="00815C54"/>
    <w:rsid w:val="008A707C"/>
    <w:rsid w:val="008D102C"/>
    <w:rsid w:val="00A4224B"/>
    <w:rsid w:val="00AE1F35"/>
    <w:rsid w:val="00AE3415"/>
    <w:rsid w:val="00B40721"/>
    <w:rsid w:val="00E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C40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63F0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663F0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6663F0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663F0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63F0"/>
    <w:rPr>
      <w:rFonts w:ascii="Arial" w:eastAsia="Calibri" w:hAnsi="Arial" w:cs="Calibri"/>
      <w:sz w:val="20"/>
      <w:szCs w:val="20"/>
      <w:lang w:eastAsia="cs-CZ"/>
    </w:rPr>
  </w:style>
  <w:style w:type="paragraph" w:customStyle="1" w:styleId="Default">
    <w:name w:val="Default"/>
    <w:rsid w:val="006663F0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2">
    <w:name w:val="Nadpis #2_"/>
    <w:link w:val="Nadpis20"/>
    <w:rsid w:val="006663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6663F0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Zkladntext1">
    <w:name w:val="Základní text1"/>
    <w:basedOn w:val="Normln"/>
    <w:rsid w:val="006663F0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6663F0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a">
    <w:qFormat/>
    <w:rsid w:val="006663F0"/>
    <w:pPr>
      <w:spacing w:after="0" w:line="240" w:lineRule="auto"/>
      <w:ind w:left="703" w:hanging="567"/>
    </w:pPr>
    <w:rPr>
      <w:rFonts w:ascii="Calibri" w:eastAsia="Calibri" w:hAnsi="Calibri" w:cs="Calibri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6663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66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3F0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3F0"/>
    <w:rPr>
      <w:rFonts w:ascii="Calibri" w:eastAsia="Calibri" w:hAnsi="Calibri" w:cs="Calibri"/>
      <w:sz w:val="20"/>
      <w:szCs w:val="20"/>
      <w:lang w:eastAsia="cs-CZ"/>
    </w:rPr>
  </w:style>
  <w:style w:type="paragraph" w:customStyle="1" w:styleId="Standard">
    <w:name w:val="Standard"/>
    <w:rsid w:val="005E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5E2709"/>
    <w:rPr>
      <w:color w:val="0000FF"/>
      <w:u w:val="single"/>
    </w:rPr>
  </w:style>
  <w:style w:type="numbering" w:customStyle="1" w:styleId="WW8Num26">
    <w:name w:val="WW8Num26"/>
    <w:basedOn w:val="Bezseznamu"/>
    <w:rsid w:val="005E2709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DC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2234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2023-12-07T09:46:00Z</dcterms:created>
  <dcterms:modified xsi:type="dcterms:W3CDTF">2023-12-07T09:48:00Z</dcterms:modified>
</cp:coreProperties>
</file>