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931FB0">
        <w:rPr>
          <w:rFonts w:ascii="Tahoma" w:hAnsi="Tahoma" w:cs="Tahoma"/>
          <w:sz w:val="20"/>
          <w:szCs w:val="20"/>
        </w:rPr>
        <w:t>1</w:t>
      </w:r>
      <w:r w:rsidR="002A00A0">
        <w:rPr>
          <w:rFonts w:ascii="Tahoma" w:hAnsi="Tahoma" w:cs="Tahoma"/>
          <w:sz w:val="20"/>
          <w:szCs w:val="20"/>
        </w:rPr>
        <w:t>.</w:t>
      </w:r>
      <w:r w:rsidR="00931FB0">
        <w:rPr>
          <w:rFonts w:ascii="Tahoma" w:hAnsi="Tahoma" w:cs="Tahoma"/>
          <w:sz w:val="20"/>
          <w:szCs w:val="20"/>
        </w:rPr>
        <w:t>12</w:t>
      </w:r>
      <w:r w:rsidR="002A00A0">
        <w:rPr>
          <w:rFonts w:ascii="Tahoma" w:hAnsi="Tahoma" w:cs="Tahoma"/>
          <w:sz w:val="20"/>
          <w:szCs w:val="20"/>
        </w:rPr>
        <w:t>.2016</w:t>
      </w:r>
      <w:r w:rsidRPr="00230A16">
        <w:rPr>
          <w:rFonts w:ascii="Tahoma" w:hAnsi="Tahoma" w:cs="Tahoma"/>
          <w:sz w:val="20"/>
          <w:szCs w:val="20"/>
        </w:rPr>
        <w:t xml:space="preserve"> 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partner </w:t>
      </w:r>
      <w:r w:rsidR="00A602E8">
        <w:rPr>
          <w:rFonts w:ascii="Tahoma" w:hAnsi="Tahoma" w:cs="Tahoma"/>
          <w:sz w:val="20"/>
          <w:szCs w:val="20"/>
        </w:rPr>
        <w:t xml:space="preserve">790 58 </w:t>
      </w:r>
      <w:r w:rsidR="00931FB0">
        <w:rPr>
          <w:rFonts w:ascii="Tahoma" w:hAnsi="Tahoma" w:cs="Tahoma"/>
          <w:sz w:val="20"/>
          <w:szCs w:val="20"/>
        </w:rPr>
        <w:t xml:space="preserve">Velká Kraš </w:t>
      </w:r>
      <w:r w:rsidRPr="00230A16">
        <w:rPr>
          <w:rFonts w:ascii="Tahoma" w:hAnsi="Tahoma" w:cs="Tahoma"/>
          <w:sz w:val="20"/>
          <w:szCs w:val="20"/>
        </w:rPr>
        <w:t xml:space="preserve">předány dle Smlouvy o zajištění služeb pro Českou poštu, </w:t>
      </w:r>
      <w:proofErr w:type="spellStart"/>
      <w:proofErr w:type="gram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</w:t>
      </w:r>
      <w:proofErr w:type="gramEnd"/>
      <w:r w:rsidRPr="00230A16">
        <w:rPr>
          <w:rFonts w:ascii="Tahoma" w:hAnsi="Tahoma" w:cs="Tahoma"/>
          <w:sz w:val="20"/>
          <w:szCs w:val="20"/>
        </w:rPr>
        <w:t>, č.:</w:t>
      </w:r>
      <w:r w:rsidR="00931FB0">
        <w:rPr>
          <w:rFonts w:ascii="Tahoma" w:hAnsi="Tahoma" w:cs="Tahoma"/>
          <w:sz w:val="20"/>
          <w:szCs w:val="20"/>
        </w:rPr>
        <w:t>2016/6633</w:t>
      </w:r>
      <w:r w:rsidRPr="00230A16">
        <w:rPr>
          <w:rFonts w:ascii="Tahoma" w:hAnsi="Tahoma" w:cs="Tahoma"/>
          <w:sz w:val="20"/>
          <w:szCs w:val="20"/>
        </w:rPr>
        <w:t xml:space="preserve"> 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931FB0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8,9,10 Technologická příručka pro Partnera, Uživatelská dokumentace APOST – Samostatná pošta Partner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 rozlišovací značka č. 3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716DD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716DD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Plombovací kleště s rozlišovací značkou A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716DD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716DD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F1DF9">
              <w:rPr>
                <w:rFonts w:ascii="Tahoma" w:hAnsi="Tahoma" w:cs="Tahoma"/>
                <w:sz w:val="20"/>
                <w:szCs w:val="20"/>
              </w:rPr>
              <w:t>Billtest</w:t>
            </w:r>
            <w:proofErr w:type="spellEnd"/>
            <w:r w:rsidRPr="00DF1DF9">
              <w:rPr>
                <w:rFonts w:ascii="Tahoma" w:hAnsi="Tahoma" w:cs="Tahoma"/>
                <w:sz w:val="20"/>
                <w:szCs w:val="20"/>
              </w:rPr>
              <w:t xml:space="preserve"> = UV LAMPA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(detektor)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716DD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716DD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</w:pPr>
            <w:r>
              <w:t>20700062354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Děrovací kleště na dálniční kupony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Default="00A602E8" w:rsidP="00A602E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 – 709 609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260DEB">
        <w:tc>
          <w:tcPr>
            <w:tcW w:w="236" w:type="dxa"/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602E8" w:rsidRPr="009D4274" w:rsidRDefault="00A602E8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931FB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1x přepážka poštovní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>10700025183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1x pokladna příruční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>20700048429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 xml:space="preserve">1x psací pult pro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F1DF9">
              <w:rPr>
                <w:rFonts w:ascii="Tahoma" w:hAnsi="Tahoma" w:cs="Tahoma"/>
                <w:sz w:val="20"/>
                <w:szCs w:val="20"/>
              </w:rPr>
              <w:t>20700121981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71F4A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71F4A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71F4A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71F4A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zvonkové zařízení pro imobilní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71F4A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076AD3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,</w:t>
      </w:r>
    </w:p>
    <w:p w:rsidR="00076AD3" w:rsidRDefault="00076AD3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931FB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Default="00A602E8" w:rsidP="00A602E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465F1" w:rsidRDefault="006465F1" w:rsidP="00A602E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465F1" w:rsidRPr="00DF1DF9" w:rsidRDefault="006465F1" w:rsidP="00A602E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36483B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36483B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DF1DF9" w:rsidRDefault="00A602E8" w:rsidP="007F2FC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AD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AD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076AD3" w:rsidRPr="009D4274" w:rsidRDefault="00076AD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2E8" w:rsidRPr="00230A16" w:rsidTr="005C542A">
        <w:tc>
          <w:tcPr>
            <w:tcW w:w="236" w:type="dxa"/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602E8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931FB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</w:r>
            <w:r w:rsidR="006465F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A602E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8, 9,10 Technologická příručka pro Partnera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931FB0" w:rsidRDefault="00931FB0" w:rsidP="00931FB0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Ve Velké Kraši dne </w:t>
      </w:r>
      <w:proofErr w:type="gramStart"/>
      <w:r>
        <w:rPr>
          <w:rFonts w:ascii="Tahoma" w:hAnsi="Tahoma" w:cs="Tahoma"/>
          <w:sz w:val="20"/>
          <w:szCs w:val="20"/>
        </w:rPr>
        <w:t>1.12.2016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Jeseníku dne 1.12.2016</w:t>
      </w:r>
    </w:p>
    <w:p w:rsidR="00931FB0" w:rsidRDefault="00931FB0" w:rsidP="00931FB0">
      <w:pPr>
        <w:jc w:val="both"/>
        <w:rPr>
          <w:rFonts w:ascii="Tahoma" w:hAnsi="Tahoma" w:cs="Tahoma"/>
          <w:sz w:val="20"/>
          <w:szCs w:val="20"/>
        </w:rPr>
      </w:pPr>
    </w:p>
    <w:p w:rsidR="00931FB0" w:rsidRDefault="00931FB0" w:rsidP="00931FB0">
      <w:pPr>
        <w:jc w:val="both"/>
        <w:rPr>
          <w:rFonts w:ascii="Tahoma" w:hAnsi="Tahoma" w:cs="Tahoma"/>
          <w:sz w:val="20"/>
          <w:szCs w:val="20"/>
        </w:rPr>
      </w:pPr>
    </w:p>
    <w:p w:rsidR="00931FB0" w:rsidRDefault="00931FB0" w:rsidP="00931FB0">
      <w:pPr>
        <w:jc w:val="both"/>
        <w:rPr>
          <w:rFonts w:ascii="Tahoma" w:hAnsi="Tahoma" w:cs="Tahoma"/>
          <w:sz w:val="20"/>
          <w:szCs w:val="20"/>
        </w:rPr>
      </w:pPr>
    </w:p>
    <w:p w:rsidR="00931FB0" w:rsidRDefault="00931FB0" w:rsidP="00931FB0">
      <w:pPr>
        <w:jc w:val="both"/>
        <w:rPr>
          <w:rFonts w:ascii="Tahoma" w:hAnsi="Tahoma" w:cs="Tahoma"/>
          <w:sz w:val="20"/>
          <w:szCs w:val="20"/>
        </w:rPr>
      </w:pPr>
    </w:p>
    <w:p w:rsidR="00931FB0" w:rsidRDefault="00931FB0" w:rsidP="00931F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931FB0" w:rsidRDefault="00931FB0" w:rsidP="00931F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Obec Velká Kraš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Leona Nosálová </w:t>
      </w:r>
    </w:p>
    <w:p w:rsidR="00931FB0" w:rsidRDefault="00931FB0" w:rsidP="00931FB0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  <w:t xml:space="preserve"> 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>Vedoucí řídící pošty Jeseník 1</w:t>
      </w:r>
      <w:r>
        <w:rPr>
          <w:rFonts w:asciiTheme="minorHAnsi" w:hAnsiTheme="minorHAnsi" w:cs="Tahoma"/>
        </w:rPr>
        <w:tab/>
      </w:r>
    </w:p>
    <w:p w:rsidR="00D32D5C" w:rsidRPr="00230A16" w:rsidRDefault="00D32D5C" w:rsidP="00931FB0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6465F1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6465F1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FD97867" wp14:editId="64ECE1B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E9BB1DF" wp14:editId="66039F0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9132F" wp14:editId="7561AFA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</w:t>
    </w:r>
    <w:proofErr w:type="gramStart"/>
    <w:r w:rsidR="009F4989">
      <w:rPr>
        <w:color w:val="002776"/>
      </w:rPr>
      <w:t>č. 5</w:t>
    </w:r>
    <w:r w:rsidR="002A00A0">
      <w:rPr>
        <w:color w:val="002776"/>
      </w:rPr>
      <w:t xml:space="preserve">                                                                             partner</w:t>
    </w:r>
    <w:proofErr w:type="gramEnd"/>
    <w:r w:rsidR="002A00A0">
      <w:rPr>
        <w:color w:val="002776"/>
      </w:rPr>
      <w:t xml:space="preserve"> </w:t>
    </w:r>
    <w:r w:rsidR="00931FB0">
      <w:rPr>
        <w:color w:val="002776"/>
      </w:rPr>
      <w:t>–</w:t>
    </w:r>
    <w:r w:rsidR="002A00A0">
      <w:rPr>
        <w:color w:val="002776"/>
      </w:rPr>
      <w:t xml:space="preserve"> </w:t>
    </w:r>
    <w:r w:rsidR="00931FB0">
      <w:rPr>
        <w:color w:val="002776"/>
      </w:rPr>
      <w:t xml:space="preserve">Velká Kraš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6AD3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465F1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31FB0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02E8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752B8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A034-DD4F-4438-8319-14DCD119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10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9</cp:revision>
  <cp:lastPrinted>2016-10-06T06:25:00Z</cp:lastPrinted>
  <dcterms:created xsi:type="dcterms:W3CDTF">2013-03-28T14:54:00Z</dcterms:created>
  <dcterms:modified xsi:type="dcterms:W3CDTF">2017-06-24T13:17:00Z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