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5211200166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  <w:jc w:val="left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Břidličná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880"/>
        <w:jc w:val="left"/>
      </w:pPr>
      <w:r>
        <w:rPr/>
        <w:t>kontaktní adresa:</w:t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Břidličná,</w:t>
      </w:r>
      <w:r>
        <w:rPr>
          <w:spacing w:val="-6"/>
        </w:rPr>
        <w:t> </w:t>
      </w:r>
      <w:r>
        <w:rPr/>
        <w:t>Nábřežní</w:t>
      </w:r>
      <w:r>
        <w:rPr>
          <w:spacing w:val="-7"/>
        </w:rPr>
        <w:t> </w:t>
      </w:r>
      <w:r>
        <w:rPr/>
        <w:t>452,</w:t>
      </w:r>
      <w:r>
        <w:rPr>
          <w:spacing w:val="-7"/>
        </w:rPr>
        <w:t> </w:t>
      </w:r>
      <w:r>
        <w:rPr/>
        <w:t>793</w:t>
      </w:r>
      <w:r>
        <w:rPr>
          <w:spacing w:val="-4"/>
        </w:rPr>
        <w:t> </w:t>
      </w:r>
      <w:r>
        <w:rPr/>
        <w:t>51</w:t>
      </w:r>
      <w:r>
        <w:rPr>
          <w:spacing w:val="-6"/>
        </w:rPr>
        <w:t> </w:t>
      </w:r>
      <w:r>
        <w:rPr/>
        <w:t>Břidličná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00295906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Miroslavem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í č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  <w:jc w:val="left"/>
      </w:pPr>
      <w:r>
        <w:rPr/>
        <w:t>číslo účtu:</w:t>
        <w:tab/>
      </w:r>
      <w:r>
        <w:rPr>
          <w:spacing w:val="-2"/>
        </w:rPr>
        <w:t>94-5318771/0710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5211200166 o poskytnutí finančních prostředků ze Státního fondu životního prostředí ČR ze dne 19. 7.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65"/>
        <w:jc w:val="both"/>
      </w:pPr>
      <w:r>
        <w:rPr/>
        <w:t>„Zateplení</w:t>
      </w:r>
      <w:r>
        <w:rPr>
          <w:spacing w:val="-7"/>
        </w:rPr>
        <w:t> </w:t>
      </w:r>
      <w:r>
        <w:rPr/>
        <w:t>krytého</w:t>
      </w:r>
      <w:r>
        <w:rPr>
          <w:spacing w:val="-5"/>
        </w:rPr>
        <w:t> </w:t>
      </w:r>
      <w:r>
        <w:rPr/>
        <w:t>bazénu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2"/>
        </w:rPr>
        <w:t>Břidličné“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poskytována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Nařízením</w:t>
      </w:r>
      <w:r>
        <w:rPr>
          <w:spacing w:val="-7"/>
          <w:sz w:val="20"/>
        </w:rPr>
        <w:t> </w:t>
      </w:r>
      <w:r>
        <w:rPr>
          <w:sz w:val="20"/>
        </w:rPr>
        <w:t>Komise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651/2014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17.</w:t>
      </w:r>
      <w:r>
        <w:rPr>
          <w:spacing w:val="-5"/>
          <w:sz w:val="20"/>
        </w:rPr>
        <w:t> </w:t>
      </w:r>
      <w:r>
        <w:rPr>
          <w:sz w:val="20"/>
        </w:rPr>
        <w:t>června</w:t>
      </w:r>
      <w:r>
        <w:rPr>
          <w:spacing w:val="-6"/>
          <w:sz w:val="20"/>
        </w:rPr>
        <w:t> </w:t>
      </w:r>
      <w:r>
        <w:rPr>
          <w:sz w:val="20"/>
        </w:rPr>
        <w:t>2014,</w:t>
      </w:r>
      <w:r>
        <w:rPr>
          <w:spacing w:val="-5"/>
          <w:sz w:val="20"/>
        </w:rPr>
        <w:t> </w:t>
      </w:r>
      <w:r>
        <w:rPr>
          <w:sz w:val="20"/>
        </w:rPr>
        <w:t>kterým se v souladu s články 107 a 108 Smlouvy prohlašují určité kategorie podpory za slučitelné s vnitřním trhem (obecné nařízení o blokových výjimkách), zveřejněném v Úředním věstníku EU dne 26. června 2014 a jejím oznámením SA.106510 (článek 55).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1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274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982,53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 pět milionů dvě stě sedmdesát čtyři tisíce devět set osmdesát dva korun českých a padesát tři haléře).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09" w:hanging="360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11 722 183,41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8"/>
          <w:sz w:val="20"/>
        </w:rPr>
        <w:t> </w:t>
      </w:r>
      <w:r>
        <w:rPr>
          <w:sz w:val="20"/>
        </w:rPr>
        <w:t>dodavatelům</w:t>
      </w:r>
      <w:r>
        <w:rPr>
          <w:spacing w:val="59"/>
          <w:sz w:val="20"/>
        </w:rPr>
        <w:t> </w:t>
      </w:r>
      <w:r>
        <w:rPr>
          <w:sz w:val="20"/>
        </w:rPr>
        <w:t>lze</w:t>
      </w:r>
      <w:r>
        <w:rPr>
          <w:spacing w:val="57"/>
          <w:sz w:val="20"/>
        </w:rPr>
        <w:t> </w:t>
      </w:r>
      <w:r>
        <w:rPr>
          <w:sz w:val="20"/>
        </w:rPr>
        <w:t>z podpory</w:t>
      </w:r>
      <w:r>
        <w:rPr>
          <w:spacing w:val="58"/>
          <w:sz w:val="20"/>
        </w:rPr>
        <w:t> </w:t>
      </w:r>
      <w:r>
        <w:rPr>
          <w:sz w:val="20"/>
        </w:rPr>
        <w:t>poskytované</w:t>
      </w:r>
      <w:r>
        <w:rPr>
          <w:spacing w:val="57"/>
          <w:sz w:val="20"/>
        </w:rPr>
        <w:t> </w:t>
      </w:r>
      <w:r>
        <w:rPr>
          <w:sz w:val="20"/>
        </w:rPr>
        <w:t>Fondem</w:t>
      </w:r>
      <w:r>
        <w:rPr>
          <w:spacing w:val="59"/>
          <w:sz w:val="20"/>
        </w:rPr>
        <w:t> </w:t>
      </w:r>
      <w:r>
        <w:rPr>
          <w:sz w:val="20"/>
        </w:rPr>
        <w:t>hradit</w:t>
      </w:r>
      <w:r>
        <w:rPr>
          <w:spacing w:val="58"/>
          <w:sz w:val="20"/>
        </w:rPr>
        <w:t> </w:t>
      </w:r>
      <w:r>
        <w:rPr>
          <w:sz w:val="20"/>
        </w:rPr>
        <w:t>pouze</w:t>
      </w:r>
      <w:r>
        <w:rPr>
          <w:spacing w:val="57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60"/>
          <w:sz w:val="20"/>
        </w:rPr>
        <w:t> </w:t>
      </w:r>
      <w:r>
        <w:rPr>
          <w:sz w:val="20"/>
        </w:rPr>
        <w:t>práce,</w:t>
      </w:r>
      <w:r>
        <w:rPr>
          <w:spacing w:val="61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3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prostředky</w:t>
      </w:r>
      <w:r>
        <w:rPr>
          <w:spacing w:val="-12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11"/>
          <w:sz w:val="20"/>
        </w:rPr>
        <w:t> </w:t>
      </w:r>
      <w:r>
        <w:rPr>
          <w:sz w:val="20"/>
        </w:rPr>
        <w:t>touto</w:t>
      </w:r>
      <w:r>
        <w:rPr>
          <w:spacing w:val="-10"/>
          <w:sz w:val="20"/>
        </w:rPr>
        <w:t> </w:t>
      </w:r>
      <w:r>
        <w:rPr>
          <w:sz w:val="20"/>
        </w:rPr>
        <w:t>Smlouvou</w:t>
      </w:r>
      <w:r>
        <w:rPr>
          <w:spacing w:val="-10"/>
          <w:sz w:val="20"/>
        </w:rPr>
        <w:t> </w:t>
      </w:r>
      <w:r>
        <w:rPr>
          <w:sz w:val="20"/>
        </w:rPr>
        <w:t>tak,</w:t>
      </w:r>
      <w:r>
        <w:rPr>
          <w:spacing w:val="-11"/>
          <w:sz w:val="20"/>
        </w:rPr>
        <w:t> </w:t>
      </w:r>
      <w:r>
        <w:rPr>
          <w:sz w:val="20"/>
        </w:rPr>
        <w:t>aby</w:t>
      </w:r>
      <w:r>
        <w:rPr>
          <w:spacing w:val="-12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982,53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2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 Tato 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2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zlepšení tepelně-technických vlastností budovy krytého bazénu na adrese</w:t>
      </w:r>
      <w:r>
        <w:rPr>
          <w:spacing w:val="-1"/>
          <w:sz w:val="20"/>
        </w:rPr>
        <w:t> </w:t>
      </w:r>
      <w:r>
        <w:rPr>
          <w:sz w:val="20"/>
        </w:rPr>
        <w:t>Bruntálská 437, 793</w:t>
      </w:r>
      <w:r>
        <w:rPr>
          <w:spacing w:val="-10"/>
          <w:sz w:val="20"/>
        </w:rPr>
        <w:t> </w:t>
      </w:r>
      <w:r>
        <w:rPr>
          <w:sz w:val="20"/>
        </w:rPr>
        <w:t>51</w:t>
      </w:r>
      <w:r>
        <w:rPr>
          <w:spacing w:val="-10"/>
          <w:sz w:val="20"/>
        </w:rPr>
        <w:t> </w:t>
      </w:r>
      <w:r>
        <w:rPr>
          <w:sz w:val="20"/>
        </w:rPr>
        <w:t>Břidličná,</w:t>
      </w:r>
      <w:r>
        <w:rPr>
          <w:spacing w:val="-11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stojí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pozemku</w:t>
      </w:r>
      <w:r>
        <w:rPr>
          <w:spacing w:val="-8"/>
          <w:sz w:val="20"/>
        </w:rPr>
        <w:t> </w:t>
      </w:r>
      <w:r>
        <w:rPr>
          <w:sz w:val="20"/>
        </w:rPr>
        <w:t>p.č.</w:t>
      </w:r>
      <w:r>
        <w:rPr>
          <w:spacing w:val="-11"/>
          <w:sz w:val="20"/>
        </w:rPr>
        <w:t> </w:t>
      </w:r>
      <w:r>
        <w:rPr>
          <w:sz w:val="20"/>
        </w:rPr>
        <w:t>2349,</w:t>
      </w:r>
      <w:r>
        <w:rPr>
          <w:spacing w:val="-8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11"/>
          <w:sz w:val="20"/>
        </w:rPr>
        <w:t> </w:t>
      </w:r>
      <w:r>
        <w:rPr>
          <w:sz w:val="20"/>
        </w:rPr>
        <w:t>zateplení</w:t>
      </w:r>
      <w:r>
        <w:rPr>
          <w:spacing w:val="-8"/>
          <w:sz w:val="20"/>
        </w:rPr>
        <w:t> </w:t>
      </w:r>
      <w:r>
        <w:rPr>
          <w:sz w:val="20"/>
        </w:rPr>
        <w:t>obvodového</w:t>
      </w:r>
      <w:r>
        <w:rPr>
          <w:spacing w:val="-10"/>
          <w:sz w:val="20"/>
        </w:rPr>
        <w:t> </w:t>
      </w:r>
      <w:r>
        <w:rPr>
          <w:sz w:val="20"/>
        </w:rPr>
        <w:t>pláště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výměně</w:t>
      </w:r>
      <w:r>
        <w:rPr>
          <w:spacing w:val="-9"/>
          <w:sz w:val="20"/>
        </w:rPr>
        <w:t> </w:t>
      </w:r>
      <w:r>
        <w:rPr>
          <w:sz w:val="20"/>
        </w:rPr>
        <w:t>výplní otvorů,</w:t>
      </w:r>
      <w:r>
        <w:rPr>
          <w:spacing w:val="-2"/>
          <w:sz w:val="20"/>
        </w:rPr>
        <w:t> </w:t>
      </w:r>
      <w:r>
        <w:rPr>
          <w:sz w:val="20"/>
        </w:rPr>
        <w:t>instalaci systému nuceného</w:t>
      </w:r>
      <w:r>
        <w:rPr>
          <w:spacing w:val="-1"/>
          <w:sz w:val="20"/>
        </w:rPr>
        <w:t> </w:t>
      </w:r>
      <w:r>
        <w:rPr>
          <w:sz w:val="20"/>
        </w:rPr>
        <w:t>větrání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zpětným</w:t>
      </w:r>
      <w:r>
        <w:rPr>
          <w:spacing w:val="-1"/>
          <w:sz w:val="20"/>
        </w:rPr>
        <w:t> </w:t>
      </w:r>
      <w:r>
        <w:rPr>
          <w:sz w:val="20"/>
        </w:rPr>
        <w:t>získáváním</w:t>
      </w:r>
      <w:r>
        <w:rPr>
          <w:spacing w:val="-4"/>
          <w:sz w:val="20"/>
        </w:rPr>
        <w:t> </w:t>
      </w:r>
      <w:r>
        <w:rPr>
          <w:sz w:val="20"/>
        </w:rPr>
        <w:t>tepla,</w:t>
      </w:r>
      <w:r>
        <w:rPr>
          <w:spacing w:val="-3"/>
          <w:sz w:val="20"/>
        </w:rPr>
        <w:t> </w:t>
      </w:r>
      <w:r>
        <w:rPr>
          <w:sz w:val="20"/>
        </w:rPr>
        <w:t>a k</w:t>
      </w:r>
      <w:r>
        <w:rPr>
          <w:spacing w:val="-3"/>
          <w:sz w:val="20"/>
        </w:rPr>
        <w:t> </w:t>
      </w:r>
      <w:r>
        <w:rPr>
          <w:sz w:val="20"/>
        </w:rPr>
        <w:t>instalaci</w:t>
      </w:r>
      <w:r>
        <w:rPr>
          <w:spacing w:val="-1"/>
          <w:sz w:val="20"/>
        </w:rPr>
        <w:t> </w:t>
      </w:r>
      <w:r>
        <w:rPr>
          <w:sz w:val="20"/>
        </w:rPr>
        <w:t>LED</w:t>
      </w:r>
      <w:r>
        <w:rPr>
          <w:spacing w:val="-3"/>
          <w:sz w:val="20"/>
        </w:rPr>
        <w:t> </w:t>
      </w:r>
      <w:r>
        <w:rPr>
          <w:sz w:val="20"/>
        </w:rPr>
        <w:t>osvětlení,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1670"/>
        <w:gridCol w:w="1867"/>
        <w:gridCol w:w="1792"/>
      </w:tblGrid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177.21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122.38</w:t>
            </w:r>
          </w:p>
        </w:tc>
      </w:tr>
      <w:tr>
        <w:trPr>
          <w:trHeight w:val="506" w:hRule="atLeast"/>
        </w:trPr>
        <w:tc>
          <w:tcPr>
            <w:tcW w:w="349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2289.62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4"/>
                <w:sz w:val="20"/>
              </w:rPr>
              <w:t>1568</w:t>
            </w:r>
          </w:p>
        </w:tc>
      </w:tr>
      <w:tr>
        <w:trPr>
          <w:trHeight w:val="532" w:hRule="atLeast"/>
        </w:trPr>
        <w:tc>
          <w:tcPr>
            <w:tcW w:w="3497" w:type="dxa"/>
          </w:tcPr>
          <w:p>
            <w:pPr>
              <w:pStyle w:val="TableParagraph"/>
              <w:spacing w:line="264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6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2646.90</w:t>
            </w:r>
          </w:p>
        </w:tc>
        <w:tc>
          <w:tcPr>
            <w:tcW w:w="1792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1819.90</w:t>
            </w:r>
          </w:p>
        </w:tc>
      </w:tr>
    </w:tbl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19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30"/>
          <w:sz w:val="20"/>
        </w:rPr>
        <w:t> </w:t>
      </w:r>
      <w:r>
        <w:rPr>
          <w:sz w:val="20"/>
        </w:rPr>
        <w:t>v platném</w:t>
      </w:r>
      <w:r>
        <w:rPr>
          <w:spacing w:val="27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4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5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4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2/2024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ČR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8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ind w:right="111"/>
      </w:pPr>
      <w:r>
        <w:rPr/>
        <w:t>% z</w:t>
      </w:r>
      <w:r>
        <w:rPr>
          <w:spacing w:val="-2"/>
        </w:rPr>
        <w:t> </w:t>
      </w:r>
      <w:r>
        <w:rPr/>
        <w:t>poskytnuté podpory v závislosti na míře porušení stanovených indikátorů účelu akce. Plnění účelu 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line="265" w:lineRule="exact"/>
        <w:ind w:left="3417"/>
      </w:pPr>
      <w:r>
        <w:rPr>
          <w:spacing w:val="-5"/>
        </w:rPr>
        <w:t>VI.</w:t>
      </w:r>
    </w:p>
    <w:p>
      <w:pPr>
        <w:pStyle w:val="Heading2"/>
        <w:spacing w:line="265" w:lineRule="exact"/>
        <w:ind w:left="3416" w:right="314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 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1"/>
          <w:sz w:val="20"/>
        </w:rPr>
        <w:t> </w:t>
      </w:r>
      <w:r>
        <w:rPr>
          <w:sz w:val="20"/>
        </w:rPr>
        <w:t>platném znění, a že mohou být uplatněny odvody podle tohoto zákona.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9"/>
      </w:pPr>
      <w:r>
        <w:rPr>
          <w:spacing w:val="-4"/>
        </w:rPr>
        <w:t>VII.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</w:t>
      </w:r>
      <w:r>
        <w:rPr>
          <w:spacing w:val="-1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5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2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2023-12-06T13:53:01Z</dcterms:created>
  <dcterms:modified xsi:type="dcterms:W3CDTF">2023-12-06T13:53:01Z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