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D" w:rsidRPr="007C14F6" w:rsidRDefault="00454FB6">
      <w:pPr>
        <w:pStyle w:val="Zkladntext"/>
        <w:spacing w:before="51"/>
        <w:ind w:left="887" w:right="882"/>
        <w:jc w:val="center"/>
        <w:rPr>
          <w:lang w:val="cs-CZ"/>
        </w:rPr>
      </w:pPr>
      <w:r w:rsidRPr="007C14F6">
        <w:rPr>
          <w:lang w:val="cs-CZ"/>
        </w:rPr>
        <w:t>Smluvní strany:</w:t>
      </w:r>
    </w:p>
    <w:p w:rsidR="00A82C59" w:rsidRPr="007C14F6" w:rsidRDefault="00A82C59">
      <w:pPr>
        <w:pStyle w:val="Zkladntext"/>
        <w:spacing w:before="51"/>
        <w:ind w:left="887" w:right="882"/>
        <w:jc w:val="center"/>
        <w:rPr>
          <w:lang w:val="cs-CZ"/>
        </w:rPr>
      </w:pP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454FB6" w:rsidP="00C15C48">
      <w:pPr>
        <w:spacing w:line="360" w:lineRule="auto"/>
        <w:ind w:left="567"/>
        <w:rPr>
          <w:b/>
          <w:sz w:val="19"/>
          <w:szCs w:val="19"/>
          <w:lang w:val="cs-CZ"/>
        </w:rPr>
      </w:pPr>
      <w:r w:rsidRPr="007C14F6">
        <w:rPr>
          <w:b/>
          <w:sz w:val="19"/>
          <w:szCs w:val="19"/>
          <w:lang w:val="cs-CZ"/>
        </w:rPr>
        <w:t>Obchodní ﬁrma: Divadlo Na zábradlí</w:t>
      </w:r>
      <w:r w:rsidR="00C15C48" w:rsidRPr="007C14F6">
        <w:rPr>
          <w:b/>
          <w:sz w:val="19"/>
          <w:szCs w:val="19"/>
          <w:lang w:val="cs-CZ"/>
        </w:rPr>
        <w:tab/>
      </w:r>
      <w:r w:rsidR="00C15C48" w:rsidRPr="007C14F6">
        <w:rPr>
          <w:b/>
          <w:sz w:val="19"/>
          <w:szCs w:val="19"/>
          <w:lang w:val="cs-CZ"/>
        </w:rPr>
        <w:tab/>
      </w:r>
      <w:r w:rsidR="00C15C48" w:rsidRPr="007C14F6">
        <w:rPr>
          <w:b/>
          <w:sz w:val="19"/>
          <w:szCs w:val="19"/>
          <w:lang w:val="cs-CZ"/>
        </w:rPr>
        <w:tab/>
        <w:t>Obchodní ﬁrma: GoOut, s.r.o.</w:t>
      </w:r>
    </w:p>
    <w:p w:rsidR="00760BBD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w w:val="105"/>
          <w:sz w:val="19"/>
          <w:szCs w:val="19"/>
          <w:lang w:val="cs-CZ"/>
        </w:rPr>
        <w:t>IČO: 00064394</w:t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w w:val="105"/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>Zapsána: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Městský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soud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v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Praze,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proofErr w:type="spellStart"/>
      <w:r w:rsidR="00C15C48" w:rsidRPr="007C14F6">
        <w:rPr>
          <w:sz w:val="19"/>
          <w:szCs w:val="19"/>
          <w:lang w:val="cs-CZ"/>
        </w:rPr>
        <w:t>sp</w:t>
      </w:r>
      <w:proofErr w:type="spellEnd"/>
      <w:r w:rsidR="00C15C48" w:rsidRPr="007C14F6">
        <w:rPr>
          <w:sz w:val="19"/>
          <w:szCs w:val="19"/>
          <w:lang w:val="cs-CZ"/>
        </w:rPr>
        <w:t>.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zn.: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>C,</w:t>
      </w:r>
      <w:r w:rsidR="00C15C48" w:rsidRPr="007C14F6">
        <w:rPr>
          <w:spacing w:val="-12"/>
          <w:sz w:val="19"/>
          <w:szCs w:val="19"/>
          <w:lang w:val="cs-CZ"/>
        </w:rPr>
        <w:t xml:space="preserve"> </w:t>
      </w:r>
      <w:r w:rsidR="00C15C48" w:rsidRPr="007C14F6">
        <w:rPr>
          <w:sz w:val="19"/>
          <w:szCs w:val="19"/>
          <w:lang w:val="cs-CZ"/>
        </w:rPr>
        <w:t xml:space="preserve">212454 </w:t>
      </w:r>
    </w:p>
    <w:p w:rsidR="001F31F9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sz w:val="19"/>
          <w:szCs w:val="19"/>
          <w:lang w:val="cs-CZ"/>
        </w:rPr>
        <w:t>Se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sídlem: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Anenské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náměstí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5,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w w:val="95"/>
          <w:sz w:val="19"/>
          <w:szCs w:val="19"/>
          <w:lang w:val="cs-CZ"/>
        </w:rPr>
        <w:t>115</w:t>
      </w:r>
      <w:r w:rsidRPr="007C14F6">
        <w:rPr>
          <w:spacing w:val="-14"/>
          <w:w w:val="95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33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Praha</w:t>
      </w:r>
      <w:r w:rsidRPr="007C14F6">
        <w:rPr>
          <w:spacing w:val="-17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 xml:space="preserve">1 </w:t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w w:val="95"/>
          <w:sz w:val="19"/>
          <w:szCs w:val="19"/>
          <w:lang w:val="cs-CZ"/>
        </w:rPr>
        <w:t>IČO:</w:t>
      </w:r>
      <w:r w:rsidR="00C15C48" w:rsidRPr="007C14F6">
        <w:rPr>
          <w:spacing w:val="-27"/>
          <w:w w:val="95"/>
          <w:sz w:val="19"/>
          <w:szCs w:val="19"/>
          <w:lang w:val="cs-CZ"/>
        </w:rPr>
        <w:t xml:space="preserve"> </w:t>
      </w:r>
      <w:r w:rsidR="00C15C48" w:rsidRPr="007C14F6">
        <w:rPr>
          <w:w w:val="95"/>
          <w:sz w:val="19"/>
          <w:szCs w:val="19"/>
          <w:lang w:val="cs-CZ"/>
        </w:rPr>
        <w:t>01901613</w:t>
      </w:r>
    </w:p>
    <w:p w:rsidR="00760BBD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sz w:val="19"/>
          <w:szCs w:val="19"/>
          <w:lang w:val="cs-CZ"/>
        </w:rPr>
        <w:t>Zastoupená: Petr</w:t>
      </w:r>
      <w:r w:rsidRPr="007C14F6">
        <w:rPr>
          <w:spacing w:val="-1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Štědroň</w:t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  <w:t xml:space="preserve">Se sídlem: Mánesova 28, 120 00 Praha 2 </w:t>
      </w:r>
    </w:p>
    <w:p w:rsidR="001F31F9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w w:val="95"/>
          <w:sz w:val="19"/>
          <w:szCs w:val="19"/>
          <w:lang w:val="cs-CZ"/>
        </w:rPr>
        <w:t>E-mail:</w:t>
      </w:r>
      <w:r w:rsidR="00B02F17" w:rsidRPr="007C14F6">
        <w:rPr>
          <w:w w:val="95"/>
          <w:sz w:val="19"/>
          <w:szCs w:val="19"/>
          <w:lang w:val="cs-CZ"/>
        </w:rPr>
        <w:t xml:space="preserve"> </w:t>
      </w:r>
      <w:hyperlink r:id="rId7">
        <w:r w:rsidRPr="007C14F6">
          <w:rPr>
            <w:w w:val="95"/>
            <w:sz w:val="19"/>
            <w:szCs w:val="19"/>
            <w:lang w:val="cs-CZ"/>
          </w:rPr>
          <w:t>stedron@nazabradli.cz</w:t>
        </w:r>
      </w:hyperlink>
      <w:r w:rsidRPr="007C14F6">
        <w:rPr>
          <w:w w:val="95"/>
          <w:sz w:val="19"/>
          <w:szCs w:val="19"/>
          <w:lang w:val="cs-CZ"/>
        </w:rPr>
        <w:t xml:space="preserve"> </w:t>
      </w:r>
      <w:r w:rsidR="00C15C48" w:rsidRPr="007C14F6">
        <w:rPr>
          <w:w w:val="95"/>
          <w:sz w:val="19"/>
          <w:szCs w:val="19"/>
          <w:lang w:val="cs-CZ"/>
        </w:rPr>
        <w:tab/>
      </w:r>
      <w:r w:rsidR="00C15C48" w:rsidRPr="007C14F6">
        <w:rPr>
          <w:w w:val="95"/>
          <w:sz w:val="19"/>
          <w:szCs w:val="19"/>
          <w:lang w:val="cs-CZ"/>
        </w:rPr>
        <w:tab/>
      </w:r>
      <w:r w:rsidR="00C15C48" w:rsidRPr="007C14F6">
        <w:rPr>
          <w:w w:val="95"/>
          <w:sz w:val="19"/>
          <w:szCs w:val="19"/>
          <w:lang w:val="cs-CZ"/>
        </w:rPr>
        <w:tab/>
      </w:r>
      <w:r w:rsidR="00C15C48" w:rsidRPr="007C14F6">
        <w:rPr>
          <w:w w:val="95"/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 xml:space="preserve">Zastoupená: Vojtěch </w:t>
      </w:r>
      <w:proofErr w:type="spellStart"/>
      <w:r w:rsidR="00C15C48" w:rsidRPr="007C14F6">
        <w:rPr>
          <w:sz w:val="19"/>
          <w:szCs w:val="19"/>
          <w:lang w:val="cs-CZ"/>
        </w:rPr>
        <w:t>Knyttl</w:t>
      </w:r>
      <w:proofErr w:type="spellEnd"/>
    </w:p>
    <w:p w:rsidR="001F31F9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sz w:val="19"/>
          <w:szCs w:val="19"/>
          <w:lang w:val="cs-CZ"/>
        </w:rPr>
        <w:t>Bankovní</w:t>
      </w:r>
      <w:r w:rsidRPr="007C14F6">
        <w:rPr>
          <w:spacing w:val="-35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účet:</w:t>
      </w:r>
      <w:r w:rsidRPr="007C14F6">
        <w:rPr>
          <w:spacing w:val="-35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 xml:space="preserve">10533011/0100 </w:t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  <w:t xml:space="preserve">E-mail: </w:t>
      </w:r>
      <w:hyperlink r:id="rId8">
        <w:r w:rsidR="00C15C48" w:rsidRPr="007C14F6">
          <w:rPr>
            <w:sz w:val="19"/>
            <w:szCs w:val="19"/>
            <w:lang w:val="cs-CZ"/>
          </w:rPr>
          <w:t>prodej@goout.cz</w:t>
        </w:r>
      </w:hyperlink>
      <w:r w:rsidR="00C15C48" w:rsidRPr="007C14F6">
        <w:rPr>
          <w:sz w:val="19"/>
          <w:szCs w:val="19"/>
          <w:lang w:val="cs-CZ"/>
        </w:rPr>
        <w:t xml:space="preserve"> </w:t>
      </w:r>
    </w:p>
    <w:p w:rsidR="00C15C48" w:rsidRPr="007C14F6" w:rsidRDefault="00454FB6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sz w:val="19"/>
          <w:szCs w:val="19"/>
          <w:lang w:val="cs-CZ"/>
        </w:rPr>
        <w:t>(dále jen „Obchodní</w:t>
      </w:r>
      <w:r w:rsidRPr="007C14F6">
        <w:rPr>
          <w:spacing w:val="36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partner“)</w:t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</w:r>
      <w:r w:rsidR="00C15C48" w:rsidRPr="007C14F6">
        <w:rPr>
          <w:sz w:val="19"/>
          <w:szCs w:val="19"/>
          <w:lang w:val="cs-CZ"/>
        </w:rPr>
        <w:tab/>
        <w:t xml:space="preserve">Bankovní účet: 2100927320/2010 </w:t>
      </w:r>
    </w:p>
    <w:p w:rsidR="00760BBD" w:rsidRPr="007C14F6" w:rsidRDefault="00C15C48" w:rsidP="00C15C48">
      <w:pPr>
        <w:spacing w:line="360" w:lineRule="auto"/>
        <w:ind w:left="567"/>
        <w:rPr>
          <w:sz w:val="19"/>
          <w:szCs w:val="19"/>
          <w:lang w:val="cs-CZ"/>
        </w:rPr>
      </w:pP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</w:r>
      <w:r w:rsidRPr="007C14F6">
        <w:rPr>
          <w:sz w:val="19"/>
          <w:szCs w:val="19"/>
          <w:lang w:val="cs-CZ"/>
        </w:rPr>
        <w:tab/>
        <w:t>(dále jen</w:t>
      </w:r>
      <w:r w:rsidRPr="007C14F6">
        <w:rPr>
          <w:spacing w:val="11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„GoOut“)</w:t>
      </w:r>
    </w:p>
    <w:p w:rsidR="001F31F9" w:rsidRPr="007C14F6" w:rsidRDefault="001F31F9">
      <w:pPr>
        <w:spacing w:line="321" w:lineRule="auto"/>
        <w:rPr>
          <w:lang w:val="cs-CZ"/>
        </w:rPr>
      </w:pPr>
    </w:p>
    <w:p w:rsidR="00760BBD" w:rsidRPr="007C14F6" w:rsidRDefault="00454FB6">
      <w:pPr>
        <w:pStyle w:val="Zkladntext"/>
        <w:spacing w:before="1" w:line="321" w:lineRule="auto"/>
        <w:ind w:left="890" w:right="882"/>
        <w:jc w:val="center"/>
        <w:rPr>
          <w:lang w:val="cs-CZ"/>
        </w:rPr>
      </w:pPr>
      <w:r w:rsidRPr="002B122A">
        <w:rPr>
          <w:lang w:val="cs-CZ"/>
        </w:rPr>
        <w:t>uzavřely níže uvedeného dne, měsíce a roku podle § 1746 odst. 2 zákona č. 89/2012 Sb., občanský zákoník, (dále jen jako „Občanský zákoník“) tuto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6A6BE9">
      <w:pPr>
        <w:pStyle w:val="Nadpis1"/>
        <w:spacing w:before="127"/>
        <w:ind w:left="887" w:right="882"/>
        <w:jc w:val="center"/>
        <w:rPr>
          <w:b/>
          <w:lang w:val="cs-CZ"/>
        </w:rPr>
      </w:pPr>
      <w:bookmarkStart w:id="0" w:name="SMLOUVU_O_SPOLUPRÁCI"/>
      <w:bookmarkEnd w:id="0"/>
      <w:r w:rsidRPr="007C14F6">
        <w:rPr>
          <w:b/>
          <w:lang w:val="cs-CZ"/>
        </w:rPr>
        <w:t xml:space="preserve">SMLOUVU </w:t>
      </w:r>
      <w:r w:rsidR="00454FB6" w:rsidRPr="007C14F6">
        <w:rPr>
          <w:b/>
          <w:lang w:val="cs-CZ"/>
        </w:rPr>
        <w:t>O</w:t>
      </w:r>
      <w:r w:rsidRPr="007C14F6">
        <w:rPr>
          <w:b/>
          <w:lang w:val="cs-CZ"/>
        </w:rPr>
        <w:t xml:space="preserve"> SPOLUPRÁC</w:t>
      </w:r>
      <w:r w:rsidR="00454FB6" w:rsidRPr="007C14F6">
        <w:rPr>
          <w:b/>
          <w:lang w:val="cs-CZ"/>
        </w:rPr>
        <w:t>I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760BBD">
      <w:pPr>
        <w:pStyle w:val="Zkladntext"/>
        <w:spacing w:before="8"/>
        <w:ind w:left="0"/>
        <w:rPr>
          <w:sz w:val="17"/>
          <w:lang w:val="cs-CZ"/>
        </w:rPr>
      </w:pPr>
    </w:p>
    <w:p w:rsidR="00760BBD" w:rsidRPr="007C14F6" w:rsidRDefault="00454FB6">
      <w:pPr>
        <w:pStyle w:val="Zkladntext"/>
        <w:ind w:left="4636"/>
        <w:rPr>
          <w:lang w:val="cs-CZ"/>
        </w:rPr>
      </w:pPr>
      <w:r w:rsidRPr="002B122A">
        <w:rPr>
          <w:lang w:val="cs-CZ"/>
        </w:rPr>
        <w:t>(dále jen „Smlouva“)</w:t>
      </w: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760BBD">
      <w:pPr>
        <w:pStyle w:val="Zkladntext"/>
        <w:spacing w:before="3"/>
        <w:ind w:left="0"/>
        <w:rPr>
          <w:lang w:val="cs-CZ"/>
        </w:rPr>
      </w:pPr>
    </w:p>
    <w:p w:rsidR="00760BBD" w:rsidRPr="007C14F6" w:rsidRDefault="00454FB6">
      <w:pPr>
        <w:pStyle w:val="Nadpis1"/>
        <w:rPr>
          <w:lang w:val="cs-CZ"/>
        </w:rPr>
      </w:pPr>
      <w:bookmarkStart w:id="1" w:name="I._ÚVODNÍ_USTANOVENÍ"/>
      <w:bookmarkEnd w:id="1"/>
      <w:r w:rsidRPr="007C14F6">
        <w:rPr>
          <w:lang w:val="cs-CZ"/>
        </w:rPr>
        <w:t>I .</w:t>
      </w:r>
      <w:r w:rsidRPr="007C14F6">
        <w:rPr>
          <w:spacing w:val="53"/>
          <w:lang w:val="cs-CZ"/>
        </w:rPr>
        <w:t xml:space="preserve"> </w:t>
      </w:r>
      <w:r w:rsidR="006A6BE9" w:rsidRPr="007C14F6">
        <w:rPr>
          <w:lang w:val="cs-CZ"/>
        </w:rPr>
        <w:t>Ú</w:t>
      </w:r>
      <w:r w:rsidR="006A6BE9" w:rsidRPr="007C14F6">
        <w:rPr>
          <w:spacing w:val="12"/>
          <w:lang w:val="cs-CZ"/>
        </w:rPr>
        <w:t>V</w:t>
      </w:r>
      <w:r w:rsidRPr="007C14F6">
        <w:rPr>
          <w:spacing w:val="12"/>
          <w:lang w:val="cs-CZ"/>
        </w:rPr>
        <w:t>O</w:t>
      </w:r>
      <w:r w:rsidR="006A6BE9" w:rsidRPr="007C14F6">
        <w:rPr>
          <w:lang w:val="cs-CZ"/>
        </w:rPr>
        <w:t>DN</w:t>
      </w:r>
      <w:r w:rsidRPr="007C14F6">
        <w:rPr>
          <w:lang w:val="cs-CZ"/>
        </w:rPr>
        <w:t>Í</w:t>
      </w:r>
      <w:r w:rsidRPr="007C14F6">
        <w:rPr>
          <w:spacing w:val="53"/>
          <w:lang w:val="cs-CZ"/>
        </w:rPr>
        <w:t xml:space="preserve"> </w:t>
      </w:r>
      <w:r w:rsidR="006A6BE9" w:rsidRPr="007C14F6">
        <w:rPr>
          <w:lang w:val="cs-CZ"/>
        </w:rPr>
        <w:t>US</w:t>
      </w:r>
      <w:r w:rsidRPr="007C14F6">
        <w:rPr>
          <w:spacing w:val="7"/>
          <w:lang w:val="cs-CZ"/>
        </w:rPr>
        <w:t>TA</w:t>
      </w:r>
      <w:r w:rsidR="006A6BE9" w:rsidRPr="007C14F6">
        <w:rPr>
          <w:lang w:val="cs-CZ"/>
        </w:rPr>
        <w:t>N</w:t>
      </w:r>
      <w:r w:rsidRPr="007C14F6">
        <w:rPr>
          <w:spacing w:val="12"/>
          <w:lang w:val="cs-CZ"/>
        </w:rPr>
        <w:t>OV</w:t>
      </w:r>
      <w:r w:rsidR="006A6BE9" w:rsidRPr="007C14F6">
        <w:rPr>
          <w:lang w:val="cs-CZ"/>
        </w:rPr>
        <w:t>EN</w:t>
      </w:r>
      <w:r w:rsidRPr="007C14F6">
        <w:rPr>
          <w:lang w:val="cs-CZ"/>
        </w:rPr>
        <w:t>Í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454FB6">
      <w:pPr>
        <w:pStyle w:val="Odstavecseseznamem"/>
        <w:numPr>
          <w:ilvl w:val="0"/>
          <w:numId w:val="4"/>
        </w:numPr>
        <w:tabs>
          <w:tab w:val="left" w:pos="527"/>
        </w:tabs>
        <w:spacing w:before="153" w:line="321" w:lineRule="auto"/>
        <w:ind w:right="202" w:hanging="208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 xml:space="preserve">Obchodní partner je pořadatelem kulturních, popř. dalších akcí – zejména koncertů, festivalů, výstav, kina, divadelních představení, workshopů, přednášek, atd. konaných v místech určených Pořadatelem (dále jen </w:t>
      </w:r>
      <w:r w:rsidRPr="007C14F6">
        <w:rPr>
          <w:spacing w:val="9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„Akce“).</w:t>
      </w:r>
    </w:p>
    <w:p w:rsidR="00760BBD" w:rsidRPr="007C14F6" w:rsidRDefault="00454FB6">
      <w:pPr>
        <w:pStyle w:val="Odstavecseseznamem"/>
        <w:numPr>
          <w:ilvl w:val="0"/>
          <w:numId w:val="4"/>
        </w:numPr>
        <w:tabs>
          <w:tab w:val="left" w:pos="527"/>
        </w:tabs>
        <w:ind w:hanging="257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GoOut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provozovatelem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internetových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stránek</w:t>
      </w:r>
      <w:r w:rsidRPr="007C14F6">
        <w:rPr>
          <w:spacing w:val="22"/>
          <w:sz w:val="19"/>
          <w:lang w:val="cs-CZ"/>
        </w:rPr>
        <w:t xml:space="preserve"> </w:t>
      </w:r>
      <w:hyperlink r:id="rId9">
        <w:r w:rsidRPr="007C14F6">
          <w:rPr>
            <w:sz w:val="19"/>
            <w:lang w:val="cs-CZ"/>
          </w:rPr>
          <w:t>www.goout.net,</w:t>
        </w:r>
      </w:hyperlink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které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obsahují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mimo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jiné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kulturní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přehled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vč.</w:t>
      </w:r>
      <w:r w:rsidRPr="007C14F6">
        <w:rPr>
          <w:spacing w:val="2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přehledu</w:t>
      </w:r>
    </w:p>
    <w:p w:rsidR="00760BBD" w:rsidRPr="007C14F6" w:rsidRDefault="00454FB6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 xml:space="preserve">o konaných Akcích (dále jen „Internetové stránky“). Prostřednictvím internetových stránek </w:t>
      </w:r>
      <w:hyperlink r:id="rId10">
        <w:r w:rsidRPr="007C14F6">
          <w:rPr>
            <w:lang w:val="cs-CZ"/>
          </w:rPr>
          <w:t>www.goout.net</w:t>
        </w:r>
      </w:hyperlink>
      <w:r w:rsidRPr="007C14F6">
        <w:rPr>
          <w:lang w:val="cs-CZ"/>
        </w:rPr>
        <w:t xml:space="preserve"> je možné zakoupit vstupenky na Akce. Smluvní strany berou na vědomí, že na internetové stránky </w:t>
      </w:r>
      <w:hyperlink r:id="rId11">
        <w:r w:rsidRPr="007C14F6">
          <w:rPr>
            <w:lang w:val="cs-CZ"/>
          </w:rPr>
          <w:t>www.goout.net</w:t>
        </w:r>
      </w:hyperlink>
      <w:r w:rsidRPr="007C14F6">
        <w:rPr>
          <w:lang w:val="cs-CZ"/>
        </w:rPr>
        <w:t xml:space="preserve"> jsou přesměrovány i další domény ve vlastnictví GoOut, jako např. </w:t>
      </w:r>
      <w:hyperlink r:id="rId12">
        <w:r w:rsidRPr="007C14F6">
          <w:rPr>
            <w:lang w:val="cs-CZ"/>
          </w:rPr>
          <w:t>www.goout.cz,</w:t>
        </w:r>
      </w:hyperlink>
      <w:r w:rsidRPr="007C14F6">
        <w:rPr>
          <w:lang w:val="cs-CZ"/>
        </w:rPr>
        <w:t xml:space="preserve"> atd.</w:t>
      </w: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6A6BE9">
      <w:pPr>
        <w:pStyle w:val="Nadpis1"/>
        <w:spacing w:before="147"/>
        <w:rPr>
          <w:lang w:val="cs-CZ"/>
        </w:rPr>
      </w:pPr>
      <w:bookmarkStart w:id="2" w:name="II._PŘEDMĚT_SMLOUVY"/>
      <w:bookmarkEnd w:id="2"/>
      <w:r w:rsidRPr="007C14F6">
        <w:rPr>
          <w:lang w:val="cs-CZ"/>
        </w:rPr>
        <w:t>I</w:t>
      </w:r>
      <w:r w:rsidR="00454FB6" w:rsidRPr="007C14F6">
        <w:rPr>
          <w:lang w:val="cs-CZ"/>
        </w:rPr>
        <w:t>I .</w:t>
      </w:r>
      <w:r w:rsidR="00454FB6" w:rsidRPr="007C14F6">
        <w:rPr>
          <w:spacing w:val="55"/>
          <w:lang w:val="cs-CZ"/>
        </w:rPr>
        <w:t xml:space="preserve"> </w:t>
      </w:r>
      <w:r w:rsidR="00454FB6" w:rsidRPr="007C14F6">
        <w:rPr>
          <w:lang w:val="cs-CZ"/>
        </w:rPr>
        <w:t>PŘ</w:t>
      </w:r>
      <w:r w:rsidRPr="007C14F6">
        <w:rPr>
          <w:lang w:val="cs-CZ"/>
        </w:rPr>
        <w:t>ED</w:t>
      </w:r>
      <w:r w:rsidR="00454FB6" w:rsidRPr="007C14F6">
        <w:rPr>
          <w:lang w:val="cs-CZ"/>
        </w:rPr>
        <w:t>MĚT</w:t>
      </w:r>
      <w:r w:rsidR="00454FB6" w:rsidRPr="007C14F6">
        <w:rPr>
          <w:spacing w:val="55"/>
          <w:lang w:val="cs-CZ"/>
        </w:rPr>
        <w:t xml:space="preserve"> </w:t>
      </w:r>
      <w:r w:rsidRPr="007C14F6">
        <w:rPr>
          <w:lang w:val="cs-CZ"/>
        </w:rPr>
        <w:t>SM</w:t>
      </w:r>
      <w:r w:rsidR="00454FB6" w:rsidRPr="007C14F6">
        <w:rPr>
          <w:spacing w:val="11"/>
          <w:lang w:val="cs-CZ"/>
        </w:rPr>
        <w:t>LO</w:t>
      </w:r>
      <w:r w:rsidRPr="007C14F6">
        <w:rPr>
          <w:lang w:val="cs-CZ"/>
        </w:rPr>
        <w:t>UV</w:t>
      </w:r>
      <w:r w:rsidR="00454FB6" w:rsidRPr="007C14F6">
        <w:rPr>
          <w:lang w:val="cs-CZ"/>
        </w:rPr>
        <w:t>Y</w:t>
      </w:r>
      <w:r w:rsidR="00BF36BC" w:rsidRPr="007C14F6">
        <w:rPr>
          <w:lang w:val="cs-CZ"/>
        </w:rPr>
        <w:t xml:space="preserve"> A DOBA PLATNOSTI 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454FB6">
      <w:pPr>
        <w:pStyle w:val="Odstavecseseznamem"/>
        <w:numPr>
          <w:ilvl w:val="0"/>
          <w:numId w:val="3"/>
        </w:numPr>
        <w:tabs>
          <w:tab w:val="left" w:pos="527"/>
        </w:tabs>
        <w:spacing w:before="141" w:line="321" w:lineRule="auto"/>
        <w:ind w:right="218" w:hanging="208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 xml:space="preserve">Obchodní partner se s GoOut dohodli na tom, že GoOut bude prostřednictvím Prodejní sítě, která zahrnuje zejména internetové stránky </w:t>
      </w:r>
      <w:hyperlink r:id="rId13">
        <w:r w:rsidRPr="007C14F6">
          <w:rPr>
            <w:sz w:val="19"/>
            <w:lang w:val="cs-CZ"/>
          </w:rPr>
          <w:t>www.goout.net</w:t>
        </w:r>
      </w:hyperlink>
      <w:r w:rsidRPr="007C14F6">
        <w:rPr>
          <w:sz w:val="19"/>
          <w:lang w:val="cs-CZ"/>
        </w:rPr>
        <w:t xml:space="preserve"> či internetové stránky, které na </w:t>
      </w:r>
      <w:hyperlink r:id="rId14">
        <w:r w:rsidRPr="007C14F6">
          <w:rPr>
            <w:sz w:val="19"/>
            <w:lang w:val="cs-CZ"/>
          </w:rPr>
          <w:t>www.goout.net</w:t>
        </w:r>
      </w:hyperlink>
      <w:r w:rsidRPr="007C14F6">
        <w:rPr>
          <w:sz w:val="19"/>
          <w:lang w:val="cs-CZ"/>
        </w:rPr>
        <w:t xml:space="preserve"> přesměrují, prodejní místa GoOut případně prodejní místa smluvních partnerů GoOut, a to vč. kamenných prodejen, internetové stránky a/nebo jiné aplikace smluvních partnerů GoOut (dále jen „Prodejní síť“) jménem a na účet Obchodního partnera prodávat Vstupenky na Akce pořádané Obchodním</w:t>
      </w:r>
      <w:r w:rsidRPr="007C14F6">
        <w:rPr>
          <w:spacing w:val="4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partnerem.</w:t>
      </w:r>
      <w:r w:rsidR="008756FB" w:rsidRPr="007C14F6">
        <w:rPr>
          <w:sz w:val="19"/>
          <w:lang w:val="cs-CZ"/>
        </w:rPr>
        <w:t xml:space="preserve"> Tato </w:t>
      </w:r>
      <w:r w:rsidR="008756FB" w:rsidRPr="007C14F6">
        <w:rPr>
          <w:rFonts w:eastAsia="Times New Roman"/>
          <w:sz w:val="19"/>
          <w:szCs w:val="19"/>
          <w:lang w:val="cs-CZ" w:eastAsia="cs-CZ"/>
        </w:rPr>
        <w:t>Smlouva o spolupráci se uzavírá na dobu určitou do doby ukončení Akcí - (pořádání divadelních představen</w:t>
      </w:r>
      <w:r w:rsidR="00E1475F" w:rsidRPr="007C14F6">
        <w:rPr>
          <w:rFonts w:eastAsia="Times New Roman"/>
          <w:sz w:val="19"/>
          <w:szCs w:val="19"/>
          <w:lang w:val="cs-CZ" w:eastAsia="cs-CZ"/>
        </w:rPr>
        <w:t>í</w:t>
      </w:r>
      <w:r w:rsidR="008756FB" w:rsidRPr="007C14F6">
        <w:rPr>
          <w:rFonts w:eastAsia="Times New Roman"/>
          <w:sz w:val="19"/>
          <w:szCs w:val="19"/>
          <w:lang w:val="cs-CZ" w:eastAsia="cs-CZ"/>
        </w:rPr>
        <w:t xml:space="preserve">) -  </w:t>
      </w:r>
      <w:r w:rsidR="00BF36BC" w:rsidRPr="007C14F6">
        <w:rPr>
          <w:rFonts w:eastAsia="Times New Roman"/>
          <w:sz w:val="19"/>
          <w:szCs w:val="19"/>
          <w:lang w:val="cs-CZ" w:eastAsia="cs-CZ"/>
        </w:rPr>
        <w:t xml:space="preserve">Obchodním partnerem </w:t>
      </w:r>
      <w:r w:rsidR="008756FB" w:rsidRPr="007C14F6">
        <w:rPr>
          <w:rFonts w:eastAsia="Times New Roman"/>
          <w:sz w:val="19"/>
          <w:szCs w:val="19"/>
          <w:lang w:val="cs-CZ" w:eastAsia="cs-CZ"/>
        </w:rPr>
        <w:t>v Divadle Komedie (předpokládaný termín ukončení Akcí je 30.9.2017</w:t>
      </w:r>
    </w:p>
    <w:p w:rsidR="00760BBD" w:rsidRPr="007C14F6" w:rsidRDefault="00454FB6">
      <w:pPr>
        <w:pStyle w:val="Odstavecseseznamem"/>
        <w:numPr>
          <w:ilvl w:val="0"/>
          <w:numId w:val="3"/>
        </w:numPr>
        <w:tabs>
          <w:tab w:val="left" w:pos="527"/>
        </w:tabs>
        <w:ind w:hanging="257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Obchodní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partner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bere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na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vědomí,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že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rozsah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Prodejní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sítě,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konkrétně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okruh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kamenných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prodejen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dalších</w:t>
      </w:r>
      <w:r w:rsidRPr="007C14F6">
        <w:rPr>
          <w:spacing w:val="2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smluvních</w:t>
      </w:r>
    </w:p>
    <w:p w:rsidR="00760BBD" w:rsidRPr="007C14F6" w:rsidRDefault="00454FB6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 xml:space="preserve">partnerů GoOut, se může v průběhu trvání této Smlouvy měnit. GoOut je oprávněn rozsah Prodejní sítě upravovat, a to i tak, že Vstupenky bude prodávat pouze prostřednictvím internetových stránek </w:t>
      </w:r>
      <w:hyperlink r:id="rId15">
        <w:r w:rsidRPr="007C14F6">
          <w:rPr>
            <w:lang w:val="cs-CZ"/>
          </w:rPr>
          <w:t>www.goout.net.</w:t>
        </w:r>
      </w:hyperlink>
      <w:r w:rsidRPr="007C14F6">
        <w:rPr>
          <w:lang w:val="cs-CZ"/>
        </w:rPr>
        <w:t xml:space="preserve"> </w:t>
      </w:r>
      <w:r w:rsidRPr="007C14F6">
        <w:rPr>
          <w:spacing w:val="-5"/>
          <w:lang w:val="cs-CZ"/>
        </w:rPr>
        <w:t xml:space="preserve">Tato </w:t>
      </w:r>
      <w:r w:rsidRPr="002B122A">
        <w:rPr>
          <w:lang w:val="cs-CZ"/>
        </w:rPr>
        <w:t>skutečnost nemá   vliv na platnost a účinnost této Smlouvy, ani na výši sjednané odměny GoOut za prodej Vstupenek a Obchodní partner jí nepovažuje za okolnost podstatnou pro uzavření a trvání této</w:t>
      </w:r>
      <w:r w:rsidRPr="002B122A">
        <w:rPr>
          <w:spacing w:val="42"/>
          <w:lang w:val="cs-CZ"/>
        </w:rPr>
        <w:t xml:space="preserve"> </w:t>
      </w:r>
      <w:r w:rsidRPr="002B122A">
        <w:rPr>
          <w:lang w:val="cs-CZ"/>
        </w:rPr>
        <w:t>Smlouvy.</w:t>
      </w:r>
    </w:p>
    <w:p w:rsidR="00760BBD" w:rsidRPr="007C14F6" w:rsidRDefault="00454FB6" w:rsidP="006D419F">
      <w:pPr>
        <w:pStyle w:val="Odstavecseseznamem"/>
        <w:numPr>
          <w:ilvl w:val="0"/>
          <w:numId w:val="3"/>
        </w:numPr>
        <w:tabs>
          <w:tab w:val="left" w:pos="527"/>
        </w:tabs>
        <w:spacing w:line="276" w:lineRule="auto"/>
        <w:ind w:right="207" w:hanging="251"/>
        <w:jc w:val="both"/>
        <w:rPr>
          <w:sz w:val="19"/>
          <w:szCs w:val="19"/>
          <w:lang w:val="cs-CZ"/>
        </w:rPr>
      </w:pPr>
      <w:proofErr w:type="gramStart"/>
      <w:r w:rsidRPr="007C14F6">
        <w:rPr>
          <w:sz w:val="19"/>
          <w:lang w:val="cs-CZ"/>
        </w:rPr>
        <w:t xml:space="preserve">Práva a  </w:t>
      </w:r>
      <w:r w:rsidRPr="007C14F6">
        <w:rPr>
          <w:sz w:val="19"/>
          <w:szCs w:val="19"/>
          <w:lang w:val="cs-CZ"/>
        </w:rPr>
        <w:t>povinnosti</w:t>
      </w:r>
      <w:proofErr w:type="gramEnd"/>
      <w:r w:rsidRPr="007C14F6">
        <w:rPr>
          <w:sz w:val="19"/>
          <w:szCs w:val="19"/>
          <w:lang w:val="cs-CZ"/>
        </w:rPr>
        <w:t xml:space="preserve"> smluvních  stran</w:t>
      </w:r>
      <w:r w:rsidR="00496A5F" w:rsidRPr="007C14F6">
        <w:rPr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 xml:space="preserve">jsou </w:t>
      </w:r>
      <w:r w:rsidR="00D94A57" w:rsidRPr="007C14F6">
        <w:rPr>
          <w:sz w:val="19"/>
          <w:szCs w:val="19"/>
          <w:lang w:val="cs-CZ"/>
        </w:rPr>
        <w:t xml:space="preserve">dále </w:t>
      </w:r>
      <w:r w:rsidRPr="007C14F6">
        <w:rPr>
          <w:sz w:val="19"/>
          <w:szCs w:val="19"/>
          <w:lang w:val="cs-CZ"/>
        </w:rPr>
        <w:t xml:space="preserve">upravena  v Obchodních  podmínkách společnosti  GoOut, </w:t>
      </w:r>
      <w:r w:rsidRPr="007C14F6">
        <w:rPr>
          <w:spacing w:val="-4"/>
          <w:sz w:val="19"/>
          <w:szCs w:val="19"/>
          <w:lang w:val="cs-CZ"/>
        </w:rPr>
        <w:t xml:space="preserve">s.r.o.  </w:t>
      </w:r>
      <w:r w:rsidRPr="007C14F6">
        <w:rPr>
          <w:sz w:val="19"/>
          <w:szCs w:val="19"/>
          <w:lang w:val="cs-CZ"/>
        </w:rPr>
        <w:t xml:space="preserve">pro  </w:t>
      </w:r>
      <w:r w:rsidRPr="007C14F6">
        <w:rPr>
          <w:spacing w:val="21"/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>obchodní</w:t>
      </w:r>
      <w:r w:rsidR="005B4A18" w:rsidRPr="007C14F6">
        <w:rPr>
          <w:sz w:val="19"/>
          <w:szCs w:val="19"/>
          <w:lang w:val="cs-CZ"/>
        </w:rPr>
        <w:t xml:space="preserve"> </w:t>
      </w:r>
      <w:r w:rsidRPr="007C14F6">
        <w:rPr>
          <w:sz w:val="19"/>
          <w:szCs w:val="19"/>
          <w:lang w:val="cs-CZ"/>
        </w:rPr>
        <w:t xml:space="preserve">partnery (dále jen „Obchodní podmínky“), které tvoří součást této Smlouvy a které jsou zveřejněny na internetových stránkách </w:t>
      </w:r>
      <w:hyperlink r:id="rId16" w:history="1">
        <w:r w:rsidR="001C243A" w:rsidRPr="007C14F6">
          <w:rPr>
            <w:rStyle w:val="Hypertextovodkaz"/>
            <w:sz w:val="19"/>
            <w:szCs w:val="19"/>
            <w:lang w:val="cs-CZ"/>
          </w:rPr>
          <w:t>https://goout.net/cs/obchodni-podminky-pro-obchodni-partnery/</w:t>
        </w:r>
      </w:hyperlink>
      <w:r w:rsidRPr="007C14F6">
        <w:rPr>
          <w:sz w:val="19"/>
          <w:szCs w:val="19"/>
          <w:lang w:val="cs-CZ"/>
        </w:rPr>
        <w:t>. Obchodní partner podpisem této Smlouvy výslovně potvrzuje, že se s obsahem Obchodních podmínek seznámil a s jejich zněním souhlasí.</w:t>
      </w:r>
    </w:p>
    <w:p w:rsidR="00760BBD" w:rsidRPr="007C14F6" w:rsidRDefault="00454FB6" w:rsidP="005B4A18">
      <w:pPr>
        <w:pStyle w:val="Odstavecseseznamem"/>
        <w:numPr>
          <w:ilvl w:val="0"/>
          <w:numId w:val="3"/>
        </w:numPr>
        <w:tabs>
          <w:tab w:val="left" w:pos="527"/>
        </w:tabs>
        <w:spacing w:line="276" w:lineRule="auto"/>
        <w:ind w:hanging="251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GoOut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oprávněn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jednostranně</w:t>
      </w:r>
      <w:r w:rsidRPr="007C14F6">
        <w:rPr>
          <w:spacing w:val="1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změnit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Obchodní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podmínky.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pacing w:val="-5"/>
          <w:sz w:val="19"/>
          <w:lang w:val="cs-CZ"/>
        </w:rPr>
        <w:t>Tato</w:t>
      </w:r>
      <w:r w:rsidRPr="007C14F6">
        <w:rPr>
          <w:spacing w:val="1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změna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účinná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od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pacing w:val="-10"/>
          <w:sz w:val="19"/>
          <w:lang w:val="cs-CZ"/>
        </w:rPr>
        <w:t>7.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dne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doručení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oznámení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</w:t>
      </w:r>
    </w:p>
    <w:p w:rsidR="00760BBD" w:rsidRPr="007C14F6" w:rsidRDefault="00454FB6">
      <w:pPr>
        <w:pStyle w:val="Zkladntext"/>
        <w:spacing w:before="51" w:line="321" w:lineRule="auto"/>
        <w:ind w:right="218"/>
        <w:jc w:val="both"/>
        <w:rPr>
          <w:lang w:val="cs-CZ"/>
        </w:rPr>
      </w:pPr>
      <w:r w:rsidRPr="002B122A">
        <w:rPr>
          <w:w w:val="105"/>
          <w:lang w:val="cs-CZ"/>
        </w:rPr>
        <w:t>změně Obchodních podmínek Obchodnímu partnerovi a zveřejnění nového znění Obchodních podmínek na internetových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stránkách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uvedených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v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předchozím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odstavci,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ledaže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Obchodní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partner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do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spacing w:val="-10"/>
          <w:w w:val="105"/>
          <w:lang w:val="cs-CZ"/>
        </w:rPr>
        <w:t>7.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dne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od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doručení</w:t>
      </w:r>
      <w:r w:rsidRPr="002B122A">
        <w:rPr>
          <w:spacing w:val="-22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oznámení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 změně</w:t>
      </w:r>
      <w:r w:rsidRPr="002B122A">
        <w:rPr>
          <w:spacing w:val="-27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Obchodních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podmínek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tuto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Smlouvu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vypoví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dle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následující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spacing w:val="-3"/>
          <w:w w:val="105"/>
          <w:lang w:val="cs-CZ"/>
        </w:rPr>
        <w:t>věty.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Pokud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Obchodní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partner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nesouhlasí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se</w:t>
      </w:r>
      <w:r w:rsidRPr="002B122A">
        <w:rPr>
          <w:spacing w:val="-26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 xml:space="preserve">změnou Obchodních podmínek, je oprávněn tuto Smlouvu vypovědět, a to do 7 (sedmi) dnů ode dne doručení oznámení o </w:t>
      </w:r>
      <w:r w:rsidRPr="002B122A">
        <w:rPr>
          <w:w w:val="105"/>
          <w:lang w:val="cs-CZ"/>
        </w:rPr>
        <w:lastRenderedPageBreak/>
        <w:t>změně</w:t>
      </w:r>
      <w:r w:rsidRPr="002B122A">
        <w:rPr>
          <w:spacing w:val="-23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Obchodních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podmínek.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Výpovědní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doba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je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14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(čtrnácti)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dnů</w:t>
      </w:r>
      <w:r w:rsidRPr="002B122A">
        <w:rPr>
          <w:spacing w:val="-23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a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počíná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běžet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ode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dne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doručení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písemné</w:t>
      </w:r>
      <w:r w:rsidRPr="002B122A">
        <w:rPr>
          <w:spacing w:val="-21"/>
          <w:w w:val="105"/>
          <w:lang w:val="cs-CZ"/>
        </w:rPr>
        <w:t xml:space="preserve"> </w:t>
      </w:r>
      <w:r w:rsidRPr="002B122A">
        <w:rPr>
          <w:w w:val="105"/>
          <w:lang w:val="cs-CZ"/>
        </w:rPr>
        <w:t>výpovědi</w:t>
      </w:r>
      <w:r w:rsidR="00725D10" w:rsidRPr="002B122A">
        <w:rPr>
          <w:lang w:val="cs-CZ"/>
        </w:rPr>
        <w:t xml:space="preserve"> </w:t>
      </w:r>
      <w:r w:rsidRPr="002B122A">
        <w:rPr>
          <w:lang w:val="cs-CZ"/>
        </w:rPr>
        <w:t xml:space="preserve">GoOut. Oznámení o změně Obchodních podmínek je možné zaslat Obchodnímu partnerovi též e-mailem na e-mailovou adresu uvedenou v záhlaví této Smlouvy. V takovém případě se za okamžik doručení oznámení o změně Obchodních podmínek považuje den následující po dni odeslání oznámení z e-mailové adresy GoOut uvedené v záhlaví  této Smlouvy. Obchodní partner tímto přebírá veškeré riziko funkčnosti jeho e-mailové schránky a není oprávněn namítat, že mu nebylo oznámení o změně Obchodních podmínek doručeno z jakýchkoliv technických či administrativních důvodů, které by vznikly na straně </w:t>
      </w:r>
      <w:r w:rsidR="006D419F" w:rsidRPr="002B122A">
        <w:rPr>
          <w:lang w:val="cs-CZ"/>
        </w:rPr>
        <w:t>O</w:t>
      </w:r>
      <w:r w:rsidRPr="002B122A">
        <w:rPr>
          <w:lang w:val="cs-CZ"/>
        </w:rPr>
        <w:t xml:space="preserve">bchodního partnera. V případě, že Obchodní partner vypoví tuto Smlouvu dle tohoto odstavce z důvodu jednostranné změny Obchodních podmínek, avšak práva a závazky vzniklé před vypovězením této Smlouvy nebudou v době ukončení této Smlouvy vypořádána, Smluvní strany je vypořádají v souladu s touto Smlouvou a zněním Obchodních podmínek účinném před změnou, která byla důvodem pro výpověď této </w:t>
      </w:r>
      <w:r w:rsidRPr="002B122A">
        <w:rPr>
          <w:spacing w:val="7"/>
          <w:lang w:val="cs-CZ"/>
        </w:rPr>
        <w:t xml:space="preserve"> </w:t>
      </w:r>
      <w:r w:rsidRPr="002B122A">
        <w:rPr>
          <w:lang w:val="cs-CZ"/>
        </w:rPr>
        <w:t>Smlouvy.</w:t>
      </w:r>
    </w:p>
    <w:p w:rsidR="00760BBD" w:rsidRPr="007C14F6" w:rsidRDefault="00454FB6">
      <w:pPr>
        <w:pStyle w:val="Odstavecseseznamem"/>
        <w:numPr>
          <w:ilvl w:val="0"/>
          <w:numId w:val="3"/>
        </w:numPr>
        <w:tabs>
          <w:tab w:val="left" w:pos="527"/>
        </w:tabs>
        <w:ind w:hanging="257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Obchodní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partner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dále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bere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na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vědomí,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že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práva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povinnosti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GoOut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kupujících,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kteří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si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prostřednictvím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internetových</w:t>
      </w:r>
    </w:p>
    <w:p w:rsidR="00760BBD" w:rsidRPr="007C14F6" w:rsidRDefault="00454FB6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 xml:space="preserve">stránek </w:t>
      </w:r>
      <w:hyperlink r:id="rId17">
        <w:r w:rsidRPr="007C14F6">
          <w:rPr>
            <w:lang w:val="cs-CZ"/>
          </w:rPr>
          <w:t>www.goout.net</w:t>
        </w:r>
      </w:hyperlink>
      <w:r w:rsidRPr="007C14F6">
        <w:rPr>
          <w:lang w:val="cs-CZ"/>
        </w:rPr>
        <w:t xml:space="preserve"> kupují Vstupenky, jsou upraveny v Obchodních podmínkách a reklamačním řádu, které jsou zveřejněny na internetových stránkách https://goout.net/cs/obchodni-podminky/, a Obchodní partner se s nimi seznámil    a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souhlasí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s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tím,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aby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GoOut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uzavírala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jeho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jménem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a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na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jeho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účet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smluvní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vztahy</w:t>
      </w:r>
      <w:r w:rsidRPr="002B122A">
        <w:rPr>
          <w:spacing w:val="-2"/>
          <w:lang w:val="cs-CZ"/>
        </w:rPr>
        <w:t xml:space="preserve"> </w:t>
      </w:r>
      <w:r w:rsidRPr="002B122A">
        <w:rPr>
          <w:lang w:val="cs-CZ"/>
        </w:rPr>
        <w:t>se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zákazníky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s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tímto</w:t>
      </w:r>
      <w:r w:rsidRPr="002B122A">
        <w:rPr>
          <w:spacing w:val="-3"/>
          <w:lang w:val="cs-CZ"/>
        </w:rPr>
        <w:t xml:space="preserve"> </w:t>
      </w:r>
      <w:r w:rsidRPr="002B122A">
        <w:rPr>
          <w:lang w:val="cs-CZ"/>
        </w:rPr>
        <w:t>obsahem.</w:t>
      </w: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6A6BE9">
      <w:pPr>
        <w:pStyle w:val="Nadpis1"/>
        <w:spacing w:before="147"/>
        <w:rPr>
          <w:lang w:val="cs-CZ"/>
        </w:rPr>
      </w:pPr>
      <w:bookmarkStart w:id="3" w:name="III._ODMĚNA_GOOUT_ZA_PRODEJ_VSTUPENEK_A_"/>
      <w:bookmarkEnd w:id="3"/>
      <w:r w:rsidRPr="007C14F6">
        <w:rPr>
          <w:lang w:val="cs-CZ"/>
        </w:rPr>
        <w:t>III . OD</w:t>
      </w:r>
      <w:r w:rsidR="00454FB6" w:rsidRPr="007C14F6">
        <w:rPr>
          <w:lang w:val="cs-CZ"/>
        </w:rPr>
        <w:t>MĚ</w:t>
      </w:r>
      <w:r w:rsidRPr="007C14F6">
        <w:rPr>
          <w:lang w:val="cs-CZ"/>
        </w:rPr>
        <w:t>NA GOOUT ZA PRODEJ</w:t>
      </w:r>
      <w:r w:rsidR="006D419F" w:rsidRPr="007C14F6">
        <w:rPr>
          <w:lang w:val="cs-CZ"/>
        </w:rPr>
        <w:t xml:space="preserve"> </w:t>
      </w:r>
      <w:r w:rsidRPr="007C14F6">
        <w:rPr>
          <w:lang w:val="cs-CZ"/>
        </w:rPr>
        <w:t>VSTUPENEK A JEJÍ SPLATNOS</w:t>
      </w:r>
      <w:r w:rsidR="00454FB6" w:rsidRPr="007C14F6">
        <w:rPr>
          <w:lang w:val="cs-CZ"/>
        </w:rPr>
        <w:t>T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454FB6">
      <w:pPr>
        <w:pStyle w:val="Odstavecseseznamem"/>
        <w:numPr>
          <w:ilvl w:val="0"/>
          <w:numId w:val="2"/>
        </w:numPr>
        <w:tabs>
          <w:tab w:val="left" w:pos="527"/>
        </w:tabs>
        <w:spacing w:before="141" w:line="321" w:lineRule="auto"/>
        <w:ind w:right="218" w:hanging="208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Smluvní strany se dohodly, že Obchodní partner uhradí GoOut za prodej Vstupenek a služby poskytnuté dle této  Smlouvy odměnu ve výši sjednané v tomto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článku.</w:t>
      </w:r>
    </w:p>
    <w:p w:rsidR="00760BBD" w:rsidRPr="007C14F6" w:rsidRDefault="00454FB6">
      <w:pPr>
        <w:pStyle w:val="Odstavecseseznamem"/>
        <w:numPr>
          <w:ilvl w:val="0"/>
          <w:numId w:val="2"/>
        </w:numPr>
        <w:tabs>
          <w:tab w:val="left" w:pos="527"/>
        </w:tabs>
        <w:ind w:hanging="257"/>
        <w:rPr>
          <w:sz w:val="19"/>
          <w:lang w:val="cs-CZ"/>
        </w:rPr>
      </w:pPr>
      <w:proofErr w:type="gramStart"/>
      <w:r w:rsidRPr="007C14F6">
        <w:rPr>
          <w:sz w:val="19"/>
          <w:lang w:val="cs-CZ"/>
        </w:rPr>
        <w:t>Obchodní  partner</w:t>
      </w:r>
      <w:proofErr w:type="gramEnd"/>
      <w:r w:rsidRPr="007C14F6">
        <w:rPr>
          <w:sz w:val="19"/>
          <w:lang w:val="cs-CZ"/>
        </w:rPr>
        <w:t xml:space="preserve">  se  zavazuje  uhradit  </w:t>
      </w:r>
      <w:proofErr w:type="spellStart"/>
      <w:r w:rsidRPr="007C14F6">
        <w:rPr>
          <w:sz w:val="19"/>
          <w:lang w:val="cs-CZ"/>
        </w:rPr>
        <w:t>Go</w:t>
      </w:r>
      <w:r w:rsidR="004E3102">
        <w:rPr>
          <w:sz w:val="19"/>
          <w:lang w:val="cs-CZ"/>
        </w:rPr>
        <w:t>Out</w:t>
      </w:r>
      <w:proofErr w:type="spellEnd"/>
      <w:r w:rsidR="004E3102">
        <w:rPr>
          <w:sz w:val="19"/>
          <w:lang w:val="cs-CZ"/>
        </w:rPr>
        <w:t xml:space="preserve">  odměnu  </w:t>
      </w:r>
      <w:r w:rsidRPr="007C14F6">
        <w:rPr>
          <w:sz w:val="19"/>
          <w:lang w:val="cs-CZ"/>
        </w:rPr>
        <w:t xml:space="preserve">z  kupní  ceny  všech  Vstupenek </w:t>
      </w:r>
      <w:r w:rsidRPr="007C14F6">
        <w:rPr>
          <w:spacing w:val="2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prodaných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prostřednictvím Prodejní sítě. K odměně sjednané v tomto odstavci bude připočtena DPH v zákonem stanovené výši.</w:t>
      </w:r>
    </w:p>
    <w:p w:rsidR="00760BBD" w:rsidRPr="007C14F6" w:rsidRDefault="00454FB6">
      <w:pPr>
        <w:pStyle w:val="Odstavecseseznamem"/>
        <w:numPr>
          <w:ilvl w:val="0"/>
          <w:numId w:val="2"/>
        </w:numPr>
        <w:tabs>
          <w:tab w:val="left" w:pos="527"/>
        </w:tabs>
        <w:spacing w:before="24" w:line="321" w:lineRule="auto"/>
        <w:ind w:right="229" w:hanging="251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Obchodní partner se zavazuje navíc dále k odměně sjednané v předchozím odstavci uhradit</w:t>
      </w:r>
      <w:r w:rsidR="004E3102">
        <w:rPr>
          <w:sz w:val="19"/>
          <w:lang w:val="cs-CZ"/>
        </w:rPr>
        <w:t xml:space="preserve"> GoOut paušální částku ve </w:t>
      </w:r>
      <w:r w:rsidRPr="007C14F6">
        <w:rPr>
          <w:sz w:val="19"/>
          <w:lang w:val="cs-CZ"/>
        </w:rPr>
        <w:t>měsíčně za každý započatý měsíc užívání pokladního software GoOut</w:t>
      </w:r>
      <w:r w:rsidR="00430AF1" w:rsidRPr="007C14F6">
        <w:rPr>
          <w:sz w:val="19"/>
          <w:lang w:val="cs-CZ"/>
        </w:rPr>
        <w:t xml:space="preserve"> a za každý započatý měsíc užívání 3 ks čteček zapůjčených Pořadateli dle čl.</w:t>
      </w:r>
      <w:r w:rsidR="00E73911" w:rsidRPr="007C14F6">
        <w:rPr>
          <w:sz w:val="19"/>
          <w:lang w:val="cs-CZ"/>
        </w:rPr>
        <w:t xml:space="preserve"> </w:t>
      </w:r>
      <w:r w:rsidR="00430AF1" w:rsidRPr="007C14F6">
        <w:rPr>
          <w:sz w:val="19"/>
          <w:lang w:val="cs-CZ"/>
        </w:rPr>
        <w:t>IV</w:t>
      </w:r>
      <w:r w:rsidRPr="007C14F6">
        <w:rPr>
          <w:sz w:val="19"/>
          <w:lang w:val="cs-CZ"/>
        </w:rPr>
        <w:t>.</w:t>
      </w:r>
      <w:r w:rsidR="00E73911" w:rsidRPr="007C14F6">
        <w:rPr>
          <w:sz w:val="19"/>
          <w:lang w:val="cs-CZ"/>
        </w:rPr>
        <w:t xml:space="preserve"> </w:t>
      </w:r>
      <w:r w:rsidR="00E31C59" w:rsidRPr="007C14F6">
        <w:rPr>
          <w:sz w:val="19"/>
          <w:lang w:val="cs-CZ"/>
        </w:rPr>
        <w:t xml:space="preserve">této Smlouvy. </w:t>
      </w:r>
      <w:r w:rsidR="00430AF1" w:rsidRPr="007C14F6">
        <w:rPr>
          <w:sz w:val="19"/>
          <w:lang w:val="cs-CZ"/>
        </w:rPr>
        <w:t xml:space="preserve">Pokladní software </w:t>
      </w:r>
      <w:r w:rsidRPr="007C14F6">
        <w:rPr>
          <w:sz w:val="19"/>
          <w:lang w:val="cs-CZ"/>
        </w:rPr>
        <w:t>je Obchodnímu partnerovi dostupný na základě přístupových údajů do online pokladního rozhraní. K odměně sjednané v tomto odstavci bude připočtena DPH v zákonem stanovené</w:t>
      </w:r>
      <w:r w:rsidRPr="007C14F6">
        <w:rPr>
          <w:spacing w:val="48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výši.</w:t>
      </w:r>
    </w:p>
    <w:p w:rsidR="00760BBD" w:rsidRPr="007C14F6" w:rsidRDefault="00454FB6">
      <w:pPr>
        <w:pStyle w:val="Odstavecseseznamem"/>
        <w:numPr>
          <w:ilvl w:val="0"/>
          <w:numId w:val="2"/>
        </w:numPr>
        <w:tabs>
          <w:tab w:val="left" w:pos="527"/>
        </w:tabs>
        <w:ind w:hanging="251"/>
        <w:rPr>
          <w:sz w:val="19"/>
          <w:lang w:val="cs-CZ"/>
        </w:rPr>
      </w:pPr>
      <w:r w:rsidRPr="007C14F6">
        <w:rPr>
          <w:sz w:val="19"/>
          <w:lang w:val="cs-CZ"/>
        </w:rPr>
        <w:t>Kromě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odměny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sjednané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předchozím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odstavci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se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Obchodní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partner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zavazuje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uhradit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částky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sjednané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čl.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pacing w:val="-6"/>
          <w:sz w:val="19"/>
          <w:lang w:val="cs-CZ"/>
        </w:rPr>
        <w:t>IV.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Smlouvy, které představují</w:t>
      </w:r>
      <w:r w:rsidR="00430AF1" w:rsidRPr="002B122A">
        <w:rPr>
          <w:lang w:val="cs-CZ"/>
        </w:rPr>
        <w:t xml:space="preserve"> cenu za tisk Vstupenek</w:t>
      </w:r>
      <w:r w:rsidRPr="002B122A">
        <w:rPr>
          <w:lang w:val="cs-CZ"/>
        </w:rPr>
        <w:t>.</w:t>
      </w:r>
    </w:p>
    <w:p w:rsidR="00760BBD" w:rsidRPr="007C14F6" w:rsidRDefault="00454FB6">
      <w:pPr>
        <w:pStyle w:val="Odstavecseseznamem"/>
        <w:numPr>
          <w:ilvl w:val="0"/>
          <w:numId w:val="2"/>
        </w:numPr>
        <w:tabs>
          <w:tab w:val="left" w:pos="527"/>
        </w:tabs>
        <w:spacing w:before="24" w:line="321" w:lineRule="auto"/>
        <w:ind w:right="224" w:hanging="257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Obchodní partner se zavazuje účtovat o odměně GoOut v souladu s právními předpisy a podle návodu pro zaúčtování odměny umístěného na internetových stránkách https://goout.net/cs/zauctovani/.</w:t>
      </w: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6A6BE9">
      <w:pPr>
        <w:pStyle w:val="Nadpis1"/>
        <w:spacing w:before="150"/>
        <w:rPr>
          <w:lang w:val="cs-CZ"/>
        </w:rPr>
      </w:pPr>
      <w:bookmarkStart w:id="4" w:name="IV._DALŠÍ_UJEDNÁNÍ"/>
      <w:bookmarkEnd w:id="4"/>
      <w:r w:rsidRPr="007C14F6">
        <w:rPr>
          <w:lang w:val="cs-CZ"/>
        </w:rPr>
        <w:t>I</w:t>
      </w:r>
      <w:r w:rsidR="00454FB6" w:rsidRPr="007C14F6">
        <w:rPr>
          <w:spacing w:val="4"/>
          <w:lang w:val="cs-CZ"/>
        </w:rPr>
        <w:t xml:space="preserve">V. </w:t>
      </w:r>
      <w:r w:rsidR="00454FB6" w:rsidRPr="007C14F6">
        <w:rPr>
          <w:spacing w:val="11"/>
          <w:lang w:val="cs-CZ"/>
        </w:rPr>
        <w:t>DA</w:t>
      </w:r>
      <w:r w:rsidRPr="007C14F6">
        <w:rPr>
          <w:lang w:val="cs-CZ"/>
        </w:rPr>
        <w:t>LŠ</w:t>
      </w:r>
      <w:r w:rsidR="00454FB6" w:rsidRPr="007C14F6">
        <w:rPr>
          <w:lang w:val="cs-CZ"/>
        </w:rPr>
        <w:t>Í</w:t>
      </w:r>
      <w:r w:rsidR="00454FB6" w:rsidRPr="007C14F6">
        <w:rPr>
          <w:spacing w:val="50"/>
          <w:lang w:val="cs-CZ"/>
        </w:rPr>
        <w:t xml:space="preserve"> </w:t>
      </w:r>
      <w:r w:rsidR="00454FB6" w:rsidRPr="007C14F6">
        <w:rPr>
          <w:spacing w:val="12"/>
          <w:lang w:val="cs-CZ"/>
        </w:rPr>
        <w:t>UJ</w:t>
      </w:r>
      <w:r w:rsidRPr="007C14F6">
        <w:rPr>
          <w:lang w:val="cs-CZ"/>
        </w:rPr>
        <w:t>EDNÁN</w:t>
      </w:r>
      <w:r w:rsidR="00454FB6" w:rsidRPr="007C14F6">
        <w:rPr>
          <w:lang w:val="cs-CZ"/>
        </w:rPr>
        <w:t>Í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454FB6">
      <w:pPr>
        <w:pStyle w:val="Odstavecseseznamem"/>
        <w:numPr>
          <w:ilvl w:val="0"/>
          <w:numId w:val="1"/>
        </w:numPr>
        <w:tabs>
          <w:tab w:val="left" w:pos="527"/>
        </w:tabs>
        <w:spacing w:before="153" w:line="321" w:lineRule="auto"/>
        <w:ind w:right="218" w:hanging="208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 xml:space="preserve">GoOut </w:t>
      </w:r>
      <w:r w:rsidR="00DA0642" w:rsidRPr="007C14F6">
        <w:rPr>
          <w:sz w:val="19"/>
          <w:lang w:val="cs-CZ"/>
        </w:rPr>
        <w:t>zapůjčí Obchodnímu partnerovi 3 ks čtečky Vstupenek po podpisu této smlouvy</w:t>
      </w:r>
      <w:r w:rsidRPr="007C14F6">
        <w:rPr>
          <w:sz w:val="19"/>
          <w:lang w:val="cs-CZ"/>
        </w:rPr>
        <w:t>. V pří</w:t>
      </w:r>
      <w:r w:rsidR="00DA0642" w:rsidRPr="007C14F6">
        <w:rPr>
          <w:sz w:val="19"/>
          <w:lang w:val="cs-CZ"/>
        </w:rPr>
        <w:t>padě, že Obchodní partner čtečky po ukončení platnosti této smlouvy nevrátí</w:t>
      </w:r>
      <w:r w:rsidRPr="007C14F6">
        <w:rPr>
          <w:sz w:val="19"/>
          <w:lang w:val="cs-CZ"/>
        </w:rPr>
        <w:t>, zavazuje se zaplatit GoOut smluvní pokutu ve výši 3.500,- Kč bez DPH</w:t>
      </w:r>
      <w:r w:rsidR="00DA0642" w:rsidRPr="007C14F6">
        <w:rPr>
          <w:sz w:val="19"/>
          <w:lang w:val="cs-CZ"/>
        </w:rPr>
        <w:t xml:space="preserve"> / ks</w:t>
      </w:r>
      <w:r w:rsidRPr="007C14F6">
        <w:rPr>
          <w:sz w:val="19"/>
          <w:lang w:val="cs-CZ"/>
        </w:rPr>
        <w:t>. Nárokem na zaplacení smluvní pokuty není dotčen nárok na náhradu škody v plné</w:t>
      </w:r>
      <w:r w:rsidRPr="007C14F6">
        <w:rPr>
          <w:spacing w:val="8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výši.</w:t>
      </w:r>
    </w:p>
    <w:p w:rsidR="00760BBD" w:rsidRPr="007C14F6" w:rsidRDefault="00454FB6">
      <w:pPr>
        <w:pStyle w:val="Odstavecseseznamem"/>
        <w:numPr>
          <w:ilvl w:val="0"/>
          <w:numId w:val="1"/>
        </w:numPr>
        <w:tabs>
          <w:tab w:val="left" w:pos="527"/>
        </w:tabs>
        <w:ind w:hanging="257"/>
        <w:rPr>
          <w:sz w:val="19"/>
          <w:lang w:val="cs-CZ"/>
        </w:rPr>
      </w:pPr>
      <w:r w:rsidRPr="007C14F6">
        <w:rPr>
          <w:sz w:val="19"/>
          <w:lang w:val="cs-CZ"/>
        </w:rPr>
        <w:t>Obchodní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partner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může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GoOut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požadovat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vytisknutí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Vstupenek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před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jejich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prodejem.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takovém</w:t>
      </w:r>
      <w:r w:rsidRPr="007C14F6">
        <w:rPr>
          <w:spacing w:val="1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případě</w:t>
      </w:r>
      <w:r w:rsidRPr="007C14F6">
        <w:rPr>
          <w:spacing w:val="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činí</w:t>
      </w:r>
      <w:r w:rsidRPr="007C14F6">
        <w:rPr>
          <w:spacing w:val="2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cena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za tisk jedné Vstupenky 5,- Kč bez DPH.</w:t>
      </w:r>
    </w:p>
    <w:p w:rsidR="00760BBD" w:rsidRPr="007C14F6" w:rsidRDefault="00760BBD">
      <w:pPr>
        <w:pStyle w:val="Zkladntext"/>
        <w:ind w:left="0"/>
        <w:rPr>
          <w:sz w:val="20"/>
          <w:lang w:val="cs-CZ"/>
        </w:rPr>
      </w:pPr>
    </w:p>
    <w:p w:rsidR="00760BBD" w:rsidRPr="007C14F6" w:rsidRDefault="00760BBD">
      <w:pPr>
        <w:pStyle w:val="Zkladntext"/>
        <w:ind w:left="0"/>
        <w:rPr>
          <w:lang w:val="cs-CZ"/>
        </w:rPr>
      </w:pPr>
    </w:p>
    <w:p w:rsidR="00760BBD" w:rsidRPr="007C14F6" w:rsidRDefault="00454FB6">
      <w:pPr>
        <w:pStyle w:val="Nadpis1"/>
        <w:numPr>
          <w:ilvl w:val="0"/>
          <w:numId w:val="5"/>
        </w:numPr>
        <w:tabs>
          <w:tab w:val="left" w:pos="562"/>
        </w:tabs>
        <w:rPr>
          <w:lang w:val="cs-CZ"/>
        </w:rPr>
      </w:pPr>
      <w:bookmarkStart w:id="5" w:name="V._ZÁVĚREČNÁ_USTANOVENÍ"/>
      <w:bookmarkEnd w:id="5"/>
      <w:r w:rsidRPr="007C14F6">
        <w:rPr>
          <w:w w:val="105"/>
          <w:lang w:val="cs-CZ"/>
        </w:rPr>
        <w:t>Z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spacing w:val="4"/>
          <w:w w:val="105"/>
          <w:lang w:val="cs-CZ"/>
        </w:rPr>
        <w:t>ÁVĚR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EČN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Á</w:t>
      </w:r>
      <w:r w:rsidRPr="007C14F6">
        <w:rPr>
          <w:spacing w:val="21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U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S</w:t>
      </w:r>
      <w:r w:rsidRPr="007C14F6">
        <w:rPr>
          <w:spacing w:val="-45"/>
          <w:w w:val="105"/>
          <w:lang w:val="cs-CZ"/>
        </w:rPr>
        <w:t xml:space="preserve"> </w:t>
      </w:r>
      <w:r w:rsidRPr="007C14F6">
        <w:rPr>
          <w:spacing w:val="7"/>
          <w:w w:val="105"/>
          <w:lang w:val="cs-CZ"/>
        </w:rPr>
        <w:t>TA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N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spacing w:val="12"/>
          <w:w w:val="105"/>
          <w:lang w:val="cs-CZ"/>
        </w:rPr>
        <w:t>OV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E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N</w:t>
      </w:r>
      <w:r w:rsidRPr="007C14F6">
        <w:rPr>
          <w:spacing w:val="-43"/>
          <w:w w:val="105"/>
          <w:lang w:val="cs-CZ"/>
        </w:rPr>
        <w:t xml:space="preserve"> </w:t>
      </w:r>
      <w:r w:rsidRPr="007C14F6">
        <w:rPr>
          <w:w w:val="105"/>
          <w:lang w:val="cs-CZ"/>
        </w:rPr>
        <w:t>Í</w:t>
      </w:r>
    </w:p>
    <w:p w:rsidR="00760BBD" w:rsidRPr="007C14F6" w:rsidRDefault="00760BBD">
      <w:pPr>
        <w:pStyle w:val="Zkladntext"/>
        <w:ind w:left="0"/>
        <w:rPr>
          <w:sz w:val="22"/>
          <w:lang w:val="cs-CZ"/>
        </w:rPr>
      </w:pP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spacing w:before="141" w:line="321" w:lineRule="auto"/>
        <w:ind w:right="218" w:hanging="208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 xml:space="preserve">Smluvní strany vylučují aplikaci následujících ustanovení Občanského zákoníku na tuto Smlouvu: § 556 odst. 2, § </w:t>
      </w:r>
      <w:r w:rsidRPr="007C14F6">
        <w:rPr>
          <w:spacing w:val="-5"/>
          <w:sz w:val="19"/>
          <w:lang w:val="cs-CZ"/>
        </w:rPr>
        <w:t xml:space="preserve">557, </w:t>
      </w:r>
      <w:r w:rsidRPr="007C14F6">
        <w:rPr>
          <w:sz w:val="19"/>
          <w:lang w:val="cs-CZ"/>
        </w:rPr>
        <w:t xml:space="preserve">§ 558 odst. 2, § 1799 a § 1800 (doložky v adhezních smlouvách), § 1805 odst. 2 (zákaz ultra </w:t>
      </w:r>
      <w:proofErr w:type="spellStart"/>
      <w:r w:rsidRPr="007C14F6">
        <w:rPr>
          <w:sz w:val="19"/>
          <w:lang w:val="cs-CZ"/>
        </w:rPr>
        <w:t>duplum</w:t>
      </w:r>
      <w:proofErr w:type="spellEnd"/>
      <w:r w:rsidRPr="007C14F6">
        <w:rPr>
          <w:sz w:val="19"/>
          <w:lang w:val="cs-CZ"/>
        </w:rPr>
        <w:t>) a § 1936 odst. 1 (povinnost přijetí plnění třetí</w:t>
      </w:r>
      <w:r w:rsidRPr="007C14F6">
        <w:rPr>
          <w:spacing w:val="18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osobou).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57"/>
        <w:jc w:val="both"/>
        <w:rPr>
          <w:sz w:val="19"/>
          <w:lang w:val="cs-CZ"/>
        </w:rPr>
      </w:pPr>
      <w:r w:rsidRPr="007C14F6">
        <w:rPr>
          <w:sz w:val="19"/>
          <w:lang w:val="cs-CZ"/>
        </w:rPr>
        <w:t>Smluvní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strany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si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doručují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písemnosti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písemně</w:t>
      </w:r>
      <w:r w:rsidRPr="007C14F6">
        <w:rPr>
          <w:spacing w:val="1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na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adresy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uvedené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záhlaví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Smlouvy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e-mailem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na</w:t>
      </w:r>
      <w:r w:rsidRPr="007C14F6">
        <w:rPr>
          <w:spacing w:val="3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e-mailové</w:t>
      </w:r>
    </w:p>
    <w:p w:rsidR="00760BBD" w:rsidRPr="007C14F6" w:rsidRDefault="00454FB6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>adresy uvedené v záhlaví této Smlouvy. Doručování poštou a e-mailem je rovnocenné. Každá ze smluvních stran nese odpovědnost za dostupnost e-mailové adresy uvedené v záhlaví této Smlouvy a za její  zabezpečení.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51"/>
        <w:jc w:val="both"/>
        <w:rPr>
          <w:sz w:val="19"/>
          <w:lang w:val="cs-CZ"/>
        </w:rPr>
      </w:pPr>
      <w:r w:rsidRPr="007C14F6">
        <w:rPr>
          <w:spacing w:val="-5"/>
          <w:sz w:val="19"/>
          <w:lang w:val="cs-CZ"/>
        </w:rPr>
        <w:t>Tato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Smlouva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(včetně</w:t>
      </w:r>
      <w:r w:rsidRPr="007C14F6">
        <w:rPr>
          <w:spacing w:val="18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Obchodních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podmínek)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obsahuje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úplné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ujednání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o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předmětu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Smlouvy.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Vzdát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se</w:t>
      </w:r>
      <w:r w:rsidRPr="007C14F6">
        <w:rPr>
          <w:spacing w:val="3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práva</w:t>
      </w:r>
      <w:r w:rsidRPr="007C14F6">
        <w:rPr>
          <w:spacing w:val="18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či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prominout dluh z této Smlouvy lze pouze na základě písemné dohody smluvních stran. Tuto smlouvu lze měnit, doplnit</w:t>
      </w:r>
    </w:p>
    <w:p w:rsidR="00760BBD" w:rsidRPr="007C14F6" w:rsidRDefault="00454FB6">
      <w:pPr>
        <w:pStyle w:val="Zkladntext"/>
        <w:spacing w:before="51" w:line="321" w:lineRule="auto"/>
        <w:ind w:right="239"/>
        <w:jc w:val="both"/>
        <w:rPr>
          <w:lang w:val="cs-CZ"/>
        </w:rPr>
      </w:pPr>
      <w:r w:rsidRPr="002B122A">
        <w:rPr>
          <w:lang w:val="cs-CZ"/>
        </w:rPr>
        <w:t>nebo zrušit pouze písemnou dohodou smluvních stran a/nebo e-mailem, nestanoví-li tato smlouva nebo Obchodní podmínky výslovně jinak.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51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 xml:space="preserve">V případě rozporu mezi touto Smlouvou a </w:t>
      </w:r>
      <w:r w:rsidR="00D94A57" w:rsidRPr="007C14F6">
        <w:rPr>
          <w:sz w:val="19"/>
          <w:lang w:val="cs-CZ"/>
        </w:rPr>
        <w:t>Všeobecnými o</w:t>
      </w:r>
      <w:r w:rsidRPr="007C14F6">
        <w:rPr>
          <w:sz w:val="19"/>
          <w:lang w:val="cs-CZ"/>
        </w:rPr>
        <w:t>bchodními podmínkami mají přednost ustanovení této Smlouvy.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spacing w:before="24" w:line="321" w:lineRule="auto"/>
        <w:ind w:right="218" w:hanging="257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lastRenderedPageBreak/>
        <w:t>V případě, že byla mezi smluvními stranami uzavřena jiná Smlouva o spolupráci se shodným předmětem plnění jako tato Smlouva, nahrazuje tato Smlouva předchozí Smlouvu o spolupráci v plném</w:t>
      </w:r>
      <w:r w:rsidRPr="007C14F6">
        <w:rPr>
          <w:spacing w:val="1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rozsahu.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57"/>
        <w:jc w:val="left"/>
        <w:rPr>
          <w:sz w:val="19"/>
          <w:lang w:val="cs-CZ"/>
        </w:rPr>
      </w:pPr>
      <w:r w:rsidRPr="007C14F6">
        <w:rPr>
          <w:spacing w:val="-5"/>
          <w:sz w:val="19"/>
          <w:lang w:val="cs-CZ"/>
        </w:rPr>
        <w:t>Tato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Smlouva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práva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povinností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ní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vzniklá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(včetně</w:t>
      </w:r>
      <w:r w:rsidRPr="007C14F6">
        <w:rPr>
          <w:spacing w:val="13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práv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povinností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porušení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Smlouvy,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ke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kterému</w:t>
      </w:r>
      <w:r w:rsidRPr="007C14F6">
        <w:rPr>
          <w:spacing w:val="2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došlo</w:t>
      </w:r>
    </w:p>
    <w:p w:rsidR="00760BBD" w:rsidRPr="007C14F6" w:rsidRDefault="00454FB6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>nebo dojde) se řídí a budou vykládány v souladu s právním řádem České republiky, zejména Občanským zákoníkem. Všechny spory, které mohou vzniknout z této Smlouvy nebo v souvislosti s ní a nebudou vyřešeny ani po vzájemném projednání mezi smluvními stranami smírnou cestou, budou rozhodovány obecnými soudy České  republiky.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24"/>
        <w:jc w:val="left"/>
        <w:rPr>
          <w:sz w:val="19"/>
          <w:lang w:val="cs-CZ"/>
        </w:rPr>
      </w:pPr>
      <w:r w:rsidRPr="007C14F6">
        <w:rPr>
          <w:spacing w:val="-5"/>
          <w:sz w:val="19"/>
          <w:lang w:val="cs-CZ"/>
        </w:rPr>
        <w:t>Tato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Smlouva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nabývá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platnosti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právní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účinnosti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dnem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jejího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podpisu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smluvními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stranami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případě,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že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uzavírána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formou e-mailu, je uzavřena okamžikem akceptace návrhu smlouvy Obchodním partnerem, a to kliknutím na tlačítko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„Souhlasím se smlouvou“, které je uvedeno v e-mailovém návrhu této Smlouvy.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spacing w:before="24" w:line="321" w:lineRule="auto"/>
        <w:ind w:right="218" w:hanging="256"/>
        <w:jc w:val="left"/>
        <w:rPr>
          <w:sz w:val="19"/>
          <w:lang w:val="cs-CZ"/>
        </w:rPr>
      </w:pPr>
      <w:r w:rsidRPr="007C14F6">
        <w:rPr>
          <w:w w:val="105"/>
          <w:sz w:val="19"/>
          <w:lang w:val="cs-CZ"/>
        </w:rPr>
        <w:t>Obchodní partner a GoOut tímto v souladu s ustanovením § 630 Občanskéh</w:t>
      </w:r>
      <w:r w:rsidR="00DA0642" w:rsidRPr="007C14F6">
        <w:rPr>
          <w:w w:val="105"/>
          <w:sz w:val="19"/>
          <w:lang w:val="cs-CZ"/>
        </w:rPr>
        <w:t xml:space="preserve">o zákoníku sjednávají, že práva kterékoli ze smluvních stran </w:t>
      </w:r>
      <w:r w:rsidRPr="007C14F6">
        <w:rPr>
          <w:w w:val="105"/>
          <w:sz w:val="19"/>
          <w:lang w:val="cs-CZ"/>
        </w:rPr>
        <w:t>vyplývající z této Smlouvy či jejího porušení (včetně práva na vydání případn</w:t>
      </w:r>
      <w:r w:rsidR="0009360B" w:rsidRPr="007C14F6">
        <w:rPr>
          <w:w w:val="105"/>
          <w:sz w:val="19"/>
          <w:lang w:val="cs-CZ"/>
        </w:rPr>
        <w:t>ého bezdůvodného obohacení</w:t>
      </w:r>
      <w:r w:rsidRPr="007C14F6">
        <w:rPr>
          <w:w w:val="105"/>
          <w:sz w:val="19"/>
          <w:lang w:val="cs-CZ"/>
        </w:rPr>
        <w:t xml:space="preserve"> vzniklého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v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souvislosti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s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touto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Smlouvou)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se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promlčují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ve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lhůtě</w:t>
      </w:r>
      <w:r w:rsidRPr="007C14F6">
        <w:rPr>
          <w:spacing w:val="-14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deseti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(10)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let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ode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dne,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kdy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právo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mohlo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být</w:t>
      </w:r>
      <w:r w:rsidRPr="007C14F6">
        <w:rPr>
          <w:spacing w:val="-8"/>
          <w:w w:val="105"/>
          <w:sz w:val="19"/>
          <w:lang w:val="cs-CZ"/>
        </w:rPr>
        <w:t xml:space="preserve"> </w:t>
      </w:r>
      <w:r w:rsidRPr="007C14F6">
        <w:rPr>
          <w:w w:val="105"/>
          <w:sz w:val="19"/>
          <w:lang w:val="cs-CZ"/>
        </w:rPr>
        <w:t>uplatněno poprvé.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251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 xml:space="preserve">Smluvní  strany  si  nepřejí,  aby  nad  rámec  výslovných  ustanovení  této  Smlouvy  byla  jakákoliv  práva  a  </w:t>
      </w:r>
      <w:r w:rsidRPr="007C14F6">
        <w:rPr>
          <w:spacing w:val="10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povinnosti</w:t>
      </w:r>
    </w:p>
    <w:p w:rsidR="00760BBD" w:rsidRPr="007C14F6" w:rsidRDefault="00454FB6" w:rsidP="0009360B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>dovozovány z dosavadní či budoucí praxe zavedené mezi smluvními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spacing w:before="24" w:line="321" w:lineRule="auto"/>
        <w:ind w:right="218" w:hanging="274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Každá ze smluvních stran se tímto vzdává práva domáhat se zrušení závazku z této smlouvy podle ustanovení § 2000 odst. 2 Občanského</w:t>
      </w:r>
      <w:r w:rsidRPr="007C14F6">
        <w:rPr>
          <w:spacing w:val="24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zákoníku.</w:t>
      </w:r>
      <w:r w:rsidR="00725D10" w:rsidRPr="007C14F6">
        <w:rPr>
          <w:rFonts w:eastAsia="Times New Roman"/>
          <w:sz w:val="19"/>
          <w:szCs w:val="19"/>
          <w:lang w:val="cs-CZ" w:eastAsia="cs-CZ"/>
        </w:rPr>
        <w:t xml:space="preserve"> </w:t>
      </w:r>
      <w:r w:rsidR="00496A5F" w:rsidRPr="007C14F6">
        <w:rPr>
          <w:rFonts w:eastAsia="Times New Roman"/>
          <w:sz w:val="19"/>
          <w:szCs w:val="19"/>
          <w:lang w:val="cs-CZ" w:eastAsia="cs-CZ"/>
        </w:rPr>
        <w:t>Ž</w:t>
      </w:r>
      <w:r w:rsidR="00725D10" w:rsidRPr="007C14F6">
        <w:rPr>
          <w:rFonts w:eastAsia="Times New Roman"/>
          <w:sz w:val="19"/>
          <w:szCs w:val="19"/>
          <w:lang w:val="cs-CZ" w:eastAsia="cs-CZ"/>
        </w:rPr>
        <w:t>ádná smluvní strana nepřebírá podle ustanovení § 1765 odst. 2 Občanského zákoníku riziko změny okolností</w:t>
      </w:r>
      <w:r w:rsidR="00496A5F" w:rsidRPr="007C14F6">
        <w:rPr>
          <w:rFonts w:eastAsia="Times New Roman"/>
          <w:sz w:val="19"/>
          <w:szCs w:val="19"/>
          <w:lang w:val="cs-CZ" w:eastAsia="cs-CZ"/>
        </w:rPr>
        <w:t>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323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Pro  vyloučení  pochybností  Smluvní  strany  výslovně potvrzují,  že  jsou  podnikateli,  uzavírají  tuto  Smlouvu  při</w:t>
      </w:r>
      <w:r w:rsidRPr="007C14F6">
        <w:rPr>
          <w:spacing w:val="4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svém</w:t>
      </w:r>
    </w:p>
    <w:p w:rsidR="00D94A57" w:rsidRPr="007C14F6" w:rsidRDefault="008756FB" w:rsidP="008756FB">
      <w:pPr>
        <w:pStyle w:val="Zkladntext"/>
        <w:spacing w:before="74" w:line="321" w:lineRule="auto"/>
        <w:ind w:left="567" w:right="218" w:hanging="283"/>
        <w:jc w:val="both"/>
        <w:rPr>
          <w:lang w:val="cs-CZ"/>
        </w:rPr>
      </w:pPr>
      <w:r w:rsidRPr="002B122A">
        <w:rPr>
          <w:lang w:val="cs-CZ"/>
        </w:rPr>
        <w:t xml:space="preserve">     </w:t>
      </w:r>
      <w:r w:rsidR="00454FB6" w:rsidRPr="002B122A">
        <w:rPr>
          <w:lang w:val="cs-CZ"/>
        </w:rPr>
        <w:t>podnikání a na tuto Smlouvu se tudíž neuplatní ustanovení § 1793 Občanského zákoníku (neúměrné zkrácení) ani §</w:t>
      </w:r>
      <w:r w:rsidR="00454FB6" w:rsidRPr="002B122A">
        <w:rPr>
          <w:spacing w:val="-27"/>
          <w:lang w:val="cs-CZ"/>
        </w:rPr>
        <w:t xml:space="preserve"> </w:t>
      </w:r>
      <w:r w:rsidR="00454FB6" w:rsidRPr="002B122A">
        <w:rPr>
          <w:lang w:val="cs-CZ"/>
        </w:rPr>
        <w:t>1796 Občanského zákoníku</w:t>
      </w:r>
      <w:r w:rsidR="00454FB6" w:rsidRPr="002B122A">
        <w:rPr>
          <w:spacing w:val="-12"/>
          <w:lang w:val="cs-CZ"/>
        </w:rPr>
        <w:t xml:space="preserve"> </w:t>
      </w:r>
      <w:r w:rsidR="00454FB6" w:rsidRPr="002B122A">
        <w:rPr>
          <w:lang w:val="cs-CZ"/>
        </w:rPr>
        <w:t>(lichva).</w:t>
      </w:r>
      <w:r w:rsidR="00D94A57" w:rsidRPr="002B122A">
        <w:rPr>
          <w:lang w:val="cs-CZ"/>
        </w:rPr>
        <w:t xml:space="preserve"> </w:t>
      </w:r>
      <w:r w:rsidR="00D94A57" w:rsidRPr="002B122A">
        <w:rPr>
          <w:rFonts w:eastAsia="Times New Roman"/>
          <w:lang w:val="cs-CZ" w:eastAsia="cs-CZ"/>
        </w:rPr>
        <w:t>GoOut a Pořadatel se zavazují po celou dobu platnosti Smlouvy o spolupráci a po dobu 5 (pěti) let po jejím skončení zachovávat mlčenlivost o finančních ujednáních Smlouvy o spolupráci, těchto Obchodních podmínkách, zejména o výši odměny GoOut. Veškerá finanční ujednání v ustanovení Smlouvy o spolupráci jsou oběma smluvními stranami považována za důvěrná a z</w:t>
      </w:r>
      <w:r w:rsidR="00A3495F">
        <w:rPr>
          <w:rFonts w:eastAsia="Times New Roman"/>
          <w:lang w:val="cs-CZ" w:eastAsia="cs-CZ"/>
        </w:rPr>
        <w:t>a předmět obchodního tajemství.</w:t>
      </w:r>
      <w:r w:rsidR="00725D10" w:rsidRPr="002B122A">
        <w:rPr>
          <w:rFonts w:eastAsia="Times New Roman"/>
          <w:lang w:val="cs-CZ" w:eastAsia="cs-CZ"/>
        </w:rPr>
        <w:t xml:space="preserve"> </w:t>
      </w:r>
      <w:r w:rsidR="00D94A57" w:rsidRPr="002B122A">
        <w:rPr>
          <w:rFonts w:eastAsia="Times New Roman"/>
          <w:lang w:val="cs-CZ" w:eastAsia="cs-CZ"/>
        </w:rPr>
        <w:t xml:space="preserve">Za porušení povinnosti mlčenlivosti se však nepovažuje splnění povinností Obchodního partnera k uveřejnění obsahu smlouvy v nezbytném rozsahu vyplývajícím ze </w:t>
      </w:r>
      <w:r w:rsidR="00D94A57" w:rsidRPr="002B122A">
        <w:rPr>
          <w:lang w:val="cs-CZ"/>
        </w:rPr>
        <w:t>zákona č. </w:t>
      </w:r>
      <w:hyperlink r:id="rId18" w:history="1">
        <w:r w:rsidR="00D94A57" w:rsidRPr="007C14F6">
          <w:rPr>
            <w:lang w:val="cs-CZ"/>
          </w:rPr>
          <w:t>340/2015</w:t>
        </w:r>
      </w:hyperlink>
      <w:r w:rsidR="00D94A57" w:rsidRPr="007C14F6">
        <w:rPr>
          <w:lang w:val="cs-CZ"/>
        </w:rPr>
        <w:t xml:space="preserve"> Sb., o zvláštních podmínkách účinnosti některých smluv, uveřejňování těchto smluv a o registru </w:t>
      </w:r>
      <w:r w:rsidR="00D94A57" w:rsidRPr="002B122A">
        <w:rPr>
          <w:lang w:val="cs-CZ"/>
        </w:rPr>
        <w:t>smluv</w:t>
      </w:r>
      <w:r w:rsidR="00725D10" w:rsidRPr="002B122A">
        <w:rPr>
          <w:lang w:val="cs-CZ"/>
        </w:rPr>
        <w:t>.</w:t>
      </w:r>
      <w:r w:rsidR="00D94A57" w:rsidRPr="002B122A">
        <w:rPr>
          <w:shd w:val="clear" w:color="auto" w:fill="FBFBFB"/>
        </w:rPr>
        <w:t xml:space="preserve"> </w:t>
      </w:r>
    </w:p>
    <w:p w:rsidR="008756FB" w:rsidRPr="007C14F6" w:rsidRDefault="008756FB" w:rsidP="008756FB">
      <w:pPr>
        <w:pStyle w:val="Odstavecseseznamem"/>
        <w:numPr>
          <w:ilvl w:val="1"/>
          <w:numId w:val="5"/>
        </w:numPr>
        <w:spacing w:before="24" w:line="321" w:lineRule="auto"/>
        <w:ind w:right="221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 xml:space="preserve">GoOut bere na vědomí, že Obchodní partner je jako příspěvková organizace s většinou majetkovou účastí územně-správního celku povinen uveřejnit obsah této smlouvy </w:t>
      </w:r>
      <w:r w:rsidR="00725D10" w:rsidRPr="007C14F6">
        <w:rPr>
          <w:sz w:val="19"/>
          <w:lang w:val="cs-CZ"/>
        </w:rPr>
        <w:t xml:space="preserve">v nezbytném rozsahu </w:t>
      </w:r>
      <w:r w:rsidRPr="007C14F6">
        <w:rPr>
          <w:sz w:val="19"/>
          <w:lang w:val="cs-CZ"/>
        </w:rPr>
        <w:t>způsobem dle zákona č. 340/2015 Sb., o zvláštních podmínkách účinnosti některých smluv, uveřejňování těchto smluv a o registru smluv</w:t>
      </w:r>
      <w:r w:rsidR="00FC2C5B" w:rsidRPr="007C14F6">
        <w:rPr>
          <w:sz w:val="19"/>
          <w:lang w:val="cs-CZ"/>
        </w:rPr>
        <w:t>.</w:t>
      </w:r>
      <w:r w:rsidRPr="007C14F6">
        <w:rPr>
          <w:sz w:val="19"/>
          <w:lang w:val="cs-CZ"/>
        </w:rPr>
        <w:t xml:space="preserve"> 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317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Pro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vyloučení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pochybností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Smluvní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strany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potvrzují,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že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žádný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závazek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podle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Smlouvy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není</w:t>
      </w:r>
      <w:r w:rsidRPr="007C14F6">
        <w:rPr>
          <w:spacing w:val="15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ﬁxním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závazkem</w:t>
      </w:r>
      <w:r w:rsidRPr="007C14F6">
        <w:rPr>
          <w:spacing w:val="3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ve</w:t>
      </w:r>
    </w:p>
    <w:p w:rsidR="00760BBD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smyslu ustanovení § 1980 Občanského zákoníku.</w:t>
      </w:r>
    </w:p>
    <w:p w:rsidR="00760BBD" w:rsidRPr="007C14F6" w:rsidRDefault="00A14107">
      <w:pPr>
        <w:pStyle w:val="Odstavecseseznamem"/>
        <w:numPr>
          <w:ilvl w:val="1"/>
          <w:numId w:val="5"/>
        </w:numPr>
        <w:tabs>
          <w:tab w:val="left" w:pos="527"/>
        </w:tabs>
        <w:spacing w:before="24" w:line="321" w:lineRule="auto"/>
        <w:ind w:right="221" w:hanging="317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Obchodní partner</w:t>
      </w:r>
      <w:r w:rsidR="00454FB6" w:rsidRPr="007C14F6">
        <w:rPr>
          <w:sz w:val="19"/>
          <w:lang w:val="cs-CZ"/>
        </w:rPr>
        <w:t xml:space="preserve"> výslovně akceptuje čl. VIII. Obchodních podmínek, který obsahuje ujednání o zpracování osobních údajů mezi GoOut jakožto zpracovatelem a Pořadatelem jakožto</w:t>
      </w:r>
      <w:r w:rsidR="00454FB6" w:rsidRPr="007C14F6">
        <w:rPr>
          <w:spacing w:val="42"/>
          <w:sz w:val="19"/>
          <w:lang w:val="cs-CZ"/>
        </w:rPr>
        <w:t xml:space="preserve"> </w:t>
      </w:r>
      <w:r w:rsidR="00454FB6" w:rsidRPr="007C14F6">
        <w:rPr>
          <w:sz w:val="19"/>
          <w:lang w:val="cs-CZ"/>
        </w:rPr>
        <w:t>správcem.</w:t>
      </w:r>
      <w:r w:rsidRPr="007C14F6">
        <w:rPr>
          <w:sz w:val="19"/>
          <w:lang w:val="cs-CZ"/>
        </w:rPr>
        <w:t xml:space="preserve"> 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323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Smluvní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strany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výslovně</w:t>
      </w:r>
      <w:r w:rsidRPr="007C14F6">
        <w:rPr>
          <w:spacing w:val="6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potvrzují,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že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základní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podmínky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této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Smlouvy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jsou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výsledkem</w:t>
      </w:r>
      <w:r w:rsidRPr="007C14F6">
        <w:rPr>
          <w:spacing w:val="11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jednání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smluvních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stran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a</w:t>
      </w:r>
      <w:r w:rsidRPr="007C14F6">
        <w:rPr>
          <w:spacing w:val="12"/>
          <w:sz w:val="19"/>
          <w:lang w:val="cs-CZ"/>
        </w:rPr>
        <w:t xml:space="preserve"> </w:t>
      </w:r>
      <w:r w:rsidRPr="007C14F6">
        <w:rPr>
          <w:sz w:val="19"/>
          <w:lang w:val="cs-CZ"/>
        </w:rPr>
        <w:t>každá</w:t>
      </w:r>
    </w:p>
    <w:p w:rsidR="00B7623F" w:rsidRPr="007C14F6" w:rsidRDefault="00454FB6" w:rsidP="00B7623F">
      <w:pPr>
        <w:pStyle w:val="Zkladntext"/>
        <w:spacing w:before="74" w:line="321" w:lineRule="auto"/>
        <w:ind w:right="218"/>
        <w:jc w:val="both"/>
        <w:rPr>
          <w:lang w:val="cs-CZ"/>
        </w:rPr>
      </w:pPr>
      <w:r w:rsidRPr="002B122A">
        <w:rPr>
          <w:lang w:val="cs-CZ"/>
        </w:rPr>
        <w:t>ze smluvních stran měla příležitost ovlivnit obsah základních podmínek této Smlouvy, a tedy se nejedená o adhezní smlouvu ve smyslu § 1798 Občanského zákoníku.</w:t>
      </w:r>
      <w:r w:rsidR="00B7623F" w:rsidRPr="002B122A">
        <w:rPr>
          <w:lang w:val="cs-CZ"/>
        </w:rPr>
        <w:t xml:space="preserve"> Ustanovení této smlouvy mají přednost před ustanovením Obchodních podmínek pro obchodní partnery.</w:t>
      </w:r>
    </w:p>
    <w:p w:rsidR="00760BBD" w:rsidRPr="007C14F6" w:rsidRDefault="00454FB6">
      <w:pPr>
        <w:pStyle w:val="Odstavecseseznamem"/>
        <w:numPr>
          <w:ilvl w:val="1"/>
          <w:numId w:val="5"/>
        </w:numPr>
        <w:tabs>
          <w:tab w:val="left" w:pos="527"/>
        </w:tabs>
        <w:ind w:hanging="323"/>
        <w:jc w:val="left"/>
        <w:rPr>
          <w:sz w:val="19"/>
          <w:lang w:val="cs-CZ"/>
        </w:rPr>
      </w:pPr>
      <w:r w:rsidRPr="007C14F6">
        <w:rPr>
          <w:sz w:val="19"/>
          <w:lang w:val="cs-CZ"/>
        </w:rPr>
        <w:t>Pokud je tato Smlouva uzavřena písemně, je vyhotovena ve dvou stejnopisech, z nichž každá ze stran obdrží po jednom</w:t>
      </w:r>
    </w:p>
    <w:p w:rsidR="00E73911" w:rsidRPr="007C14F6" w:rsidRDefault="00454FB6">
      <w:pPr>
        <w:pStyle w:val="Zkladntext"/>
        <w:spacing w:before="74"/>
        <w:jc w:val="both"/>
        <w:rPr>
          <w:lang w:val="cs-CZ"/>
        </w:rPr>
      </w:pPr>
      <w:r w:rsidRPr="002B122A">
        <w:rPr>
          <w:lang w:val="cs-CZ"/>
        </w:rPr>
        <w:t>stejnopisu.</w:t>
      </w:r>
    </w:p>
    <w:p w:rsidR="00760BBD" w:rsidRPr="007C14F6" w:rsidRDefault="00760BBD" w:rsidP="00E73911">
      <w:pPr>
        <w:pStyle w:val="Zkladntext"/>
        <w:spacing w:before="74"/>
        <w:jc w:val="both"/>
        <w:rPr>
          <w:sz w:val="14"/>
          <w:lang w:val="cs-CZ"/>
        </w:rPr>
      </w:pPr>
    </w:p>
    <w:p w:rsidR="00760BBD" w:rsidRPr="007C14F6" w:rsidRDefault="00760BBD">
      <w:pPr>
        <w:pStyle w:val="Zkladntext"/>
        <w:spacing w:before="8"/>
        <w:ind w:left="0"/>
        <w:rPr>
          <w:sz w:val="24"/>
          <w:lang w:val="cs-CZ"/>
        </w:rPr>
      </w:pPr>
    </w:p>
    <w:p w:rsidR="00426753" w:rsidRPr="007C14F6" w:rsidRDefault="00454FB6" w:rsidP="00E73911">
      <w:pPr>
        <w:pStyle w:val="Zkladntext"/>
        <w:tabs>
          <w:tab w:val="left" w:pos="2955"/>
          <w:tab w:val="left" w:pos="4886"/>
          <w:tab w:val="left" w:pos="6526"/>
          <w:tab w:val="left" w:pos="9119"/>
        </w:tabs>
        <w:ind w:left="1276"/>
        <w:rPr>
          <w:sz w:val="20"/>
          <w:lang w:val="cs-CZ"/>
        </w:rPr>
      </w:pPr>
      <w:r w:rsidRPr="002B122A">
        <w:rPr>
          <w:lang w:val="cs-CZ"/>
        </w:rPr>
        <w:t>V</w:t>
      </w:r>
      <w:r w:rsidRPr="002B122A">
        <w:rPr>
          <w:u w:val="single"/>
          <w:lang w:val="cs-CZ"/>
        </w:rPr>
        <w:tab/>
      </w:r>
      <w:r w:rsidRPr="002B122A">
        <w:rPr>
          <w:lang w:val="cs-CZ"/>
        </w:rPr>
        <w:t>dne</w:t>
      </w:r>
      <w:r w:rsidRPr="002B122A">
        <w:rPr>
          <w:u w:val="single"/>
          <w:lang w:val="cs-CZ"/>
        </w:rPr>
        <w:t xml:space="preserve"> </w:t>
      </w:r>
      <w:r w:rsidRPr="002B122A">
        <w:rPr>
          <w:u w:val="single"/>
          <w:lang w:val="cs-CZ"/>
        </w:rPr>
        <w:tab/>
      </w:r>
      <w:r w:rsidRPr="002B122A">
        <w:rPr>
          <w:lang w:val="cs-CZ"/>
        </w:rPr>
        <w:tab/>
        <w:t>V Praze</w:t>
      </w:r>
      <w:r w:rsidRPr="002B122A">
        <w:rPr>
          <w:spacing w:val="-5"/>
          <w:lang w:val="cs-CZ"/>
        </w:rPr>
        <w:t xml:space="preserve"> </w:t>
      </w:r>
      <w:r w:rsidRPr="002B122A">
        <w:rPr>
          <w:lang w:val="cs-CZ"/>
        </w:rPr>
        <w:t>dne</w:t>
      </w:r>
      <w:r w:rsidRPr="002B122A">
        <w:rPr>
          <w:spacing w:val="-3"/>
          <w:lang w:val="cs-CZ"/>
        </w:rPr>
        <w:t xml:space="preserve"> </w:t>
      </w:r>
      <w:r w:rsidRPr="002B122A">
        <w:rPr>
          <w:w w:val="95"/>
          <w:u w:val="single"/>
          <w:lang w:val="cs-CZ"/>
        </w:rPr>
        <w:t xml:space="preserve"> </w:t>
      </w:r>
      <w:r w:rsidRPr="002B122A">
        <w:rPr>
          <w:u w:val="single"/>
          <w:lang w:val="cs-CZ"/>
        </w:rPr>
        <w:tab/>
      </w:r>
    </w:p>
    <w:p w:rsidR="00426753" w:rsidRPr="007C14F6" w:rsidRDefault="00426753">
      <w:pPr>
        <w:pStyle w:val="Zkladntext"/>
        <w:ind w:left="0"/>
        <w:rPr>
          <w:sz w:val="20"/>
          <w:lang w:val="cs-CZ"/>
        </w:rPr>
      </w:pPr>
    </w:p>
    <w:p w:rsidR="00E73911" w:rsidRPr="007C14F6" w:rsidRDefault="00E73911">
      <w:pPr>
        <w:pStyle w:val="Zkladntext"/>
        <w:ind w:left="0"/>
        <w:rPr>
          <w:sz w:val="8"/>
          <w:lang w:val="cs-CZ"/>
        </w:rPr>
      </w:pPr>
    </w:p>
    <w:p w:rsidR="00A42910" w:rsidRPr="007C14F6" w:rsidRDefault="00A42910">
      <w:pPr>
        <w:pStyle w:val="Zkladntext"/>
        <w:spacing w:before="11"/>
        <w:ind w:left="0"/>
        <w:rPr>
          <w:sz w:val="25"/>
          <w:lang w:val="cs-CZ"/>
        </w:rPr>
      </w:pPr>
    </w:p>
    <w:p w:rsidR="00A42910" w:rsidRPr="007C14F6" w:rsidRDefault="00A42910">
      <w:pPr>
        <w:pStyle w:val="Zkladntext"/>
        <w:spacing w:before="11"/>
        <w:ind w:left="0"/>
        <w:rPr>
          <w:sz w:val="25"/>
          <w:lang w:val="cs-CZ"/>
        </w:rPr>
      </w:pPr>
    </w:p>
    <w:p w:rsidR="00760BBD" w:rsidRPr="007C14F6" w:rsidRDefault="00D91500">
      <w:pPr>
        <w:pStyle w:val="Zkladntext"/>
        <w:spacing w:before="11"/>
        <w:ind w:left="0"/>
        <w:rPr>
          <w:sz w:val="25"/>
          <w:lang w:val="cs-CZ"/>
        </w:rPr>
      </w:pPr>
      <w:r w:rsidRPr="00D91500">
        <w:rPr>
          <w:noProof/>
        </w:rPr>
        <w:pict>
          <v:line id="Line 3" o:spid="_x0000_s1026" style="position:absolute;z-index:251657216;visibility:visible;mso-wrap-distance-left:0;mso-wrap-distance-right:0;mso-position-horizontal-relative:page" from="86.8pt,16.9pt" to="236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H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" strokeweight=".03033mm">
            <w10:wrap type="topAndBottom" anchorx="page"/>
          </v:line>
        </w:pict>
      </w:r>
      <w:r w:rsidRPr="00D91500">
        <w:rPr>
          <w:noProof/>
        </w:rPr>
        <w:pict>
          <v:line id="Line 2" o:spid="_x0000_s1027" style="position:absolute;z-index:251658240;visibility:visible;mso-wrap-distance-left:0;mso-wrap-distance-right:0;mso-position-horizontal-relative:page" from="349.3pt,16.9pt" to="49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xN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" strokeweight=".03033mm">
            <w10:wrap type="topAndBottom" anchorx="page"/>
          </v:line>
        </w:pict>
      </w:r>
    </w:p>
    <w:p w:rsidR="00760BBD" w:rsidRPr="007C14F6" w:rsidRDefault="00454FB6">
      <w:pPr>
        <w:pStyle w:val="Zkladntext"/>
        <w:tabs>
          <w:tab w:val="left" w:pos="6526"/>
        </w:tabs>
        <w:spacing w:before="85"/>
        <w:ind w:left="1276"/>
        <w:rPr>
          <w:lang w:val="cs-CZ"/>
        </w:rPr>
      </w:pPr>
      <w:r w:rsidRPr="002B122A">
        <w:rPr>
          <w:lang w:val="cs-CZ"/>
        </w:rPr>
        <w:t>Divadlo</w:t>
      </w:r>
      <w:r w:rsidRPr="002B122A">
        <w:rPr>
          <w:spacing w:val="-1"/>
          <w:lang w:val="cs-CZ"/>
        </w:rPr>
        <w:t xml:space="preserve"> </w:t>
      </w:r>
      <w:r w:rsidRPr="002B122A">
        <w:rPr>
          <w:lang w:val="cs-CZ"/>
        </w:rPr>
        <w:t>Na</w:t>
      </w:r>
      <w:r w:rsidRPr="002B122A">
        <w:rPr>
          <w:spacing w:val="-1"/>
          <w:lang w:val="cs-CZ"/>
        </w:rPr>
        <w:t xml:space="preserve"> </w:t>
      </w:r>
      <w:r w:rsidRPr="002B122A">
        <w:rPr>
          <w:lang w:val="cs-CZ"/>
        </w:rPr>
        <w:t>zábradlí</w:t>
      </w:r>
      <w:r w:rsidRPr="002B122A">
        <w:rPr>
          <w:lang w:val="cs-CZ"/>
        </w:rPr>
        <w:tab/>
        <w:t>GoOut,</w:t>
      </w:r>
      <w:r w:rsidRPr="002B122A">
        <w:rPr>
          <w:spacing w:val="-24"/>
          <w:lang w:val="cs-CZ"/>
        </w:rPr>
        <w:t xml:space="preserve"> </w:t>
      </w:r>
      <w:r w:rsidRPr="002B122A">
        <w:rPr>
          <w:spacing w:val="-4"/>
          <w:lang w:val="cs-CZ"/>
        </w:rPr>
        <w:t>s.r.o.</w:t>
      </w:r>
    </w:p>
    <w:p w:rsidR="00760BBD" w:rsidRPr="007C14F6" w:rsidRDefault="00454FB6">
      <w:pPr>
        <w:pStyle w:val="Zkladntext"/>
        <w:tabs>
          <w:tab w:val="left" w:pos="6526"/>
        </w:tabs>
        <w:spacing w:before="74"/>
        <w:ind w:left="1276"/>
        <w:rPr>
          <w:lang w:val="cs-CZ"/>
        </w:rPr>
      </w:pPr>
      <w:bookmarkStart w:id="6" w:name="_GoBack"/>
      <w:r w:rsidRPr="002B122A">
        <w:rPr>
          <w:lang w:val="cs-CZ"/>
        </w:rPr>
        <w:t>Petr</w:t>
      </w:r>
      <w:r w:rsidRPr="002B122A">
        <w:rPr>
          <w:spacing w:val="-3"/>
          <w:lang w:val="cs-CZ"/>
        </w:rPr>
        <w:t xml:space="preserve"> </w:t>
      </w:r>
      <w:proofErr w:type="spellStart"/>
      <w:r w:rsidRPr="002B122A">
        <w:rPr>
          <w:lang w:val="cs-CZ"/>
        </w:rPr>
        <w:t>Štědroň</w:t>
      </w:r>
      <w:proofErr w:type="spellEnd"/>
      <w:r w:rsidRPr="002B122A">
        <w:rPr>
          <w:lang w:val="cs-CZ"/>
        </w:rPr>
        <w:tab/>
        <w:t>Vojtěch</w:t>
      </w:r>
      <w:r w:rsidRPr="002B122A">
        <w:rPr>
          <w:spacing w:val="10"/>
          <w:lang w:val="cs-CZ"/>
        </w:rPr>
        <w:t xml:space="preserve"> </w:t>
      </w:r>
      <w:proofErr w:type="spellStart"/>
      <w:r w:rsidRPr="002B122A">
        <w:rPr>
          <w:lang w:val="cs-CZ"/>
        </w:rPr>
        <w:t>Knyttl</w:t>
      </w:r>
      <w:bookmarkEnd w:id="6"/>
      <w:proofErr w:type="spellEnd"/>
    </w:p>
    <w:sectPr w:rsidR="00760BBD" w:rsidRPr="007C14F6" w:rsidSect="00096173">
      <w:footerReference w:type="default" r:id="rId19"/>
      <w:pgSz w:w="11900" w:h="16820"/>
      <w:pgMar w:top="540" w:right="460" w:bottom="700" w:left="460" w:header="0" w:footer="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C2" w:rsidRDefault="00312AC2">
      <w:r>
        <w:separator/>
      </w:r>
    </w:p>
  </w:endnote>
  <w:endnote w:type="continuationSeparator" w:id="0">
    <w:p w:rsidR="00312AC2" w:rsidRDefault="0031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8" w:rsidRDefault="00D91500">
    <w:pPr>
      <w:pStyle w:val="Zkladntext"/>
      <w:spacing w:line="14" w:lineRule="auto"/>
      <w:ind w:left="0"/>
      <w:rPr>
        <w:sz w:val="20"/>
      </w:rPr>
    </w:pPr>
    <w:r w:rsidRPr="00D91500">
      <w:rPr>
        <w:noProof/>
      </w:rPr>
      <w:pict>
        <v:line id="Line 2" o:spid="_x0000_s4098" style="position:absolute;z-index:-4960;visibility:visible;mso-position-horizontal-relative:page;mso-position-vertical-relative:page" from="28.3pt,802.2pt" to="566.9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Wq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" strokeweight=".03033mm">
          <w10:wrap anchorx="page" anchory="page"/>
        </v:line>
      </w:pict>
    </w:r>
    <w:r w:rsidRPr="00D915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7.55pt;margin-top:816.95pt;width:19.2pt;height:10.25pt;z-index:-49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" filled="f" stroked="f">
          <v:textbox inset="0,0,0,0">
            <w:txbxContent>
              <w:p w:rsidR="005B4A18" w:rsidRDefault="00D91500">
                <w:pPr>
                  <w:ind w:left="40" w:right="-19"/>
                  <w:rPr>
                    <w:sz w:val="16"/>
                  </w:rPr>
                </w:pPr>
                <w:r>
                  <w:fldChar w:fldCharType="begin"/>
                </w:r>
                <w:r w:rsidR="005B4A18">
                  <w:rPr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E3102">
                  <w:rPr>
                    <w:noProof/>
                    <w:w w:val="110"/>
                    <w:sz w:val="16"/>
                  </w:rPr>
                  <w:t>1</w:t>
                </w:r>
                <w:r>
                  <w:fldChar w:fldCharType="end"/>
                </w:r>
                <w:r w:rsidR="005B4A18">
                  <w:rPr>
                    <w:w w:val="110"/>
                    <w:sz w:val="16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C2" w:rsidRDefault="00312AC2">
      <w:r>
        <w:separator/>
      </w:r>
    </w:p>
  </w:footnote>
  <w:footnote w:type="continuationSeparator" w:id="0">
    <w:p w:rsidR="00312AC2" w:rsidRDefault="0031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3EA"/>
    <w:multiLevelType w:val="hybridMultilevel"/>
    <w:tmpl w:val="535A1B7E"/>
    <w:lvl w:ilvl="0" w:tplc="231C3B22">
      <w:start w:val="1"/>
      <w:numFmt w:val="decimal"/>
      <w:lvlText w:val="%1."/>
      <w:lvlJc w:val="left"/>
      <w:pPr>
        <w:ind w:left="526" w:hanging="209"/>
      </w:pPr>
      <w:rPr>
        <w:rFonts w:ascii="Arial" w:eastAsia="Arial" w:hAnsi="Arial" w:cs="Arial" w:hint="default"/>
        <w:w w:val="70"/>
        <w:position w:val="5"/>
        <w:sz w:val="19"/>
        <w:szCs w:val="19"/>
      </w:rPr>
    </w:lvl>
    <w:lvl w:ilvl="1" w:tplc="18886F52">
      <w:numFmt w:val="bullet"/>
      <w:lvlText w:val="•"/>
      <w:lvlJc w:val="left"/>
      <w:pPr>
        <w:ind w:left="1566" w:hanging="209"/>
      </w:pPr>
      <w:rPr>
        <w:rFonts w:hint="default"/>
      </w:rPr>
    </w:lvl>
    <w:lvl w:ilvl="2" w:tplc="025CF648">
      <w:numFmt w:val="bullet"/>
      <w:lvlText w:val="•"/>
      <w:lvlJc w:val="left"/>
      <w:pPr>
        <w:ind w:left="2612" w:hanging="209"/>
      </w:pPr>
      <w:rPr>
        <w:rFonts w:hint="default"/>
      </w:rPr>
    </w:lvl>
    <w:lvl w:ilvl="3" w:tplc="BC1C359E">
      <w:numFmt w:val="bullet"/>
      <w:lvlText w:val="•"/>
      <w:lvlJc w:val="left"/>
      <w:pPr>
        <w:ind w:left="3658" w:hanging="209"/>
      </w:pPr>
      <w:rPr>
        <w:rFonts w:hint="default"/>
      </w:rPr>
    </w:lvl>
    <w:lvl w:ilvl="4" w:tplc="37088032">
      <w:numFmt w:val="bullet"/>
      <w:lvlText w:val="•"/>
      <w:lvlJc w:val="left"/>
      <w:pPr>
        <w:ind w:left="4704" w:hanging="209"/>
      </w:pPr>
      <w:rPr>
        <w:rFonts w:hint="default"/>
      </w:rPr>
    </w:lvl>
    <w:lvl w:ilvl="5" w:tplc="97704C28">
      <w:numFmt w:val="bullet"/>
      <w:lvlText w:val="•"/>
      <w:lvlJc w:val="left"/>
      <w:pPr>
        <w:ind w:left="5750" w:hanging="209"/>
      </w:pPr>
      <w:rPr>
        <w:rFonts w:hint="default"/>
      </w:rPr>
    </w:lvl>
    <w:lvl w:ilvl="6" w:tplc="EDD22FC8">
      <w:numFmt w:val="bullet"/>
      <w:lvlText w:val="•"/>
      <w:lvlJc w:val="left"/>
      <w:pPr>
        <w:ind w:left="6796" w:hanging="209"/>
      </w:pPr>
      <w:rPr>
        <w:rFonts w:hint="default"/>
      </w:rPr>
    </w:lvl>
    <w:lvl w:ilvl="7" w:tplc="80BC5168">
      <w:numFmt w:val="bullet"/>
      <w:lvlText w:val="•"/>
      <w:lvlJc w:val="left"/>
      <w:pPr>
        <w:ind w:left="7842" w:hanging="209"/>
      </w:pPr>
      <w:rPr>
        <w:rFonts w:hint="default"/>
      </w:rPr>
    </w:lvl>
    <w:lvl w:ilvl="8" w:tplc="5512EB1A">
      <w:numFmt w:val="bullet"/>
      <w:lvlText w:val="•"/>
      <w:lvlJc w:val="left"/>
      <w:pPr>
        <w:ind w:left="8888" w:hanging="209"/>
      </w:pPr>
      <w:rPr>
        <w:rFonts w:hint="default"/>
      </w:rPr>
    </w:lvl>
  </w:abstractNum>
  <w:abstractNum w:abstractNumId="1">
    <w:nsid w:val="243B223E"/>
    <w:multiLevelType w:val="multilevel"/>
    <w:tmpl w:val="C2C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7760"/>
    <w:multiLevelType w:val="hybridMultilevel"/>
    <w:tmpl w:val="FEC6821C"/>
    <w:lvl w:ilvl="0" w:tplc="088E7F7C">
      <w:start w:val="1"/>
      <w:numFmt w:val="decimal"/>
      <w:lvlText w:val="%1."/>
      <w:lvlJc w:val="left"/>
      <w:pPr>
        <w:ind w:left="526" w:hanging="209"/>
      </w:pPr>
      <w:rPr>
        <w:rFonts w:ascii="Arial" w:eastAsia="Arial" w:hAnsi="Arial" w:cs="Arial" w:hint="default"/>
        <w:w w:val="70"/>
        <w:position w:val="5"/>
        <w:sz w:val="19"/>
        <w:szCs w:val="19"/>
      </w:rPr>
    </w:lvl>
    <w:lvl w:ilvl="1" w:tplc="187C9A14">
      <w:numFmt w:val="bullet"/>
      <w:lvlText w:val="•"/>
      <w:lvlJc w:val="left"/>
      <w:pPr>
        <w:ind w:left="1566" w:hanging="209"/>
      </w:pPr>
      <w:rPr>
        <w:rFonts w:hint="default"/>
      </w:rPr>
    </w:lvl>
    <w:lvl w:ilvl="2" w:tplc="6E96E6FC">
      <w:numFmt w:val="bullet"/>
      <w:lvlText w:val="•"/>
      <w:lvlJc w:val="left"/>
      <w:pPr>
        <w:ind w:left="2612" w:hanging="209"/>
      </w:pPr>
      <w:rPr>
        <w:rFonts w:hint="default"/>
      </w:rPr>
    </w:lvl>
    <w:lvl w:ilvl="3" w:tplc="0D362006">
      <w:numFmt w:val="bullet"/>
      <w:lvlText w:val="•"/>
      <w:lvlJc w:val="left"/>
      <w:pPr>
        <w:ind w:left="3658" w:hanging="209"/>
      </w:pPr>
      <w:rPr>
        <w:rFonts w:hint="default"/>
      </w:rPr>
    </w:lvl>
    <w:lvl w:ilvl="4" w:tplc="03787004">
      <w:numFmt w:val="bullet"/>
      <w:lvlText w:val="•"/>
      <w:lvlJc w:val="left"/>
      <w:pPr>
        <w:ind w:left="4704" w:hanging="209"/>
      </w:pPr>
      <w:rPr>
        <w:rFonts w:hint="default"/>
      </w:rPr>
    </w:lvl>
    <w:lvl w:ilvl="5" w:tplc="D2B4F100">
      <w:numFmt w:val="bullet"/>
      <w:lvlText w:val="•"/>
      <w:lvlJc w:val="left"/>
      <w:pPr>
        <w:ind w:left="5750" w:hanging="209"/>
      </w:pPr>
      <w:rPr>
        <w:rFonts w:hint="default"/>
      </w:rPr>
    </w:lvl>
    <w:lvl w:ilvl="6" w:tplc="3F783298">
      <w:numFmt w:val="bullet"/>
      <w:lvlText w:val="•"/>
      <w:lvlJc w:val="left"/>
      <w:pPr>
        <w:ind w:left="6796" w:hanging="209"/>
      </w:pPr>
      <w:rPr>
        <w:rFonts w:hint="default"/>
      </w:rPr>
    </w:lvl>
    <w:lvl w:ilvl="7" w:tplc="797C16DE">
      <w:numFmt w:val="bullet"/>
      <w:lvlText w:val="•"/>
      <w:lvlJc w:val="left"/>
      <w:pPr>
        <w:ind w:left="7842" w:hanging="209"/>
      </w:pPr>
      <w:rPr>
        <w:rFonts w:hint="default"/>
      </w:rPr>
    </w:lvl>
    <w:lvl w:ilvl="8" w:tplc="B1D843CC">
      <w:numFmt w:val="bullet"/>
      <w:lvlText w:val="•"/>
      <w:lvlJc w:val="left"/>
      <w:pPr>
        <w:ind w:left="8888" w:hanging="209"/>
      </w:pPr>
      <w:rPr>
        <w:rFonts w:hint="default"/>
      </w:rPr>
    </w:lvl>
  </w:abstractNum>
  <w:abstractNum w:abstractNumId="3">
    <w:nsid w:val="343647A4"/>
    <w:multiLevelType w:val="hybridMultilevel"/>
    <w:tmpl w:val="8C4603F4"/>
    <w:lvl w:ilvl="0" w:tplc="1B922AB8">
      <w:start w:val="5"/>
      <w:numFmt w:val="upperRoman"/>
      <w:lvlText w:val="%1."/>
      <w:lvlJc w:val="left"/>
      <w:pPr>
        <w:ind w:left="561" w:hanging="335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1" w:tplc="438CD8B6">
      <w:start w:val="1"/>
      <w:numFmt w:val="decimal"/>
      <w:lvlText w:val="%2."/>
      <w:lvlJc w:val="left"/>
      <w:pPr>
        <w:ind w:left="526" w:hanging="209"/>
        <w:jc w:val="right"/>
      </w:pPr>
      <w:rPr>
        <w:rFonts w:ascii="Arial" w:eastAsia="Arial" w:hAnsi="Arial" w:cs="Arial" w:hint="default"/>
        <w:w w:val="70"/>
        <w:position w:val="5"/>
        <w:sz w:val="19"/>
        <w:szCs w:val="19"/>
      </w:rPr>
    </w:lvl>
    <w:lvl w:ilvl="2" w:tplc="47785146">
      <w:numFmt w:val="bullet"/>
      <w:lvlText w:val="•"/>
      <w:lvlJc w:val="left"/>
      <w:pPr>
        <w:ind w:left="1717" w:hanging="209"/>
      </w:pPr>
      <w:rPr>
        <w:rFonts w:hint="default"/>
      </w:rPr>
    </w:lvl>
    <w:lvl w:ilvl="3" w:tplc="3D9E2610">
      <w:numFmt w:val="bullet"/>
      <w:lvlText w:val="•"/>
      <w:lvlJc w:val="left"/>
      <w:pPr>
        <w:ind w:left="2875" w:hanging="209"/>
      </w:pPr>
      <w:rPr>
        <w:rFonts w:hint="default"/>
      </w:rPr>
    </w:lvl>
    <w:lvl w:ilvl="4" w:tplc="A5EAAF80">
      <w:numFmt w:val="bullet"/>
      <w:lvlText w:val="•"/>
      <w:lvlJc w:val="left"/>
      <w:pPr>
        <w:ind w:left="4033" w:hanging="209"/>
      </w:pPr>
      <w:rPr>
        <w:rFonts w:hint="default"/>
      </w:rPr>
    </w:lvl>
    <w:lvl w:ilvl="5" w:tplc="76CCD38C">
      <w:numFmt w:val="bullet"/>
      <w:lvlText w:val="•"/>
      <w:lvlJc w:val="left"/>
      <w:pPr>
        <w:ind w:left="5191" w:hanging="209"/>
      </w:pPr>
      <w:rPr>
        <w:rFonts w:hint="default"/>
      </w:rPr>
    </w:lvl>
    <w:lvl w:ilvl="6" w:tplc="6124178E">
      <w:numFmt w:val="bullet"/>
      <w:lvlText w:val="•"/>
      <w:lvlJc w:val="left"/>
      <w:pPr>
        <w:ind w:left="6348" w:hanging="209"/>
      </w:pPr>
      <w:rPr>
        <w:rFonts w:hint="default"/>
      </w:rPr>
    </w:lvl>
    <w:lvl w:ilvl="7" w:tplc="F07ED236">
      <w:numFmt w:val="bullet"/>
      <w:lvlText w:val="•"/>
      <w:lvlJc w:val="left"/>
      <w:pPr>
        <w:ind w:left="7506" w:hanging="209"/>
      </w:pPr>
      <w:rPr>
        <w:rFonts w:hint="default"/>
      </w:rPr>
    </w:lvl>
    <w:lvl w:ilvl="8" w:tplc="E5D24B56">
      <w:numFmt w:val="bullet"/>
      <w:lvlText w:val="•"/>
      <w:lvlJc w:val="left"/>
      <w:pPr>
        <w:ind w:left="8664" w:hanging="209"/>
      </w:pPr>
      <w:rPr>
        <w:rFonts w:hint="default"/>
      </w:rPr>
    </w:lvl>
  </w:abstractNum>
  <w:abstractNum w:abstractNumId="4">
    <w:nsid w:val="60FB5B7B"/>
    <w:multiLevelType w:val="hybridMultilevel"/>
    <w:tmpl w:val="B49A068A"/>
    <w:lvl w:ilvl="0" w:tplc="587C0AC4">
      <w:start w:val="1"/>
      <w:numFmt w:val="decimal"/>
      <w:lvlText w:val="%1."/>
      <w:lvlJc w:val="left"/>
      <w:pPr>
        <w:ind w:left="526" w:hanging="209"/>
      </w:pPr>
      <w:rPr>
        <w:rFonts w:ascii="Arial" w:eastAsia="Arial" w:hAnsi="Arial" w:cs="Arial" w:hint="default"/>
        <w:w w:val="70"/>
        <w:position w:val="5"/>
        <w:sz w:val="19"/>
        <w:szCs w:val="19"/>
      </w:rPr>
    </w:lvl>
    <w:lvl w:ilvl="1" w:tplc="6F104EC0">
      <w:numFmt w:val="bullet"/>
      <w:lvlText w:val="•"/>
      <w:lvlJc w:val="left"/>
      <w:pPr>
        <w:ind w:left="1566" w:hanging="209"/>
      </w:pPr>
      <w:rPr>
        <w:rFonts w:hint="default"/>
      </w:rPr>
    </w:lvl>
    <w:lvl w:ilvl="2" w:tplc="B3EAC0F8">
      <w:numFmt w:val="bullet"/>
      <w:lvlText w:val="•"/>
      <w:lvlJc w:val="left"/>
      <w:pPr>
        <w:ind w:left="2612" w:hanging="209"/>
      </w:pPr>
      <w:rPr>
        <w:rFonts w:hint="default"/>
      </w:rPr>
    </w:lvl>
    <w:lvl w:ilvl="3" w:tplc="86AAC564">
      <w:numFmt w:val="bullet"/>
      <w:lvlText w:val="•"/>
      <w:lvlJc w:val="left"/>
      <w:pPr>
        <w:ind w:left="3658" w:hanging="209"/>
      </w:pPr>
      <w:rPr>
        <w:rFonts w:hint="default"/>
      </w:rPr>
    </w:lvl>
    <w:lvl w:ilvl="4" w:tplc="06E26EBC">
      <w:numFmt w:val="bullet"/>
      <w:lvlText w:val="•"/>
      <w:lvlJc w:val="left"/>
      <w:pPr>
        <w:ind w:left="4704" w:hanging="209"/>
      </w:pPr>
      <w:rPr>
        <w:rFonts w:hint="default"/>
      </w:rPr>
    </w:lvl>
    <w:lvl w:ilvl="5" w:tplc="9AF2BDE8">
      <w:numFmt w:val="bullet"/>
      <w:lvlText w:val="•"/>
      <w:lvlJc w:val="left"/>
      <w:pPr>
        <w:ind w:left="5750" w:hanging="209"/>
      </w:pPr>
      <w:rPr>
        <w:rFonts w:hint="default"/>
      </w:rPr>
    </w:lvl>
    <w:lvl w:ilvl="6" w:tplc="EF846238">
      <w:numFmt w:val="bullet"/>
      <w:lvlText w:val="•"/>
      <w:lvlJc w:val="left"/>
      <w:pPr>
        <w:ind w:left="6796" w:hanging="209"/>
      </w:pPr>
      <w:rPr>
        <w:rFonts w:hint="default"/>
      </w:rPr>
    </w:lvl>
    <w:lvl w:ilvl="7" w:tplc="5C9065BE">
      <w:numFmt w:val="bullet"/>
      <w:lvlText w:val="•"/>
      <w:lvlJc w:val="left"/>
      <w:pPr>
        <w:ind w:left="7842" w:hanging="209"/>
      </w:pPr>
      <w:rPr>
        <w:rFonts w:hint="default"/>
      </w:rPr>
    </w:lvl>
    <w:lvl w:ilvl="8" w:tplc="B19C2314">
      <w:numFmt w:val="bullet"/>
      <w:lvlText w:val="•"/>
      <w:lvlJc w:val="left"/>
      <w:pPr>
        <w:ind w:left="8888" w:hanging="209"/>
      </w:pPr>
      <w:rPr>
        <w:rFonts w:hint="default"/>
      </w:rPr>
    </w:lvl>
  </w:abstractNum>
  <w:abstractNum w:abstractNumId="5">
    <w:nsid w:val="7F3558DC"/>
    <w:multiLevelType w:val="hybridMultilevel"/>
    <w:tmpl w:val="95F2EF0E"/>
    <w:lvl w:ilvl="0" w:tplc="700E486A">
      <w:start w:val="1"/>
      <w:numFmt w:val="decimal"/>
      <w:lvlText w:val="%1."/>
      <w:lvlJc w:val="left"/>
      <w:pPr>
        <w:ind w:left="526" w:hanging="209"/>
      </w:pPr>
      <w:rPr>
        <w:rFonts w:ascii="Arial" w:eastAsia="Arial" w:hAnsi="Arial" w:cs="Arial" w:hint="default"/>
        <w:w w:val="70"/>
        <w:position w:val="5"/>
        <w:sz w:val="19"/>
        <w:szCs w:val="19"/>
      </w:rPr>
    </w:lvl>
    <w:lvl w:ilvl="1" w:tplc="77E29196">
      <w:numFmt w:val="bullet"/>
      <w:lvlText w:val="•"/>
      <w:lvlJc w:val="left"/>
      <w:pPr>
        <w:ind w:left="1566" w:hanging="209"/>
      </w:pPr>
      <w:rPr>
        <w:rFonts w:hint="default"/>
      </w:rPr>
    </w:lvl>
    <w:lvl w:ilvl="2" w:tplc="89E8FF56">
      <w:numFmt w:val="bullet"/>
      <w:lvlText w:val="•"/>
      <w:lvlJc w:val="left"/>
      <w:pPr>
        <w:ind w:left="2612" w:hanging="209"/>
      </w:pPr>
      <w:rPr>
        <w:rFonts w:hint="default"/>
      </w:rPr>
    </w:lvl>
    <w:lvl w:ilvl="3" w:tplc="5238B0AC">
      <w:numFmt w:val="bullet"/>
      <w:lvlText w:val="•"/>
      <w:lvlJc w:val="left"/>
      <w:pPr>
        <w:ind w:left="3658" w:hanging="209"/>
      </w:pPr>
      <w:rPr>
        <w:rFonts w:hint="default"/>
      </w:rPr>
    </w:lvl>
    <w:lvl w:ilvl="4" w:tplc="2858FFE2">
      <w:numFmt w:val="bullet"/>
      <w:lvlText w:val="•"/>
      <w:lvlJc w:val="left"/>
      <w:pPr>
        <w:ind w:left="4704" w:hanging="209"/>
      </w:pPr>
      <w:rPr>
        <w:rFonts w:hint="default"/>
      </w:rPr>
    </w:lvl>
    <w:lvl w:ilvl="5" w:tplc="132E2A0C">
      <w:numFmt w:val="bullet"/>
      <w:lvlText w:val="•"/>
      <w:lvlJc w:val="left"/>
      <w:pPr>
        <w:ind w:left="5750" w:hanging="209"/>
      </w:pPr>
      <w:rPr>
        <w:rFonts w:hint="default"/>
      </w:rPr>
    </w:lvl>
    <w:lvl w:ilvl="6" w:tplc="66345A02">
      <w:numFmt w:val="bullet"/>
      <w:lvlText w:val="•"/>
      <w:lvlJc w:val="left"/>
      <w:pPr>
        <w:ind w:left="6796" w:hanging="209"/>
      </w:pPr>
      <w:rPr>
        <w:rFonts w:hint="default"/>
      </w:rPr>
    </w:lvl>
    <w:lvl w:ilvl="7" w:tplc="7FBE0592">
      <w:numFmt w:val="bullet"/>
      <w:lvlText w:val="•"/>
      <w:lvlJc w:val="left"/>
      <w:pPr>
        <w:ind w:left="7842" w:hanging="209"/>
      </w:pPr>
      <w:rPr>
        <w:rFonts w:hint="default"/>
      </w:rPr>
    </w:lvl>
    <w:lvl w:ilvl="8" w:tplc="FC308BA2">
      <w:numFmt w:val="bullet"/>
      <w:lvlText w:val="•"/>
      <w:lvlJc w:val="left"/>
      <w:pPr>
        <w:ind w:left="8888" w:hanging="20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 Kroupa">
    <w15:presenceInfo w15:providerId="Windows Live" w15:userId="41baa109b28f2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0BBD"/>
    <w:rsid w:val="0009360B"/>
    <w:rsid w:val="00096173"/>
    <w:rsid w:val="000C15E1"/>
    <w:rsid w:val="001C1E58"/>
    <w:rsid w:val="001C243A"/>
    <w:rsid w:val="001E4485"/>
    <w:rsid w:val="001F31F9"/>
    <w:rsid w:val="00236850"/>
    <w:rsid w:val="00242F8B"/>
    <w:rsid w:val="002B122A"/>
    <w:rsid w:val="002C50D0"/>
    <w:rsid w:val="00312AC2"/>
    <w:rsid w:val="00426753"/>
    <w:rsid w:val="00430AF1"/>
    <w:rsid w:val="00454FB6"/>
    <w:rsid w:val="00472F8E"/>
    <w:rsid w:val="00496A5F"/>
    <w:rsid w:val="004E3102"/>
    <w:rsid w:val="005217C8"/>
    <w:rsid w:val="005B4A18"/>
    <w:rsid w:val="005E5E4C"/>
    <w:rsid w:val="006A6BE9"/>
    <w:rsid w:val="006D419F"/>
    <w:rsid w:val="00725D10"/>
    <w:rsid w:val="0074296B"/>
    <w:rsid w:val="00760BBD"/>
    <w:rsid w:val="007A10FE"/>
    <w:rsid w:val="007C14F6"/>
    <w:rsid w:val="007F3F6B"/>
    <w:rsid w:val="008174F7"/>
    <w:rsid w:val="008756FB"/>
    <w:rsid w:val="008769B2"/>
    <w:rsid w:val="008F06D1"/>
    <w:rsid w:val="00A14107"/>
    <w:rsid w:val="00A3495F"/>
    <w:rsid w:val="00A42010"/>
    <w:rsid w:val="00A42910"/>
    <w:rsid w:val="00A82C59"/>
    <w:rsid w:val="00B02F17"/>
    <w:rsid w:val="00B7623F"/>
    <w:rsid w:val="00BF36BC"/>
    <w:rsid w:val="00C15C48"/>
    <w:rsid w:val="00D91500"/>
    <w:rsid w:val="00D94A57"/>
    <w:rsid w:val="00DA0642"/>
    <w:rsid w:val="00DF470D"/>
    <w:rsid w:val="00E1475F"/>
    <w:rsid w:val="00E31C59"/>
    <w:rsid w:val="00E73911"/>
    <w:rsid w:val="00E76FFD"/>
    <w:rsid w:val="00F02367"/>
    <w:rsid w:val="00F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96173"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rsid w:val="00096173"/>
    <w:pPr>
      <w:ind w:left="226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sid w:val="00096173"/>
    <w:pPr>
      <w:ind w:left="526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  <w:rsid w:val="00096173"/>
    <w:pPr>
      <w:spacing w:line="220" w:lineRule="exact"/>
      <w:ind w:left="526" w:hanging="257"/>
    </w:pPr>
  </w:style>
  <w:style w:type="paragraph" w:customStyle="1" w:styleId="TableParagraph">
    <w:name w:val="Table Paragraph"/>
    <w:basedOn w:val="Normln"/>
    <w:uiPriority w:val="1"/>
    <w:qFormat/>
    <w:rsid w:val="00096173"/>
  </w:style>
  <w:style w:type="paragraph" w:styleId="Textbubliny">
    <w:name w:val="Balloon Text"/>
    <w:basedOn w:val="Normln"/>
    <w:link w:val="TextbublinyChar"/>
    <w:uiPriority w:val="99"/>
    <w:semiHidden/>
    <w:unhideWhenUsed/>
    <w:rsid w:val="00430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AF1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6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526" w:hanging="2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0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goout.cz" TargetMode="External"/><Relationship Id="rId13" Type="http://schemas.openxmlformats.org/officeDocument/2006/relationships/hyperlink" Target="http://www.goout.net/" TargetMode="External"/><Relationship Id="rId18" Type="http://schemas.openxmlformats.org/officeDocument/2006/relationships/hyperlink" Target="http://www.epravo.cz/top/zakony/sbirka-zakonu/zakon-ze-dne-24-listopadu-2015-o-zvlastnich-podminkach-ucinnosti-nekterych-smluv-uverejnovani-techto-smluv-a-o-registru-smluv-zakon-o-registru-smluv-2082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edron@nazabradli.cz" TargetMode="External"/><Relationship Id="rId12" Type="http://schemas.openxmlformats.org/officeDocument/2006/relationships/hyperlink" Target="http://www.goout.cz/" TargetMode="External"/><Relationship Id="rId17" Type="http://schemas.openxmlformats.org/officeDocument/2006/relationships/hyperlink" Target="http://www.goou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ut.net/cs/obchodni-podminky-pro-obchodni-partne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ut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ut.net/" TargetMode="External"/><Relationship Id="rId23" Type="http://schemas.microsoft.com/office/2011/relationships/people" Target="people.xml"/><Relationship Id="rId10" Type="http://schemas.openxmlformats.org/officeDocument/2006/relationships/hyperlink" Target="http://www.goout.ne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ut.net/" TargetMode="External"/><Relationship Id="rId14" Type="http://schemas.openxmlformats.org/officeDocument/2006/relationships/hyperlink" Target="http://www.goout.net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Kroupa</dc:creator>
  <cp:lastModifiedBy>stabenowova</cp:lastModifiedBy>
  <cp:revision>2</cp:revision>
  <cp:lastPrinted>2017-01-17T12:53:00Z</cp:lastPrinted>
  <dcterms:created xsi:type="dcterms:W3CDTF">2017-06-26T07:17:00Z</dcterms:created>
  <dcterms:modified xsi:type="dcterms:W3CDTF">2017-06-26T07:17:00Z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2017-01-12T00:00:00Z</vt:filetime>
  </property>
</Properties>
</file>