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  <w:u w:val="single"/>
        </w:rPr>
        <w:t>Licenční smlouva</w:t>
      </w:r>
      <w:r>
        <w:rPr>
          <w:rStyle w:val="CharStyle3"/>
        </w:rPr>
        <w:br/>
      </w:r>
      <w:r>
        <w:rPr>
          <w:rStyle w:val="CharStyle3"/>
        </w:rPr>
        <w:t>podle ust. par. 2358 a násl. občanského zákoníku, uzavřená mezi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" w:right="0" w:firstLine="0"/>
        <w:jc w:val="left"/>
      </w:pPr>
      <w:r>
        <w:rPr>
          <w:rStyle w:val="CharStyle10"/>
        </w:rPr>
        <w:t>Zdravotnická záchranná služba Jihomoravského kraje, příspěvková organizace</w:t>
      </w:r>
    </w:p>
    <w:tbl>
      <w:tblPr>
        <w:tblOverlap w:val="never"/>
        <w:jc w:val="left"/>
        <w:tblLayout w:type="fixed"/>
      </w:tblPr>
      <w:tblGrid>
        <w:gridCol w:w="2669"/>
        <w:gridCol w:w="4939"/>
      </w:tblGrid>
      <w:tr>
        <w:trPr>
          <w:trHeight w:val="45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Sídlo: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0"/>
              <w:jc w:val="left"/>
            </w:pPr>
            <w:r>
              <w:rPr>
                <w:rStyle w:val="CharStyle12"/>
              </w:rPr>
              <w:t>Kamenice 798/1 d, 625 00 Brno MUDr. Hana Albrechtová, ředitelka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2"/>
                <w:shd w:val="clear" w:color="auto" w:fill="000000"/>
              </w:rPr>
              <w:t>.......​</w:t>
            </w:r>
            <w:r>
              <w:rPr>
                <w:rStyle w:val="CharStyle12"/>
                <w:spacing w:val="5"/>
                <w:shd w:val="clear" w:color="auto" w:fill="000000"/>
              </w:rPr>
              <w:t>.........</w:t>
            </w:r>
            <w:r>
              <w:rPr>
                <w:rStyle w:val="CharStyle12"/>
                <w:spacing w:val="6"/>
                <w:shd w:val="clear" w:color="auto" w:fill="000000"/>
              </w:rPr>
              <w:t>.</w:t>
            </w:r>
            <w:r>
              <w:rPr>
                <w:rStyle w:val="CharStyle12"/>
                <w:shd w:val="clear" w:color="auto" w:fill="000000"/>
              </w:rPr>
              <w:t>​.</w:t>
            </w:r>
            <w:r>
              <w:rPr>
                <w:rStyle w:val="CharStyle12"/>
                <w:spacing w:val="1"/>
                <w:shd w:val="clear" w:color="auto" w:fill="000000"/>
              </w:rPr>
              <w:t>.........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IČO: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DIČ: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Zápis v OR: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2"/>
                <w:spacing w:val="1"/>
                <w:u w:val="single"/>
                <w:shd w:val="clear" w:color="auto" w:fill="000000"/>
              </w:rPr>
              <w:t>....</w:t>
            </w:r>
            <w:r>
              <w:rPr>
                <w:rStyle w:val="CharStyle12"/>
                <w:spacing w:val="2"/>
                <w:u w:val="single"/>
                <w:shd w:val="clear" w:color="auto" w:fill="000000"/>
              </w:rPr>
              <w:t>.......</w:t>
            </w:r>
            <w:r>
              <w:rPr>
                <w:rStyle w:val="CharStyle12"/>
                <w:u w:val="single"/>
                <w:shd w:val="clear" w:color="auto" w:fill="000000"/>
              </w:rPr>
              <w:t>​</w:t>
            </w:r>
            <w:r>
              <w:rPr>
                <w:rStyle w:val="CharStyle12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12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CharStyle12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12"/>
                <w:shd w:val="clear" w:color="auto" w:fill="000000"/>
              </w:rPr>
              <w:t>..​</w:t>
            </w:r>
            <w:r>
              <w:rPr>
                <w:rStyle w:val="CharStyle12"/>
                <w:spacing w:val="8"/>
                <w:shd w:val="clear" w:color="auto" w:fill="000000"/>
              </w:rPr>
              <w:t>...</w:t>
            </w:r>
            <w:r>
              <w:rPr>
                <w:rStyle w:val="CharStyle12"/>
                <w:spacing w:val="9"/>
                <w:shd w:val="clear" w:color="auto" w:fill="000000"/>
              </w:rPr>
              <w:t>..</w:t>
            </w:r>
            <w:r>
              <w:rPr>
                <w:rStyle w:val="CharStyle12"/>
                <w:shd w:val="clear" w:color="auto" w:fill="000000"/>
              </w:rPr>
              <w:t>​.......​</w:t>
            </w:r>
            <w:r>
              <w:rPr>
                <w:rStyle w:val="CharStyle12"/>
                <w:spacing w:val="6"/>
                <w:shd w:val="clear" w:color="auto" w:fill="000000"/>
              </w:rPr>
              <w:t>...</w:t>
            </w:r>
            <w:r>
              <w:rPr>
                <w:rStyle w:val="CharStyle12"/>
                <w:spacing w:val="7"/>
                <w:shd w:val="clear" w:color="auto" w:fill="000000"/>
              </w:rPr>
              <w:t>...</w:t>
            </w:r>
            <w:r>
              <w:rPr>
                <w:rStyle w:val="CharStyle12"/>
                <w:shd w:val="clear" w:color="auto" w:fill="000000"/>
              </w:rPr>
              <w:t>​......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</w:rPr>
              <w:t>00346292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</w:rPr>
              <w:t>CZ00346292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2"/>
              </w:rPr>
              <w:t>Krajský soud v Brně sp. zn. Pr 1245 MONETA Money Bank, a.s., č. ú. 117203514/0600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97" w:lineRule="auto"/>
        <w:ind w:left="0" w:right="0" w:firstLine="0"/>
        <w:jc w:val="left"/>
      </w:pPr>
      <w:r>
        <w:rPr>
          <w:rStyle w:val="CharStyle3"/>
        </w:rPr>
        <w:t>(dále jen „objednatel") 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065" distB="0" distL="0" distR="0" simplePos="0" relativeHeight="12582937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12065</wp:posOffset>
                </wp:positionV>
                <wp:extent cx="1713230" cy="12865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1286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(dále jen „poskytovatel")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(společně jen „smluvní strany")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200000000000003pt;margin-top:0.95000000000000007pt;width:134.90000000000001pt;height:101.3pt;z-index:-125829375;mso-wrap-distance-left:0;mso-wrap-distance-top:0.95000000000000007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„poskytovatel")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(společně jen „smluvní strany")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38785" distL="0" distR="0" simplePos="0" relativeHeight="125829380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0</wp:posOffset>
                </wp:positionV>
                <wp:extent cx="1835150" cy="8597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SOFTCOM GROUP, spol.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28.Pluku 458/7, 101 00 Praha 10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Aleš Plašil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25623290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CZ25623290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19-2295150207/0100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8.5pt;margin-top:0;width:144.5pt;height:67.700000000000003pt;z-index:-125829373;mso-wrap-distance-left:0;mso-wrap-distance-right:0;mso-wrap-distance-bottom:34.55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SOFTCOM GROUP,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28.Pluku 458/7, 101 00 Praha 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Aleš Plašil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25623290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CZ25623290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19-2295150207/0100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Poskytovatel je oprávněn poskytovat licenci k autorskému dílu ve formě počítačového programu s obchodním názvem „ESET Secure Authentication“, určeného pro bezpečnostní autentifikaci.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Poskytovatel touto smlouvou poskytuje objednateli licenci k autorskému dílu podle či. 1 této smlouvy, a to v rozsahu 100 přístupů současně na dobu podle čl. 13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Za účelem splnění tohoto svého závazku se poskytovatel zavazuje umožnit objednateli dálkový přístup k autorskému dílu podle čl. 1 této smlouvy, včetně jeho průběžných aktualizací, prostřednictvím sítě Internet.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Součástí závazku poskytovatele k poskytnutí licence k autorskému dílu podle této smlouvy je také technická podpora tohoto díla dle čl. 1 této smlouvy, po dobu platnosti licence podle čl. 13 této smlouvy. Technickou podporou se přitom rozumí zejména aktualizace příslušného autorského díla s ohledem na vývoj právních předpisů a uživatelského prostředí a odstraňování závad na tomto díle.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Poskytovatel se zavazuje splnit svůj závazek podle čl. 3 této smlouvy ve lhůtě nejpozději do 5 dnu ode dne účinnosti teto smlouvy. Zavazek k poskytnutí licence se přitom povazuje za splněný po zpřístupnění autorského díla dohodnutým způsobem dnem předání a převzetí díla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680" w:right="0" w:hanging="320"/>
        <w:jc w:val="both"/>
      </w:pPr>
      <w:r>
        <w:rPr>
          <w:rStyle w:val="CharStyle3"/>
        </w:rPr>
        <w:t>Pro případ prodlení poskytovatele se splněním jeho závazku k poskytnutí licence podle této smlouvy ve lhůtě podle tohoto článku této smlouvy se poskytovatel zavazuje zaplatit objednateli smluvní pokutu ve výši 1 000,- Kč za každý započatý den tohoto prodlení. Pro případ tohoto prodlení o víc než 10 dnů je objednatel oprávněn odstoupit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800" w:right="0" w:hanging="320"/>
        <w:jc w:val="both"/>
      </w:pPr>
      <w:r>
        <w:rPr>
          <w:rStyle w:val="CharStyle3"/>
        </w:rPr>
        <w:t>Objednatel se zavazuje zaplatit poskytovateli za poskytnutí licence podle této smlouvy cenu ve výši 90 932,80,-Kč bez DPH, tj. 110 028,69,-Kč s DPH. Součástí této ceny jsou veškeré náklady poskytovatele na splnění jeho závazku k poskytnutí licence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800" w:right="0" w:hanging="320"/>
        <w:jc w:val="both"/>
      </w:pPr>
      <w:r>
        <w:rPr>
          <w:rStyle w:val="CharStyle3"/>
        </w:rPr>
        <w:t xml:space="preserve">Kupní cena podle čl. 7 této smlouvy je splatná na účet poskytovatéle po splnění závazku poskytovatele k plnění podle čl. 4 této smlouvy způsobem podle čl. 5 této smlouvy ve lhůtě do 30 dnů ode dne doručení jejího písemného vyúčtování (daňového dokladu/ faktury). Faktura bude doručena elektronicky na email: </w:t>
      </w:r>
      <w:r>
        <w:rPr>
          <w:rStyle w:val="CharStyle3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....................</w:t>
      </w:r>
      <w:r>
        <w:rPr>
          <w:rStyle w:val="CharStyle3"/>
          <w:lang w:val="en-US" w:eastAsia="en-US" w:bidi="en-US"/>
        </w:rPr>
        <w:t xml:space="preserve">cz </w:t>
      </w:r>
      <w:r>
        <w:rPr>
          <w:rStyle w:val="CharStyle3"/>
        </w:rPr>
        <w:t xml:space="preserve">a </w:t>
      </w:r>
      <w:r>
        <w:rPr>
          <w:rStyle w:val="CharStyle3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P23V00003798. </w:t>
      </w:r>
      <w:r>
        <w:rPr>
          <w:rStyle w:val="CharStyle3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6" w:val="left"/>
        </w:tabs>
        <w:bidi w:val="0"/>
        <w:spacing w:before="0" w:line="240" w:lineRule="auto"/>
        <w:ind w:left="800" w:right="0" w:hanging="320"/>
        <w:jc w:val="both"/>
      </w:pPr>
      <w:r>
        <w:rPr>
          <w:rStyle w:val="CharStyle3"/>
        </w:rPr>
        <w:t>Objednatel je oprávněn odstoupit od této smlouvy pro případ takového výskytu vady počítačového programu podle čl. 1 této smlouvy, která brání jeho řádnému použití pro jeho účely, a to rovněž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5" w:val="left"/>
        </w:tabs>
        <w:bidi w:val="0"/>
        <w:spacing w:before="0" w:line="240" w:lineRule="auto"/>
        <w:ind w:left="800" w:right="0" w:hanging="320"/>
        <w:jc w:val="both"/>
      </w:pPr>
      <w:r>
        <w:rPr>
          <w:rStyle w:val="CharStyle3"/>
        </w:rPr>
        <w:t>Poskytovatel je oprávněn odstoupit od této smlouvy pro případ prodlení objednatele se splněním jeho uhrazovací povinnosti podle čl. 7 této smlouvy ve lhůtě podle čl. 8 této smlouvy o víc, než 10 dnů.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5" w:val="left"/>
        </w:tabs>
        <w:bidi w:val="0"/>
        <w:spacing w:before="0" w:line="240" w:lineRule="auto"/>
        <w:ind w:left="800" w:right="0" w:hanging="320"/>
        <w:jc w:val="both"/>
      </w:pPr>
      <w:r>
        <w:rPr>
          <w:rStyle w:val="CharStyle3"/>
        </w:rPr>
        <w:t>Není-li touto smlouvou ujednáno jinak, řídí se vzájemný právní poměr mezi poskytovatele a nabyvatelem právem České republiky, zejména příslušnými občanského zákoníku a zákona č. 121/2000 Sb. o právu autorském a obecnými ustanoveními občanského zákoníku o kupní smlouvě a o závazcích.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5" w:val="left"/>
        </w:tabs>
        <w:bidi w:val="0"/>
        <w:spacing w:before="0" w:line="240" w:lineRule="auto"/>
        <w:ind w:left="0" w:right="0" w:firstLine="460"/>
        <w:jc w:val="both"/>
      </w:pPr>
      <w:r>
        <w:rPr>
          <w:rStyle w:val="CharStyle3"/>
        </w:rPr>
        <w:t>Tuto smlouvu lze změnit nebo zrušit pouze jinou písemnou dohodou obou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5" w:val="left"/>
        </w:tabs>
        <w:bidi w:val="0"/>
        <w:spacing w:before="0" w:line="240" w:lineRule="auto"/>
        <w:ind w:left="0" w:right="0" w:firstLine="460"/>
        <w:jc w:val="both"/>
      </w:pPr>
      <w:r>
        <w:rPr>
          <w:rStyle w:val="CharStyle3"/>
        </w:rPr>
        <w:t>Tato smlouva se uzavírá na dobu určitou 3 let ode dne její účinnosti.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5" w:val="left"/>
        </w:tabs>
        <w:bidi w:val="0"/>
        <w:spacing w:before="0" w:line="252" w:lineRule="auto"/>
        <w:ind w:left="800" w:right="0" w:hanging="320"/>
        <w:jc w:val="both"/>
      </w:pPr>
      <w:r>
        <w:rPr>
          <w:rStyle w:val="CharStyle3"/>
        </w:rPr>
        <w:t>Tato smlouva nabývá platnosti dnem jejího uzavření a účinnosti dnem jejího uveřejnění v registru smluv dle příslušných ustanovení zákona č. 340/2015 Sb. 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5" w:val="left"/>
        </w:tabs>
        <w:bidi w:val="0"/>
        <w:spacing w:before="0" w:after="0" w:line="240" w:lineRule="auto"/>
        <w:ind w:left="0" w:right="0" w:firstLine="46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549" w:right="1438" w:bottom="2062" w:left="145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ve dvou originálních písemných vyhotoveních, z nichž každá ze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1" w:after="2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3" w:right="0" w:bottom="306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872" w:val="left"/>
        </w:tabs>
        <w:bidi w:val="0"/>
        <w:spacing w:before="0" w:after="38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 Brně dne</w:t>
        <w:tab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  <w:b/>
          <w:bCs/>
          <w:sz w:val="15"/>
          <w:szCs w:val="15"/>
        </w:rPr>
        <w:t xml:space="preserve">Ml irV </w:t>
      </w:r>
      <w:r>
        <w:rPr>
          <w:rStyle w:val="CharStyle30"/>
        </w:rPr>
        <w:t>U</w:t>
      </w:r>
      <w:r>
        <w:rPr>
          <w:rStyle w:val="CharStyle30"/>
          <w:vertAlign w:val="subscript"/>
        </w:rPr>
        <w:t>ana</w:t>
      </w:r>
      <w:r>
        <w:rPr>
          <w:rStyle w:val="CharStyle30"/>
        </w:rPr>
        <w:t>l;Digitálněpodepsal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Style w:val="CharStyle30"/>
          <w:b/>
          <w:bCs/>
          <w:sz w:val="15"/>
          <w:szCs w:val="15"/>
        </w:rPr>
        <w:t xml:space="preserve">IVI VLyl. řidl </w:t>
      </w:r>
      <w:r>
        <w:rPr>
          <w:rStyle w:val="CharStyle30"/>
        </w:rPr>
        <w:t>la^MUDr. Hana Albrechtová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r>
        <w:rPr>
          <w:rStyle w:val="CharStyle33"/>
        </w:rPr>
        <w:t>Albrechtová</w:t>
      </w:r>
      <w:bookmarkEnd w:id="0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V Praze dne 29.11.2023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0"/>
          <w:i/>
          <w:iCs/>
        </w:rPr>
        <w:t>I</w:t>
      </w:r>
      <w:r>
        <w:rPr>
          <w:rStyle w:val="CharStyle30"/>
        </w:rPr>
        <w:t xml:space="preserve"> Digitálně podepsal Ing.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36"/>
        </w:rPr>
        <w:t>Ing. Aleš Plaši^</w:t>
      </w:r>
      <w:bookmarkEnd w:id="2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  <w:rPr>
          <w:sz w:val="15"/>
          <w:szCs w:val="15"/>
        </w:rPr>
      </w:pPr>
      <w:r>
        <w:rPr>
          <w:rStyle w:val="CharStyle30"/>
          <w:sz w:val="15"/>
          <w:szCs w:val="15"/>
          <w:vertAlign w:val="subscript"/>
        </w:rPr>
        <w:t>4</w:t>
      </w:r>
      <w:r>
        <w:rPr>
          <w:rStyle w:val="CharStyle30"/>
          <w:sz w:val="15"/>
          <w:szCs w:val="15"/>
        </w:rPr>
        <w:t>/ 10:17:00+01'00'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3" w:right="1881" w:bottom="3066" w:left="1418" w:header="0" w:footer="3" w:gutter="0"/>
          <w:cols w:num="2" w:space="1393"/>
          <w:noEndnote/>
          <w:rtlGutter w:val="0"/>
          <w:docGrid w:linePitch="360"/>
        </w:sectPr>
      </w:pPr>
      <w:r>
        <w:rPr>
          <w:rStyle w:val="CharStyle3"/>
        </w:rPr>
        <w:t>Ing. Aleš Plašil</w:t>
      </w:r>
    </w:p>
    <w:p>
      <w:pPr>
        <w:widowControl w:val="0"/>
        <w:spacing w:line="57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3" w:right="0" w:bottom="158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12700</wp:posOffset>
                </wp:positionV>
                <wp:extent cx="1127760" cy="48768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</w:rPr>
                              <w:t>Jméno a příjmení,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0"/>
                                <w:szCs w:val="20"/>
                              </w:rPr>
                              <w:t>Poskytovatel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7.10000000000002pt;margin-top:1.pt;width:88.799999999999997pt;height:38.3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Jméno a příjmení,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>Poskytovatel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MUDr. Hana Albrechtová ředitelka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r>
        <w:rPr>
          <w:rStyle w:val="CharStyle40"/>
          <w:b/>
          <w:bCs/>
        </w:rPr>
        <w:t>Objednatel</w:t>
      </w:r>
      <w:bookmarkEnd w:id="4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83" w:right="5193" w:bottom="1583" w:left="14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9944735</wp:posOffset>
              </wp:positionV>
              <wp:extent cx="1996440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VZ 61 2023 Eset Secure Authentication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7.400000000000006pt;margin-top:783.05000000000007pt;width:157.20000000000002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6"/>
                        <w:szCs w:val="16"/>
                      </w:rPr>
                      <w:t>VZ 61 2023 Eset Secure Authentication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9947910</wp:posOffset>
              </wp:positionV>
              <wp:extent cx="2002790" cy="1155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0279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6"/>
                              <w:sz w:val="19"/>
                              <w:szCs w:val="19"/>
                            </w:rPr>
                            <w:t>VZ 61_2023 Eset Secure Authentication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8.600000000000009pt;margin-top:783.30000000000007pt;width:157.70000000000002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sz w:val="19"/>
                        <w:szCs w:val="19"/>
                      </w:rPr>
                      <w:t>VZ 61_2023 Eset Secure Authentication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5610225</wp:posOffset>
              </wp:positionH>
              <wp:positionV relativeFrom="page">
                <wp:posOffset>764540</wp:posOffset>
              </wp:positionV>
              <wp:extent cx="557530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2023009309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1.75pt;margin-top:60.200000000000003pt;width:43.89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5"/>
                        <w:szCs w:val="15"/>
                      </w:rPr>
                      <w:t>2023009309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3">
    <w:name w:val="Nadpis #1_"/>
    <w:basedOn w:val="DefaultParagraphFont"/>
    <w:link w:val="Style32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6">
    <w:name w:val="Nadpis #2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0">
    <w:name w:val="Nadpis #3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2">
    <w:name w:val="Nadpis #1"/>
    <w:basedOn w:val="Normal"/>
    <w:link w:val="CharStyle33"/>
    <w:pPr>
      <w:widowControl w:val="0"/>
      <w:shd w:val="clear" w:color="auto" w:fill="auto"/>
      <w:spacing w:line="228" w:lineRule="auto"/>
      <w:outlineLvl w:val="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39">
    <w:name w:val="Nadpis #3"/>
    <w:basedOn w:val="Normal"/>
    <w:link w:val="CharStyle40"/>
    <w:pPr>
      <w:widowControl w:val="0"/>
      <w:shd w:val="clear" w:color="auto" w:fill="auto"/>
      <w:spacing w:line="257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