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671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</w:p>
    <w:p w:rsidR="00D474C7" w:rsidRDefault="00C84A8F">
      <w:pPr>
        <w:spacing w:after="0" w:line="259" w:lineRule="auto"/>
        <w:ind w:left="2626"/>
      </w:pPr>
      <w:r>
        <w:rPr>
          <w:rFonts w:ascii="Arial" w:eastAsia="Arial" w:hAnsi="Arial" w:cs="Arial"/>
          <w:b/>
          <w:sz w:val="56"/>
          <w:u w:val="none"/>
        </w:rPr>
        <w:t xml:space="preserve">DODATEK č. 1 </w:t>
      </w:r>
    </w:p>
    <w:p w:rsidR="00D474C7" w:rsidRDefault="00C84A8F">
      <w:pPr>
        <w:spacing w:after="268" w:line="259" w:lineRule="auto"/>
        <w:ind w:left="2390" w:firstLine="0"/>
      </w:pPr>
      <w:r>
        <w:rPr>
          <w:rFonts w:ascii="Arial" w:eastAsia="Arial" w:hAnsi="Arial" w:cs="Arial"/>
          <w:sz w:val="40"/>
          <w:u w:val="none"/>
        </w:rPr>
        <w:t xml:space="preserve">(dále také jen „dodatek“) </w:t>
      </w:r>
    </w:p>
    <w:p w:rsidR="00D474C7" w:rsidRDefault="00C84A8F">
      <w:pPr>
        <w:spacing w:after="9" w:line="259" w:lineRule="auto"/>
        <w:ind w:left="0" w:right="1744" w:firstLine="0"/>
        <w:jc w:val="right"/>
      </w:pPr>
      <w:r>
        <w:rPr>
          <w:rFonts w:ascii="Arial" w:eastAsia="Arial" w:hAnsi="Arial" w:cs="Arial"/>
          <w:b/>
          <w:sz w:val="56"/>
          <w:u w:val="none"/>
        </w:rPr>
        <w:t xml:space="preserve">k pojistné smlouvě č.  </w:t>
      </w:r>
    </w:p>
    <w:p w:rsidR="00D474C7" w:rsidRDefault="00C84A8F">
      <w:pPr>
        <w:spacing w:after="0" w:line="259" w:lineRule="auto"/>
        <w:ind w:left="3013"/>
      </w:pPr>
      <w:r>
        <w:rPr>
          <w:rFonts w:ascii="Arial" w:eastAsia="Arial" w:hAnsi="Arial" w:cs="Arial"/>
          <w:b/>
          <w:sz w:val="56"/>
          <w:u w:val="none"/>
        </w:rPr>
        <w:t xml:space="preserve">8078985310 </w:t>
      </w:r>
    </w:p>
    <w:p w:rsidR="00D474C7" w:rsidRDefault="00C84A8F">
      <w:pPr>
        <w:pStyle w:val="Nadpis1"/>
        <w:spacing w:after="407"/>
        <w:ind w:left="0" w:right="1628"/>
      </w:pPr>
      <w:r>
        <w:t xml:space="preserve">(dále také jen „pojistná smlouva“) </w:t>
      </w:r>
    </w:p>
    <w:p w:rsidR="00D474C7" w:rsidRDefault="00C84A8F">
      <w:pPr>
        <w:spacing w:after="69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Smluvní strany: </w:t>
      </w:r>
    </w:p>
    <w:p w:rsidR="00D474C7" w:rsidRDefault="00C84A8F">
      <w:pPr>
        <w:pStyle w:val="Nadpis2"/>
        <w:ind w:left="-5"/>
      </w:pPr>
      <w:r>
        <w:t xml:space="preserve">ČSOB Pojišťovna, a. s., člen holdingu ČSOB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se sídlem Masarykovo náměstí 1458, Zelené Předměstí </w:t>
      </w:r>
    </w:p>
    <w:p w:rsidR="00D474C7" w:rsidRDefault="00C84A8F">
      <w:pPr>
        <w:spacing w:after="5" w:line="269" w:lineRule="auto"/>
        <w:ind w:left="-5" w:right="5609"/>
        <w:jc w:val="both"/>
      </w:pPr>
      <w:r>
        <w:rPr>
          <w:rFonts w:ascii="Arial" w:eastAsia="Arial" w:hAnsi="Arial" w:cs="Arial"/>
          <w:u w:val="none"/>
        </w:rPr>
        <w:t xml:space="preserve">53002 Pardubice, Česká republika IČO: 45534306, DIČ: CZ699000761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zapsaná v obchodním rejstříku u Krajského soudu Hradec Králové, oddíl B, vložka 567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(dále jen pojistitel) </w:t>
      </w:r>
    </w:p>
    <w:p w:rsidR="00D474C7" w:rsidRDefault="00C84A8F">
      <w:pPr>
        <w:spacing w:after="310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tel.: </w:t>
      </w:r>
      <w:proofErr w:type="spellStart"/>
      <w:proofErr w:type="gramStart"/>
      <w:r w:rsidR="00E5355A">
        <w:rPr>
          <w:rFonts w:ascii="Arial" w:eastAsia="Arial" w:hAnsi="Arial" w:cs="Arial"/>
          <w:u w:val="none"/>
        </w:rPr>
        <w:t>xxxxxxxxxx</w:t>
      </w:r>
      <w:proofErr w:type="spellEnd"/>
      <w:r>
        <w:rPr>
          <w:rFonts w:ascii="Arial" w:eastAsia="Arial" w:hAnsi="Arial" w:cs="Arial"/>
          <w:u w:val="none"/>
        </w:rPr>
        <w:t xml:space="preserve">   fax</w:t>
      </w:r>
      <w:proofErr w:type="gramEnd"/>
      <w:r>
        <w:rPr>
          <w:rFonts w:ascii="Arial" w:eastAsia="Arial" w:hAnsi="Arial" w:cs="Arial"/>
          <w:u w:val="none"/>
        </w:rPr>
        <w:t xml:space="preserve">: </w:t>
      </w:r>
      <w:proofErr w:type="spellStart"/>
      <w:r w:rsidR="00E5355A">
        <w:rPr>
          <w:rFonts w:ascii="Arial" w:eastAsia="Arial" w:hAnsi="Arial" w:cs="Arial"/>
          <w:u w:val="none"/>
        </w:rPr>
        <w:t>xxxxxxxxxxx</w:t>
      </w:r>
      <w:proofErr w:type="spellEnd"/>
      <w:r>
        <w:rPr>
          <w:rFonts w:ascii="Arial" w:eastAsia="Arial" w:hAnsi="Arial" w:cs="Arial"/>
          <w:u w:val="none"/>
        </w:rPr>
        <w:t xml:space="preserve">   </w:t>
      </w:r>
      <w:hyperlink r:id="rId7">
        <w:r>
          <w:rPr>
            <w:rFonts w:ascii="Arial" w:eastAsia="Arial" w:hAnsi="Arial" w:cs="Arial"/>
            <w:u w:val="none"/>
          </w:rPr>
          <w:t>ww</w:t>
        </w:r>
        <w:r>
          <w:rPr>
            <w:rFonts w:ascii="Arial" w:eastAsia="Arial" w:hAnsi="Arial" w:cs="Arial"/>
            <w:u w:val="none"/>
          </w:rPr>
          <w:t>w.csobpoj.cz</w:t>
        </w:r>
      </w:hyperlink>
      <w:hyperlink r:id="rId8">
        <w:r>
          <w:rPr>
            <w:rFonts w:ascii="Arial" w:eastAsia="Arial" w:hAnsi="Arial" w:cs="Arial"/>
            <w:u w:val="none"/>
          </w:rPr>
          <w:t xml:space="preserve"> </w:t>
        </w:r>
      </w:hyperlink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pojistitele zastupuje: Petra </w:t>
      </w:r>
      <w:proofErr w:type="spellStart"/>
      <w:r>
        <w:rPr>
          <w:rFonts w:ascii="Arial" w:eastAsia="Arial" w:hAnsi="Arial" w:cs="Arial"/>
          <w:u w:val="none"/>
        </w:rPr>
        <w:t>Hričindová</w:t>
      </w:r>
      <w:proofErr w:type="spellEnd"/>
      <w:r>
        <w:rPr>
          <w:rFonts w:ascii="Arial" w:eastAsia="Arial" w:hAnsi="Arial" w:cs="Arial"/>
          <w:u w:val="none"/>
        </w:rPr>
        <w:t xml:space="preserve">, </w:t>
      </w:r>
      <w:proofErr w:type="spellStart"/>
      <w:r>
        <w:rPr>
          <w:rFonts w:ascii="Arial" w:eastAsia="Arial" w:hAnsi="Arial" w:cs="Arial"/>
          <w:u w:val="none"/>
        </w:rPr>
        <w:t>key</w:t>
      </w:r>
      <w:proofErr w:type="spellEnd"/>
      <w:r>
        <w:rPr>
          <w:rFonts w:ascii="Arial" w:eastAsia="Arial" w:hAnsi="Arial" w:cs="Arial"/>
          <w:u w:val="none"/>
        </w:rPr>
        <w:t xml:space="preserve"> </w:t>
      </w:r>
      <w:proofErr w:type="spellStart"/>
      <w:r>
        <w:rPr>
          <w:rFonts w:ascii="Arial" w:eastAsia="Arial" w:hAnsi="Arial" w:cs="Arial"/>
          <w:u w:val="none"/>
        </w:rPr>
        <w:t>account</w:t>
      </w:r>
      <w:proofErr w:type="spellEnd"/>
      <w:r>
        <w:rPr>
          <w:rFonts w:ascii="Arial" w:eastAsia="Arial" w:hAnsi="Arial" w:cs="Arial"/>
          <w:u w:val="none"/>
        </w:rPr>
        <w:t xml:space="preserve"> </w:t>
      </w:r>
      <w:proofErr w:type="spellStart"/>
      <w:r>
        <w:rPr>
          <w:rFonts w:ascii="Arial" w:eastAsia="Arial" w:hAnsi="Arial" w:cs="Arial"/>
          <w:u w:val="none"/>
        </w:rPr>
        <w:t>manager</w:t>
      </w:r>
      <w:proofErr w:type="spellEnd"/>
      <w:r>
        <w:rPr>
          <w:rFonts w:ascii="Arial" w:eastAsia="Arial" w:hAnsi="Arial" w:cs="Arial"/>
          <w:u w:val="none"/>
        </w:rPr>
        <w:t xml:space="preserve"> </w:t>
      </w:r>
    </w:p>
    <w:p w:rsidR="00D474C7" w:rsidRDefault="00C84A8F">
      <w:pPr>
        <w:spacing w:after="778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</w:p>
    <w:p w:rsidR="00D474C7" w:rsidRDefault="00C84A8F">
      <w:pPr>
        <w:spacing w:after="694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a </w:t>
      </w:r>
    </w:p>
    <w:p w:rsidR="00D474C7" w:rsidRDefault="00C84A8F">
      <w:pPr>
        <w:pStyle w:val="Nadpis2"/>
        <w:ind w:left="-5"/>
      </w:pPr>
      <w:r>
        <w:t xml:space="preserve">MĚSTO NÁCHOD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se sídlem / místem podnikání Masarykovo náměstí 40 </w:t>
      </w:r>
    </w:p>
    <w:p w:rsidR="00D474C7" w:rsidRDefault="00C84A8F">
      <w:pPr>
        <w:spacing w:after="309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54701, Náchod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IČO: 00272868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- </w:t>
      </w:r>
    </w:p>
    <w:p w:rsidR="00D474C7" w:rsidRDefault="00C84A8F">
      <w:pPr>
        <w:spacing w:after="5" w:line="572" w:lineRule="auto"/>
        <w:ind w:left="-5" w:right="5657"/>
        <w:jc w:val="both"/>
      </w:pPr>
      <w:r>
        <w:rPr>
          <w:rFonts w:ascii="Arial" w:eastAsia="Arial" w:hAnsi="Arial" w:cs="Arial"/>
          <w:u w:val="none"/>
        </w:rPr>
        <w:t>(dále jen „pojistník“) pojistníka z</w:t>
      </w:r>
      <w:r>
        <w:rPr>
          <w:rFonts w:ascii="Arial" w:eastAsia="Arial" w:hAnsi="Arial" w:cs="Arial"/>
          <w:u w:val="none"/>
        </w:rPr>
        <w:t xml:space="preserve">astupuje: Jan </w:t>
      </w:r>
      <w:proofErr w:type="spellStart"/>
      <w:r>
        <w:rPr>
          <w:rFonts w:ascii="Arial" w:eastAsia="Arial" w:hAnsi="Arial" w:cs="Arial"/>
          <w:u w:val="none"/>
        </w:rPr>
        <w:t>Birke</w:t>
      </w:r>
      <w:proofErr w:type="spellEnd"/>
      <w:r>
        <w:rPr>
          <w:rFonts w:ascii="Arial" w:eastAsia="Arial" w:hAnsi="Arial" w:cs="Arial"/>
          <w:u w:val="none"/>
        </w:rPr>
        <w:t xml:space="preserve">, starosta </w:t>
      </w:r>
    </w:p>
    <w:p w:rsidR="00D474C7" w:rsidRDefault="00C84A8F">
      <w:pPr>
        <w:spacing w:after="5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se dohodly, že výše uvedená pojistná smlouva se mění a doplňuje takto: </w:t>
      </w:r>
    </w:p>
    <w:p w:rsidR="00D474C7" w:rsidRDefault="00C84A8F">
      <w:pPr>
        <w:spacing w:after="0" w:line="259" w:lineRule="auto"/>
        <w:ind w:left="0" w:firstLine="0"/>
      </w:pPr>
      <w:r>
        <w:rPr>
          <w:b/>
          <w:i/>
          <w:u w:val="none"/>
        </w:rPr>
        <w:t xml:space="preserve"> </w:t>
      </w:r>
      <w:r>
        <w:rPr>
          <w:b/>
          <w:i/>
          <w:u w:val="none"/>
        </w:rPr>
        <w:tab/>
      </w:r>
      <w:r>
        <w:rPr>
          <w:u w:val="none"/>
        </w:rPr>
        <w:t xml:space="preserve"> </w:t>
      </w:r>
    </w:p>
    <w:p w:rsidR="00D474C7" w:rsidRDefault="00C84A8F">
      <w:pPr>
        <w:spacing w:after="0" w:line="259" w:lineRule="auto"/>
        <w:ind w:left="10" w:right="12"/>
        <w:jc w:val="center"/>
      </w:pPr>
      <w:r>
        <w:rPr>
          <w:rFonts w:ascii="Arial" w:eastAsia="Arial" w:hAnsi="Arial" w:cs="Arial"/>
          <w:b/>
          <w:i/>
          <w:sz w:val="28"/>
          <w:u w:val="none"/>
        </w:rPr>
        <w:t xml:space="preserve">Článek I. </w:t>
      </w:r>
    </w:p>
    <w:p w:rsidR="00D474C7" w:rsidRDefault="00C84A8F">
      <w:pPr>
        <w:pStyle w:val="Nadpis3"/>
        <w:spacing w:after="271"/>
        <w:ind w:left="34" w:right="6"/>
      </w:pPr>
      <w:r>
        <w:lastRenderedPageBreak/>
        <w:t xml:space="preserve">Změna již existujících právních vztahů pojištění sjednaných pojistnou smlouvou </w:t>
      </w:r>
    </w:p>
    <w:p w:rsidR="00D474C7" w:rsidRDefault="00C84A8F">
      <w:pPr>
        <w:spacing w:after="378" w:line="259" w:lineRule="auto"/>
        <w:ind w:left="-5"/>
      </w:pPr>
      <w:r>
        <w:rPr>
          <w:rFonts w:ascii="Arial" w:eastAsia="Arial" w:hAnsi="Arial" w:cs="Arial"/>
          <w:b/>
          <w:sz w:val="24"/>
          <w:u w:val="none"/>
        </w:rPr>
        <w:t xml:space="preserve">1. Živelní pojištění </w:t>
      </w:r>
      <w:r>
        <w:rPr>
          <w:rFonts w:ascii="Arial" w:eastAsia="Arial" w:hAnsi="Arial" w:cs="Arial"/>
          <w:b/>
          <w:u w:val="none"/>
        </w:rPr>
        <w:t xml:space="preserve">sjednané článkem II. pojistné smlouvy se ode dne nabytí účinnosti </w:t>
      </w: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</w:r>
      <w:r>
        <w:rPr>
          <w:rFonts w:ascii="Arial" w:eastAsia="Arial" w:hAnsi="Arial" w:cs="Arial"/>
          <w:sz w:val="1"/>
          <w:u w:val="none"/>
          <w:vertAlign w:val="subscript"/>
        </w:rPr>
        <w:t xml:space="preserve"> </w:t>
      </w:r>
      <w:r>
        <w:rPr>
          <w:rFonts w:ascii="Arial" w:eastAsia="Arial" w:hAnsi="Arial" w:cs="Arial"/>
          <w:b/>
          <w:u w:val="none"/>
        </w:rPr>
        <w:t>tohoto dodatku mění následovně:</w:t>
      </w:r>
      <w:r>
        <w:rPr>
          <w:rFonts w:ascii="Arial" w:eastAsia="Arial" w:hAnsi="Arial" w:cs="Arial"/>
          <w:b/>
          <w:sz w:val="24"/>
          <w:u w:val="none"/>
        </w:rPr>
        <w:t xml:space="preserve"> </w:t>
      </w:r>
    </w:p>
    <w:p w:rsidR="00D474C7" w:rsidRDefault="00C84A8F">
      <w:pPr>
        <w:pStyle w:val="Nadpis2"/>
        <w:spacing w:after="117"/>
        <w:ind w:left="-5"/>
      </w:pPr>
      <w:r>
        <w:t xml:space="preserve">ZMĚNY </w:t>
      </w:r>
    </w:p>
    <w:p w:rsidR="00D474C7" w:rsidRDefault="00C84A8F">
      <w:pPr>
        <w:spacing w:after="169" w:line="269" w:lineRule="auto"/>
        <w:ind w:left="-5" w:right="2"/>
        <w:jc w:val="both"/>
      </w:pPr>
      <w:r>
        <w:rPr>
          <w:rFonts w:ascii="Arial" w:eastAsia="Arial" w:hAnsi="Arial" w:cs="Arial"/>
          <w:u w:val="none"/>
        </w:rPr>
        <w:t xml:space="preserve">Pojistitel a pojistník výslovně sjednávají, že </w:t>
      </w:r>
      <w:r>
        <w:rPr>
          <w:rFonts w:ascii="Arial" w:eastAsia="Arial" w:hAnsi="Arial" w:cs="Arial"/>
          <w:b/>
          <w:u w:val="none"/>
        </w:rPr>
        <w:t>ode dne nabytí účinnosti tohoto dodatku SE MĚNÍ obsah právního vztahu pojištění ve vztahu k následuj</w:t>
      </w:r>
      <w:r>
        <w:rPr>
          <w:rFonts w:ascii="Arial" w:eastAsia="Arial" w:hAnsi="Arial" w:cs="Arial"/>
          <w:b/>
          <w:u w:val="none"/>
        </w:rPr>
        <w:t>ícím dosavadním hodnotám pojistného zájmu (následujícím dosavadním předmětům pojištění)</w:t>
      </w:r>
      <w:r>
        <w:rPr>
          <w:rFonts w:ascii="Arial" w:eastAsia="Arial" w:hAnsi="Arial" w:cs="Arial"/>
          <w:u w:val="none"/>
        </w:rPr>
        <w:t>. Pojistitel a pojistník výslovně a v zájmu předejití jakýmkoliv budoucím právním sporům o výklad pojistné smlouvy a tohoto dodatku uvádějí pro přehlednost níže vždy cel</w:t>
      </w:r>
      <w:r>
        <w:rPr>
          <w:rFonts w:ascii="Arial" w:eastAsia="Arial" w:hAnsi="Arial" w:cs="Arial"/>
          <w:u w:val="none"/>
        </w:rPr>
        <w:t>ý obsah právního vztahu pojištění vztahující se k jednotlivé hodnotě pojistného zájmu (k jednotlivému předmětu pojištění), a to i v těch jeho částech či dílčích parametrech, které tímto dodatkem změněny nebyly:</w:t>
      </w: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392" w:line="268" w:lineRule="auto"/>
        <w:ind w:left="-5" w:right="6"/>
        <w:jc w:val="both"/>
      </w:pPr>
      <w:r>
        <w:rPr>
          <w:rFonts w:ascii="Arial" w:eastAsia="Arial" w:hAnsi="Arial" w:cs="Arial"/>
          <w:sz w:val="18"/>
          <w:u w:val="none"/>
        </w:rPr>
        <w:t>V souladu s článkem I. pojistné smlouvy se t</w:t>
      </w:r>
      <w:r>
        <w:rPr>
          <w:rFonts w:ascii="Arial" w:eastAsia="Arial" w:hAnsi="Arial" w:cs="Arial"/>
          <w:sz w:val="18"/>
          <w:u w:val="none"/>
        </w:rPr>
        <w:t xml:space="preserve">oto pojištění řídí také Všeobecnými pojistnými podmínkami - zvláštní část Živelní pojištění VPP Z 2014 (dále jen "VPP Z 2014"), které jsou nedílnou součástí a přílohou této pojistné smlouvy. </w:t>
      </w:r>
    </w:p>
    <w:p w:rsidR="00D474C7" w:rsidRDefault="00C84A8F">
      <w:pPr>
        <w:pStyle w:val="Nadpis3"/>
        <w:spacing w:after="0" w:line="259" w:lineRule="auto"/>
        <w:ind w:left="-5"/>
        <w:jc w:val="left"/>
      </w:pPr>
      <w:r>
        <w:rPr>
          <w:i w:val="0"/>
          <w:sz w:val="20"/>
        </w:rPr>
        <w:t xml:space="preserve">ROZSAH POJIŠTĚNÍ </w:t>
      </w:r>
    </w:p>
    <w:tbl>
      <w:tblPr>
        <w:tblStyle w:val="TableGrid"/>
        <w:tblW w:w="9115" w:type="dxa"/>
        <w:tblInd w:w="4" w:type="dxa"/>
        <w:tblCellMar>
          <w:top w:w="26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700"/>
        <w:gridCol w:w="739"/>
        <w:gridCol w:w="781"/>
        <w:gridCol w:w="1099"/>
        <w:gridCol w:w="902"/>
        <w:gridCol w:w="999"/>
        <w:gridCol w:w="1198"/>
      </w:tblGrid>
      <w:tr w:rsidR="00D474C7">
        <w:trPr>
          <w:trHeight w:val="2338"/>
        </w:trPr>
        <w:tc>
          <w:tcPr>
            <w:tcW w:w="4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76" w:lineRule="auto"/>
              <w:ind w:left="0" w:right="195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předmět pojištění: 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1. Soubor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u w:val="none"/>
              </w:rPr>
              <w:t>staveb  vyjma</w:t>
            </w:r>
            <w:proofErr w:type="gramEnd"/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 věc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í  uvedených v čl. </w:t>
            </w:r>
          </w:p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III odst. 2. a 3. VPP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4" w:right="79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specifikace předmětu pojištění: </w:t>
            </w:r>
            <w:r>
              <w:rPr>
                <w:rFonts w:ascii="Arial" w:eastAsia="Arial" w:hAnsi="Arial" w:cs="Arial"/>
                <w:sz w:val="18"/>
                <w:u w:val="none"/>
              </w:rPr>
              <w:t>Soubor vlastních a cizích budov, hal, ostatních staveb (pozemní komunikace, zpevněné plochy, chodníky, lavičky, inženýrské sítě, radary, veřejné osvětlení apod.), stavebních součástí stavby nebo nebytového prostoru, které pojištěný užívá, stavebních součás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ti mající estetický charakter (např. sochy) a jednotek, vč. příslušných staveních součástí a příslušenství dle přílohy </w:t>
            </w:r>
            <w:proofErr w:type="gramStart"/>
            <w:r>
              <w:rPr>
                <w:rFonts w:ascii="Arial" w:eastAsia="Arial" w:hAnsi="Arial" w:cs="Arial"/>
                <w:sz w:val="18"/>
                <w:u w:val="none"/>
              </w:rPr>
              <w:t>č.2</w:t>
            </w:r>
            <w:proofErr w:type="gramEnd"/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PENB: </w:t>
            </w:r>
          </w:p>
          <w:p w:rsidR="00D474C7" w:rsidRDefault="00C84A8F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neuvedeno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</w:tr>
      <w:tr w:rsidR="00D474C7">
        <w:trPr>
          <w:trHeight w:val="473"/>
        </w:trPr>
        <w:tc>
          <w:tcPr>
            <w:tcW w:w="3398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:rsidR="00D474C7" w:rsidRDefault="00C84A8F">
            <w:pPr>
              <w:spacing w:after="14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místo pojištění: </w:t>
            </w:r>
          </w:p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viz seznam míst pojištění </w:t>
            </w:r>
          </w:p>
        </w:tc>
        <w:tc>
          <w:tcPr>
            <w:tcW w:w="2619" w:type="dxa"/>
            <w:gridSpan w:val="3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vlastnictví předmětu pojištění: vlastní i cizí </w:t>
            </w:r>
          </w:p>
        </w:tc>
        <w:tc>
          <w:tcPr>
            <w:tcW w:w="3099" w:type="dxa"/>
            <w:gridSpan w:val="3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:rsidR="00D474C7" w:rsidRDefault="00C84A8F">
            <w:pPr>
              <w:spacing w:after="13" w:line="259" w:lineRule="auto"/>
              <w:ind w:left="4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pojistná hodnota: </w:t>
            </w:r>
          </w:p>
          <w:p w:rsidR="00D474C7" w:rsidRDefault="00C84A8F">
            <w:pPr>
              <w:spacing w:after="0" w:line="259" w:lineRule="auto"/>
              <w:ind w:left="4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nová cena </w:t>
            </w:r>
          </w:p>
        </w:tc>
      </w:tr>
      <w:tr w:rsidR="00D474C7">
        <w:trPr>
          <w:trHeight w:val="671"/>
        </w:trPr>
        <w:tc>
          <w:tcPr>
            <w:tcW w:w="269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Pojištění se sjednává pro případ negativního působení pojistných nebezpečí: </w:t>
            </w:r>
          </w:p>
        </w:tc>
        <w:tc>
          <w:tcPr>
            <w:tcW w:w="2220" w:type="dxa"/>
            <w:gridSpan w:val="3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horní hranice pojistného plnění (Kč): </w:t>
            </w:r>
          </w:p>
        </w:tc>
        <w:tc>
          <w:tcPr>
            <w:tcW w:w="2001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způsob pojištění:</w:t>
            </w:r>
            <w:r>
              <w:rPr>
                <w:rFonts w:ascii="Arial" w:eastAsia="Arial" w:hAnsi="Arial" w:cs="Arial"/>
                <w:b/>
                <w:sz w:val="18"/>
                <w:u w:val="none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) </w:t>
            </w:r>
          </w:p>
        </w:tc>
        <w:tc>
          <w:tcPr>
            <w:tcW w:w="2196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spoluúčast: </w:t>
            </w:r>
          </w:p>
        </w:tc>
      </w:tr>
      <w:tr w:rsidR="00D474C7">
        <w:trPr>
          <w:trHeight w:val="267"/>
        </w:trPr>
        <w:tc>
          <w:tcPr>
            <w:tcW w:w="26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FLEXA </w:t>
            </w:r>
          </w:p>
        </w:tc>
        <w:tc>
          <w:tcPr>
            <w:tcW w:w="2220" w:type="dxa"/>
            <w:gridSpan w:val="3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9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6 071 730 123 </w:t>
            </w:r>
          </w:p>
        </w:tc>
        <w:tc>
          <w:tcPr>
            <w:tcW w:w="2001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12" w:firstLine="0"/>
              <w:jc w:val="center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1 000 Kč</w:t>
            </w:r>
          </w:p>
        </w:tc>
      </w:tr>
    </w:tbl>
    <w:p w:rsidR="00D474C7" w:rsidRDefault="00C84A8F">
      <w:pPr>
        <w:spacing w:after="0" w:line="277" w:lineRule="auto"/>
        <w:ind w:left="0" w:right="15" w:firstLine="0"/>
        <w:jc w:val="both"/>
      </w:pPr>
      <w:r>
        <w:rPr>
          <w:rFonts w:ascii="Arial" w:eastAsia="Arial" w:hAnsi="Arial" w:cs="Arial"/>
          <w:i/>
          <w:sz w:val="18"/>
          <w:u w:val="none"/>
          <w:vertAlign w:val="superscript"/>
        </w:rPr>
        <w:t>1</w:t>
      </w:r>
      <w:r>
        <w:rPr>
          <w:rFonts w:ascii="Arial" w:eastAsia="Arial" w:hAnsi="Arial" w:cs="Arial"/>
          <w:i/>
          <w:sz w:val="18"/>
          <w:u w:val="none"/>
        </w:rPr>
        <w:t xml:space="preserve">Zkratkou „1R“ se pro účely této pojistné smlouvy rozumí pojištění prvního rizika a v tomto případě je horní hranice pojistného plnění stanovena limitem pojistného plnění; je-li pole výše uvedené tabulky ve sloupci „Způsob pojištění“ prázdné, rozumí se tím </w:t>
      </w:r>
      <w:r>
        <w:rPr>
          <w:rFonts w:ascii="Arial" w:eastAsia="Arial" w:hAnsi="Arial" w:cs="Arial"/>
          <w:i/>
          <w:sz w:val="18"/>
          <w:u w:val="none"/>
        </w:rPr>
        <w:t>pro účely této pojistné smlouvy, že pojištění není sjednáno ve výše uvedeném speciálním právním režimu a horní hranice pojistného plnění je určena pojistnou částkou.</w:t>
      </w: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217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pStyle w:val="Nadpis3"/>
        <w:spacing w:after="171" w:line="259" w:lineRule="auto"/>
        <w:ind w:left="-5"/>
        <w:jc w:val="left"/>
      </w:pPr>
      <w:r>
        <w:rPr>
          <w:i w:val="0"/>
          <w:sz w:val="20"/>
        </w:rPr>
        <w:t xml:space="preserve">VÝKLAD POJMŮ </w:t>
      </w:r>
    </w:p>
    <w:p w:rsidR="00D474C7" w:rsidRDefault="00C84A8F">
      <w:pPr>
        <w:spacing w:after="4" w:line="268" w:lineRule="auto"/>
        <w:ind w:left="-5" w:right="6"/>
        <w:jc w:val="both"/>
      </w:pPr>
      <w:r>
        <w:rPr>
          <w:rFonts w:ascii="Arial" w:eastAsia="Arial" w:hAnsi="Arial" w:cs="Arial"/>
          <w:sz w:val="18"/>
          <w:u w:val="none"/>
        </w:rPr>
        <w:t xml:space="preserve">Pojmem </w:t>
      </w:r>
      <w:r>
        <w:rPr>
          <w:rFonts w:ascii="Arial" w:eastAsia="Arial" w:hAnsi="Arial" w:cs="Arial"/>
          <w:b/>
          <w:sz w:val="18"/>
          <w:u w:val="none"/>
        </w:rPr>
        <w:t>FLEXA</w:t>
      </w:r>
      <w:r>
        <w:rPr>
          <w:rFonts w:ascii="Arial" w:eastAsia="Arial" w:hAnsi="Arial" w:cs="Arial"/>
          <w:sz w:val="18"/>
          <w:u w:val="none"/>
        </w:rPr>
        <w:t xml:space="preserve"> </w:t>
      </w:r>
      <w:r>
        <w:rPr>
          <w:rFonts w:ascii="Arial" w:eastAsia="Arial" w:hAnsi="Arial" w:cs="Arial"/>
          <w:sz w:val="18"/>
          <w:u w:val="none"/>
        </w:rPr>
        <w:t xml:space="preserve">se pro účely této pojistné smlouvy rozumí živelní pojištění sjednané pro případ poškození nebo zničení předmětu pojištění způsobené pojistným nebezpečím dle čl. II odst. 1. VPP Z 2014. </w:t>
      </w:r>
    </w:p>
    <w:p w:rsidR="00D474C7" w:rsidRDefault="00C84A8F">
      <w:pPr>
        <w:pStyle w:val="Nadpis3"/>
        <w:spacing w:after="0" w:line="259" w:lineRule="auto"/>
        <w:ind w:left="-5"/>
        <w:jc w:val="left"/>
      </w:pPr>
      <w:r>
        <w:rPr>
          <w:i w:val="0"/>
          <w:sz w:val="20"/>
        </w:rPr>
        <w:t xml:space="preserve">NAVÝŠENÍ POJISTNÉ ČÁSTKY </w:t>
      </w:r>
    </w:p>
    <w:p w:rsidR="00D474C7" w:rsidRDefault="00C84A8F">
      <w:pPr>
        <w:spacing w:after="397" w:line="268" w:lineRule="auto"/>
        <w:ind w:left="-5" w:right="6"/>
        <w:jc w:val="both"/>
      </w:pPr>
      <w:r>
        <w:rPr>
          <w:rFonts w:ascii="Arial" w:eastAsia="Arial" w:hAnsi="Arial" w:cs="Arial"/>
          <w:sz w:val="18"/>
          <w:u w:val="none"/>
        </w:rPr>
        <w:t xml:space="preserve">Pojistná částka, jde-li o věci nemovité, se </w:t>
      </w:r>
      <w:r>
        <w:rPr>
          <w:rFonts w:ascii="Arial" w:eastAsia="Arial" w:hAnsi="Arial" w:cs="Arial"/>
          <w:sz w:val="18"/>
          <w:u w:val="none"/>
        </w:rPr>
        <w:t xml:space="preserve">navyšuje o 96.539.586 Kč.  </w:t>
      </w:r>
    </w:p>
    <w:p w:rsidR="00D474C7" w:rsidRDefault="00C84A8F">
      <w:pPr>
        <w:spacing w:after="0" w:line="259" w:lineRule="auto"/>
        <w:ind w:left="10" w:right="12"/>
        <w:jc w:val="center"/>
      </w:pPr>
      <w:r>
        <w:rPr>
          <w:rFonts w:ascii="Arial" w:eastAsia="Arial" w:hAnsi="Arial" w:cs="Arial"/>
          <w:b/>
          <w:i/>
          <w:sz w:val="28"/>
          <w:u w:val="none"/>
        </w:rPr>
        <w:t xml:space="preserve">Článek II. </w:t>
      </w:r>
    </w:p>
    <w:p w:rsidR="00D474C7" w:rsidRDefault="00C84A8F">
      <w:pPr>
        <w:pStyle w:val="Nadpis3"/>
        <w:ind w:left="34"/>
      </w:pPr>
      <w:r>
        <w:t xml:space="preserve">Změny ve výši pojistného za všechna pojištění sjednaná pojistnou smlouvou po nabytí účinnosti tohoto dodatku </w:t>
      </w:r>
    </w:p>
    <w:p w:rsidR="00D474C7" w:rsidRDefault="00C84A8F">
      <w:pPr>
        <w:spacing w:after="0" w:line="259" w:lineRule="auto"/>
        <w:ind w:left="-5"/>
      </w:pPr>
      <w:r>
        <w:rPr>
          <w:rFonts w:ascii="Arial" w:eastAsia="Arial" w:hAnsi="Arial" w:cs="Arial"/>
          <w:b/>
          <w:sz w:val="18"/>
          <w:u w:val="none"/>
        </w:rPr>
        <w:t xml:space="preserve">Výše pojistného za jednotlivá pojištění činí: </w:t>
      </w:r>
    </w:p>
    <w:tbl>
      <w:tblPr>
        <w:tblStyle w:val="TableGrid"/>
        <w:tblW w:w="9115" w:type="dxa"/>
        <w:tblInd w:w="4" w:type="dxa"/>
        <w:tblCellMar>
          <w:top w:w="19" w:type="dxa"/>
          <w:left w:w="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140"/>
        <w:gridCol w:w="2819"/>
        <w:gridCol w:w="2430"/>
      </w:tblGrid>
      <w:tr w:rsidR="00D474C7">
        <w:trPr>
          <w:trHeight w:val="2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lastRenderedPageBreak/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Pojištění 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Změna ročního pojistného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119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Roční pojistné po změnách</w:t>
            </w:r>
          </w:p>
        </w:tc>
      </w:tr>
      <w:tr w:rsidR="00D474C7">
        <w:trPr>
          <w:trHeight w:val="280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1.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Živelní pojištění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14 834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1 260 048 Kč</w:t>
            </w:r>
          </w:p>
        </w:tc>
      </w:tr>
      <w:tr w:rsidR="00D474C7">
        <w:trPr>
          <w:trHeight w:val="26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2.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Pojištění odcizení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71 484 Kč</w:t>
            </w:r>
          </w:p>
        </w:tc>
      </w:tr>
      <w:tr w:rsidR="00D474C7">
        <w:trPr>
          <w:trHeight w:val="26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3.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Pojištění strojů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7 335 Kč</w:t>
            </w:r>
          </w:p>
        </w:tc>
      </w:tr>
      <w:tr w:rsidR="00D474C7">
        <w:trPr>
          <w:trHeight w:val="26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4.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Pojištění elektronických zařízení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77 454 Kč</w:t>
            </w:r>
          </w:p>
        </w:tc>
      </w:tr>
      <w:tr w:rsidR="00D474C7">
        <w:trPr>
          <w:trHeight w:val="26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5.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Pojištění přepravovaného nákladu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4 830 Kč</w:t>
            </w:r>
          </w:p>
        </w:tc>
      </w:tr>
      <w:tr w:rsidR="00D474C7">
        <w:trPr>
          <w:trHeight w:val="269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6.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Pojištění odpovědnosti za újmu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>513 292 Kč</w:t>
            </w:r>
          </w:p>
        </w:tc>
      </w:tr>
      <w:tr w:rsidR="00D474C7">
        <w:trPr>
          <w:trHeight w:val="25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"/>
                <w:u w:val="none"/>
              </w:rPr>
              <w:t xml:space="preserve"> </w:t>
            </w:r>
            <w:r>
              <w:rPr>
                <w:rFonts w:ascii="Arial" w:eastAsia="Arial" w:hAnsi="Arial" w:cs="Arial"/>
                <w:sz w:val="1"/>
                <w:u w:val="non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"/>
                <w:u w:val="none"/>
              </w:rPr>
              <w:tab/>
              <w:t xml:space="preserve"> </w:t>
            </w:r>
            <w:r>
              <w:rPr>
                <w:rFonts w:ascii="Arial" w:eastAsia="Arial" w:hAnsi="Arial" w:cs="Arial"/>
                <w:sz w:val="1"/>
                <w:u w:val="none"/>
              </w:rPr>
              <w:tab/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Součet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2901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14 834 Kč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2497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1 934 444 Kč</w:t>
            </w:r>
          </w:p>
        </w:tc>
      </w:tr>
    </w:tbl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tbl>
      <w:tblPr>
        <w:tblStyle w:val="TableGrid"/>
        <w:tblW w:w="9122" w:type="dxa"/>
        <w:tblInd w:w="0" w:type="dxa"/>
        <w:tblCellMar>
          <w:top w:w="53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501"/>
      </w:tblGrid>
      <w:tr w:rsidR="00D474C7">
        <w:trPr>
          <w:trHeight w:val="473"/>
        </w:trPr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Změna pojistného celkem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Od 05.12.2023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00:00 hodin 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>do 01.06.2024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00:00 hodin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7 255 Kč </w:t>
            </w:r>
          </w:p>
        </w:tc>
      </w:tr>
      <w:tr w:rsidR="00D474C7">
        <w:trPr>
          <w:trHeight w:val="475"/>
        </w:trPr>
        <w:tc>
          <w:tcPr>
            <w:tcW w:w="66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1885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Součet splátek pojistného z předešlého dodatku číslo 0 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>Od 05.12.2023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00:00 hodin </w:t>
            </w:r>
            <w:r>
              <w:rPr>
                <w:rFonts w:ascii="Arial" w:eastAsia="Arial" w:hAnsi="Arial" w:cs="Arial"/>
                <w:b/>
                <w:sz w:val="18"/>
                <w:u w:val="none"/>
              </w:rPr>
              <w:t>do 01.06.2024</w:t>
            </w:r>
            <w:r>
              <w:rPr>
                <w:rFonts w:ascii="Arial" w:eastAsia="Arial" w:hAnsi="Arial" w:cs="Arial"/>
                <w:sz w:val="18"/>
                <w:u w:val="none"/>
              </w:rPr>
              <w:t xml:space="preserve"> 00:00 hodin </w:t>
            </w:r>
          </w:p>
        </w:tc>
        <w:tc>
          <w:tcPr>
            <w:tcW w:w="2501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0 Kč </w:t>
            </w:r>
          </w:p>
        </w:tc>
      </w:tr>
      <w:tr w:rsidR="00D474C7">
        <w:trPr>
          <w:trHeight w:val="256"/>
        </w:trPr>
        <w:tc>
          <w:tcPr>
            <w:tcW w:w="66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Součet </w:t>
            </w:r>
          </w:p>
        </w:tc>
        <w:tc>
          <w:tcPr>
            <w:tcW w:w="2501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0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7 255 Kč </w:t>
            </w:r>
          </w:p>
        </w:tc>
      </w:tr>
    </w:tbl>
    <w:p w:rsidR="00D474C7" w:rsidRDefault="00C84A8F">
      <w:pPr>
        <w:spacing w:after="195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368" w:line="268" w:lineRule="auto"/>
        <w:ind w:left="-5" w:right="6"/>
        <w:jc w:val="both"/>
      </w:pPr>
      <w:r>
        <w:rPr>
          <w:rFonts w:ascii="Arial" w:eastAsia="Arial" w:hAnsi="Arial" w:cs="Arial"/>
          <w:b/>
          <w:sz w:val="18"/>
        </w:rPr>
        <w:t>Změna pojistného</w:t>
      </w:r>
      <w:r>
        <w:rPr>
          <w:rFonts w:ascii="Arial" w:eastAsia="Arial" w:hAnsi="Arial" w:cs="Arial"/>
          <w:sz w:val="18"/>
          <w:u w:val="none"/>
        </w:rPr>
        <w:t xml:space="preserve"> </w:t>
      </w:r>
      <w:r>
        <w:rPr>
          <w:rFonts w:ascii="Arial" w:eastAsia="Arial" w:hAnsi="Arial" w:cs="Arial"/>
          <w:sz w:val="18"/>
          <w:u w:val="none"/>
        </w:rPr>
        <w:t xml:space="preserve">= pokud se tímto dodatkem ruší stávající pojištění a zároveň se toto pojištění znovu sjednává z důvodu změny pojištění, je to rozdíl mezi původní a novou výší pojistného (kladná nebo záporná částka) </w:t>
      </w:r>
      <w:r>
        <w:rPr>
          <w:rFonts w:ascii="Arial" w:eastAsia="Arial" w:hAnsi="Arial" w:cs="Arial"/>
          <w:i/>
          <w:sz w:val="18"/>
          <w:u w:val="none"/>
        </w:rPr>
        <w:t xml:space="preserve">nebo </w:t>
      </w:r>
      <w:r>
        <w:rPr>
          <w:rFonts w:ascii="Arial" w:eastAsia="Arial" w:hAnsi="Arial" w:cs="Arial"/>
          <w:sz w:val="18"/>
          <w:u w:val="none"/>
        </w:rPr>
        <w:t xml:space="preserve">pokud se tímto dodatkem sjednává nové pojištění, je </w:t>
      </w:r>
      <w:r>
        <w:rPr>
          <w:rFonts w:ascii="Arial" w:eastAsia="Arial" w:hAnsi="Arial" w:cs="Arial"/>
          <w:sz w:val="18"/>
          <w:u w:val="none"/>
        </w:rPr>
        <w:t xml:space="preserve">to výše pojistného za nově sjednané pojištění (kladná částka) </w:t>
      </w:r>
      <w:r>
        <w:rPr>
          <w:rFonts w:ascii="Arial" w:eastAsia="Arial" w:hAnsi="Arial" w:cs="Arial"/>
          <w:i/>
          <w:sz w:val="18"/>
          <w:u w:val="none"/>
        </w:rPr>
        <w:t>nebo</w:t>
      </w:r>
      <w:r>
        <w:rPr>
          <w:rFonts w:ascii="Arial" w:eastAsia="Arial" w:hAnsi="Arial" w:cs="Arial"/>
          <w:sz w:val="18"/>
          <w:u w:val="none"/>
        </w:rPr>
        <w:t xml:space="preserve"> pokud se tímto dodatkem ruší stávající pojištění, je to výše pojistného za zrušené pojištění (záporná částka) </w:t>
      </w:r>
    </w:p>
    <w:p w:rsidR="00D474C7" w:rsidRDefault="00C84A8F">
      <w:pPr>
        <w:spacing w:after="368" w:line="268" w:lineRule="auto"/>
        <w:ind w:left="-5" w:right="6"/>
        <w:jc w:val="both"/>
      </w:pPr>
      <w:r>
        <w:rPr>
          <w:rFonts w:ascii="Arial" w:eastAsia="Arial" w:hAnsi="Arial" w:cs="Arial"/>
          <w:b/>
          <w:sz w:val="18"/>
        </w:rPr>
        <w:t>Změna ročního pojistného</w:t>
      </w:r>
      <w:r>
        <w:rPr>
          <w:rFonts w:ascii="Arial" w:eastAsia="Arial" w:hAnsi="Arial" w:cs="Arial"/>
          <w:sz w:val="18"/>
          <w:u w:val="none"/>
        </w:rPr>
        <w:t xml:space="preserve"> = změna pojistného vyjádření v ročním pojistném </w:t>
      </w:r>
    </w:p>
    <w:p w:rsidR="00D474C7" w:rsidRDefault="00C84A8F">
      <w:pPr>
        <w:spacing w:after="4" w:line="268" w:lineRule="auto"/>
        <w:ind w:left="-5" w:right="6"/>
        <w:jc w:val="both"/>
      </w:pPr>
      <w:r>
        <w:rPr>
          <w:rFonts w:ascii="Arial" w:eastAsia="Arial" w:hAnsi="Arial" w:cs="Arial"/>
          <w:b/>
          <w:sz w:val="18"/>
        </w:rPr>
        <w:t>Ročn</w:t>
      </w:r>
      <w:r>
        <w:rPr>
          <w:rFonts w:ascii="Arial" w:eastAsia="Arial" w:hAnsi="Arial" w:cs="Arial"/>
          <w:b/>
          <w:sz w:val="18"/>
        </w:rPr>
        <w:t>í pojistné po změnách</w:t>
      </w:r>
      <w:r>
        <w:rPr>
          <w:rFonts w:ascii="Arial" w:eastAsia="Arial" w:hAnsi="Arial" w:cs="Arial"/>
          <w:sz w:val="18"/>
          <w:u w:val="none"/>
        </w:rPr>
        <w:t xml:space="preserve"> = pojistné za všechna platná pojištění sjednaná pojistnou smlouvou a dodatky pojistné smlouvy vyjádřené v ročním pojistném </w:t>
      </w:r>
    </w:p>
    <w:p w:rsidR="00D474C7" w:rsidRDefault="00C84A8F">
      <w:pPr>
        <w:spacing w:after="3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u w:val="none"/>
        </w:rPr>
        <mc:AlternateContent>
          <mc:Choice Requires="wpg">
            <w:drawing>
              <wp:inline distT="0" distB="0" distL="0" distR="0">
                <wp:extent cx="5792089" cy="24384"/>
                <wp:effectExtent l="0" t="0" r="0" b="0"/>
                <wp:docPr id="26280" name="Group 26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089" cy="24384"/>
                          <a:chOff x="0" y="0"/>
                          <a:chExt cx="5792089" cy="24384"/>
                        </a:xfrm>
                      </wpg:grpSpPr>
                      <wps:wsp>
                        <wps:cNvPr id="31698" name="Shape 31698"/>
                        <wps:cNvSpPr/>
                        <wps:spPr>
                          <a:xfrm>
                            <a:off x="0" y="0"/>
                            <a:ext cx="5792089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089" h="24384">
                                <a:moveTo>
                                  <a:pt x="0" y="0"/>
                                </a:moveTo>
                                <a:lnTo>
                                  <a:pt x="5792089" y="0"/>
                                </a:lnTo>
                                <a:lnTo>
                                  <a:pt x="5792089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370DE" id="Group 26280" o:spid="_x0000_s1026" style="width:456.05pt;height:1.9pt;mso-position-horizontal-relative:char;mso-position-vertical-relative:line" coordsize="5792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">
                <v:shape id="Shape 31698" o:spid="_x0000_s1027" style="position:absolute;width:57920;height:243;visibility:visible;mso-wrap-style:square;v-text-anchor:top" coordsize="5792089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C2sMA&#10;AADeAAAADwAAAGRycy9kb3ducmV2LnhtbERPTYvCMBC9C/sfwgh707SKsnZNRZSFXkSse9nb0Ixt&#10;sZl0m1jrvzcHwePjfa83g2lET52rLSuIpxEI4sLqmksFv+efyRcI55E1NpZJwYMcbNKP0RoTbe98&#10;oj73pQgh7BJUUHnfJlK6oiKDbmpb4sBdbGfQB9iVUnd4D+GmkbMoWkqDNYeGClvaVVRc85tRMMv6&#10;xek/O5Tmctzfts7z6vg3V+pzPGy/QXga/Fv8cmdawTxersLecCd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C2sMAAADeAAAADwAAAAAAAAAAAAAAAACYAgAAZHJzL2Rv&#10;d25yZXYueG1sUEsFBgAAAAAEAAQA9QAAAIgDAAAAAA==&#10;" path="m,l5792089,r,24384l,24384,,e" fillcolor="black" stroked="f" strokeweight="0">
                  <v:stroke miterlimit="83231f" joinstyle="miter"/>
                  <v:path arrowok="t" textboxrect="0,0,5792089,24384"/>
                </v:shape>
                <w10:anchorlock/>
              </v:group>
            </w:pict>
          </mc:Fallback>
        </mc:AlternateContent>
      </w:r>
    </w:p>
    <w:p w:rsidR="00D474C7" w:rsidRDefault="00C84A8F">
      <w:pPr>
        <w:spacing w:after="313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</w:p>
    <w:p w:rsidR="00D474C7" w:rsidRDefault="00C84A8F">
      <w:pPr>
        <w:pStyle w:val="Nadpis4"/>
        <w:spacing w:after="94"/>
        <w:ind w:left="-5"/>
      </w:pPr>
      <w:r>
        <w:t xml:space="preserve">Splátkový kalendář </w:t>
      </w:r>
    </w:p>
    <w:p w:rsidR="00D474C7" w:rsidRDefault="00C84A8F">
      <w:pPr>
        <w:spacing w:after="4" w:line="268" w:lineRule="auto"/>
        <w:ind w:left="-5" w:right="6"/>
        <w:jc w:val="both"/>
      </w:pPr>
      <w:r>
        <w:rPr>
          <w:rFonts w:ascii="Arial" w:eastAsia="Arial" w:hAnsi="Arial" w:cs="Arial"/>
          <w:b/>
          <w:sz w:val="18"/>
          <w:u w:val="none"/>
        </w:rPr>
        <w:t>Placení pojistného</w:t>
      </w:r>
      <w:r>
        <w:rPr>
          <w:rFonts w:ascii="Arial" w:eastAsia="Arial" w:hAnsi="Arial" w:cs="Arial"/>
          <w:sz w:val="18"/>
          <w:u w:val="none"/>
        </w:rPr>
        <w:t xml:space="preserve"> </w:t>
      </w:r>
      <w:r>
        <w:rPr>
          <w:rFonts w:ascii="Arial" w:eastAsia="Arial" w:hAnsi="Arial" w:cs="Arial"/>
          <w:sz w:val="18"/>
          <w:u w:val="none"/>
        </w:rPr>
        <w:t xml:space="preserve">za všechna pojištění sjednaná pojistnou smlouvou a po změnách provedených tímto dodatkem pojistné smlouvy </w:t>
      </w:r>
      <w:r>
        <w:rPr>
          <w:rFonts w:ascii="Arial" w:eastAsia="Arial" w:hAnsi="Arial" w:cs="Arial"/>
          <w:b/>
          <w:sz w:val="18"/>
          <w:u w:val="none"/>
        </w:rPr>
        <w:t>se do 01.06.2024</w:t>
      </w:r>
      <w:r>
        <w:rPr>
          <w:rFonts w:ascii="Arial" w:eastAsia="Arial" w:hAnsi="Arial" w:cs="Arial"/>
          <w:sz w:val="18"/>
          <w:u w:val="none"/>
        </w:rPr>
        <w:t xml:space="preserve"> 00:00 hodin </w:t>
      </w:r>
      <w:r>
        <w:rPr>
          <w:rFonts w:ascii="Arial" w:eastAsia="Arial" w:hAnsi="Arial" w:cs="Arial"/>
          <w:b/>
          <w:sz w:val="18"/>
          <w:u w:val="none"/>
        </w:rPr>
        <w:t>řídí následujícím splátkovým kalendářem:</w:t>
      </w:r>
      <w:r>
        <w:rPr>
          <w:rFonts w:ascii="Arial" w:eastAsia="Arial" w:hAnsi="Arial" w:cs="Arial"/>
          <w:sz w:val="18"/>
          <w:u w:val="none"/>
        </w:rPr>
        <w:t xml:space="preserve"> </w:t>
      </w:r>
    </w:p>
    <w:tbl>
      <w:tblPr>
        <w:tblStyle w:val="TableGrid"/>
        <w:tblW w:w="9116" w:type="dxa"/>
        <w:tblInd w:w="4" w:type="dxa"/>
        <w:tblCellMar>
          <w:top w:w="26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4918"/>
      </w:tblGrid>
      <w:tr w:rsidR="00D474C7">
        <w:trPr>
          <w:trHeight w:val="24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 xml:space="preserve">Datum splátky pojistného 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D474C7" w:rsidRDefault="00C84A8F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b/>
                <w:sz w:val="18"/>
                <w:u w:val="none"/>
              </w:rPr>
              <w:t>Splátka pojistného</w:t>
            </w:r>
          </w:p>
        </w:tc>
      </w:tr>
      <w:tr w:rsidR="00D474C7">
        <w:trPr>
          <w:trHeight w:val="236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12" w:firstLine="0"/>
            </w:pPr>
            <w:proofErr w:type="gramStart"/>
            <w:r>
              <w:rPr>
                <w:rFonts w:ascii="Arial" w:eastAsia="Arial" w:hAnsi="Arial" w:cs="Arial"/>
                <w:sz w:val="18"/>
                <w:u w:val="none"/>
              </w:rPr>
              <w:t>05.12.2023</w:t>
            </w:r>
            <w:proofErr w:type="gramEnd"/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4C7" w:rsidRDefault="00C84A8F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7 255 Kč </w:t>
            </w:r>
          </w:p>
        </w:tc>
      </w:tr>
    </w:tbl>
    <w:p w:rsidR="00D474C7" w:rsidRDefault="00C84A8F">
      <w:pPr>
        <w:spacing w:after="14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15" w:line="261" w:lineRule="auto"/>
        <w:ind w:left="0" w:right="5083" w:firstLine="0"/>
      </w:pPr>
      <w:r>
        <w:rPr>
          <w:rFonts w:ascii="Arial" w:eastAsia="Arial" w:hAnsi="Arial" w:cs="Arial"/>
          <w:sz w:val="18"/>
          <w:u w:val="none"/>
        </w:rPr>
        <w:t xml:space="preserve">Pojistné poukáže pojistník na účet RENOMIA, a. s. číslo </w:t>
      </w:r>
      <w:r>
        <w:rPr>
          <w:rFonts w:ascii="Arial" w:eastAsia="Arial" w:hAnsi="Arial" w:cs="Arial"/>
          <w:b/>
          <w:sz w:val="18"/>
          <w:u w:val="none"/>
        </w:rPr>
        <w:t>5030018888/5500</w:t>
      </w:r>
      <w:r>
        <w:rPr>
          <w:rFonts w:ascii="Arial" w:eastAsia="Arial" w:hAnsi="Arial" w:cs="Arial"/>
          <w:sz w:val="18"/>
          <w:u w:val="none"/>
        </w:rPr>
        <w:t xml:space="preserve"> konstantní symbol 3558, variabilní symbol </w:t>
      </w:r>
      <w:r>
        <w:rPr>
          <w:rFonts w:ascii="Arial" w:eastAsia="Arial" w:hAnsi="Arial" w:cs="Arial"/>
          <w:b/>
          <w:sz w:val="18"/>
          <w:u w:val="none"/>
        </w:rPr>
        <w:t>8078985310</w:t>
      </w: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397" w:line="268" w:lineRule="auto"/>
        <w:ind w:left="-5" w:right="6"/>
        <w:jc w:val="both"/>
      </w:pPr>
      <w:r>
        <w:rPr>
          <w:rFonts w:ascii="Arial" w:eastAsia="Arial" w:hAnsi="Arial" w:cs="Arial"/>
          <w:sz w:val="18"/>
          <w:u w:val="none"/>
        </w:rPr>
        <w:t xml:space="preserve">Pojistné se považuje za uhrazené dnem připsání na účet RENOMIA, a. s. </w:t>
      </w:r>
    </w:p>
    <w:p w:rsidR="00D474C7" w:rsidRDefault="00C84A8F">
      <w:pPr>
        <w:spacing w:after="0" w:line="259" w:lineRule="auto"/>
        <w:ind w:left="10" w:right="15"/>
        <w:jc w:val="center"/>
      </w:pPr>
      <w:r>
        <w:rPr>
          <w:rFonts w:ascii="Arial" w:eastAsia="Arial" w:hAnsi="Arial" w:cs="Arial"/>
          <w:b/>
          <w:i/>
          <w:sz w:val="28"/>
          <w:u w:val="none"/>
        </w:rPr>
        <w:t xml:space="preserve">Článek III. </w:t>
      </w:r>
    </w:p>
    <w:p w:rsidR="00D474C7" w:rsidRDefault="00C84A8F">
      <w:pPr>
        <w:pStyle w:val="Nadpis3"/>
        <w:ind w:left="34" w:right="41"/>
      </w:pPr>
      <w:r>
        <w:t xml:space="preserve">Závěrečná ustanovení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Tento dodatek nabývá platnosti dnem jeho podpisu oběma smluvními stranami a účinnosti dnem </w:t>
      </w:r>
      <w:proofErr w:type="gramStart"/>
      <w:r>
        <w:rPr>
          <w:rFonts w:ascii="Arial" w:eastAsia="Arial" w:hAnsi="Arial" w:cs="Arial"/>
          <w:b/>
          <w:sz w:val="18"/>
          <w:u w:val="none"/>
        </w:rPr>
        <w:t>05.12.2023</w:t>
      </w:r>
      <w:proofErr w:type="gramEnd"/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187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0" w:line="259" w:lineRule="auto"/>
        <w:ind w:right="6" w:hanging="300"/>
        <w:jc w:val="both"/>
      </w:pPr>
      <w:r>
        <w:rPr>
          <w:rFonts w:ascii="Arial" w:eastAsia="Arial" w:hAnsi="Arial" w:cs="Arial"/>
          <w:b/>
          <w:sz w:val="18"/>
          <w:u w:val="none"/>
        </w:rPr>
        <w:t xml:space="preserve">Prohlášení pojistníka </w:t>
      </w:r>
    </w:p>
    <w:p w:rsidR="00D474C7" w:rsidRDefault="00C84A8F">
      <w:pPr>
        <w:spacing w:after="369" w:line="259" w:lineRule="auto"/>
        <w:ind w:left="3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1"/>
          <w:numId w:val="1"/>
        </w:numPr>
        <w:spacing w:after="0" w:line="259" w:lineRule="auto"/>
        <w:ind w:right="6" w:hanging="401"/>
      </w:pPr>
      <w:r>
        <w:rPr>
          <w:rFonts w:ascii="Arial" w:eastAsia="Arial" w:hAnsi="Arial" w:cs="Arial"/>
          <w:b/>
          <w:sz w:val="18"/>
          <w:u w:val="none"/>
        </w:rPr>
        <w:t>Prohlášení pojistníka, je-li pojistník fyzickou osob</w:t>
      </w:r>
      <w:r>
        <w:rPr>
          <w:rFonts w:ascii="Arial" w:eastAsia="Arial" w:hAnsi="Arial" w:cs="Arial"/>
          <w:b/>
          <w:sz w:val="18"/>
          <w:u w:val="none"/>
        </w:rPr>
        <w:t>ou:</w:t>
      </w:r>
      <w:r>
        <w:rPr>
          <w:rFonts w:ascii="Arial" w:eastAsia="Arial" w:hAnsi="Arial" w:cs="Arial"/>
          <w:sz w:val="18"/>
          <w:u w:val="none"/>
        </w:rPr>
        <w:t xml:space="preserve"> Prohlašuji a svým podpisem níže stvrzuji, že: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35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lastRenderedPageBreak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7" w:line="254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jsem byl před uzavřením pojistné smlouvy, zcela v souladu s ustanovením čl. 13 a čl. 14 Nařízení Evropského parlamentu a Rady (EU) č. 2016/679 ze dne 27. dubna</w:t>
      </w:r>
      <w:r>
        <w:rPr>
          <w:rFonts w:ascii="Arial" w:eastAsia="Arial" w:hAnsi="Arial" w:cs="Arial"/>
          <w:sz w:val="18"/>
          <w:u w:val="none"/>
        </w:rPr>
        <w:t xml:space="preserve">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</w:t>
      </w:r>
      <w:r>
        <w:rPr>
          <w:rFonts w:ascii="Arial" w:eastAsia="Arial" w:hAnsi="Arial" w:cs="Arial"/>
          <w:sz w:val="18"/>
          <w:u w:val="none"/>
        </w:rPr>
        <w:t xml:space="preserve">znamu všech jeho jednotlivých ustanovení) seznámen s Informacemi o zpracování osobních údajů (tzv. Informačním memorandem);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</w:t>
      </w:r>
      <w:r>
        <w:rPr>
          <w:rFonts w:ascii="Arial" w:eastAsia="Arial" w:hAnsi="Arial" w:cs="Arial"/>
          <w:sz w:val="18"/>
          <w:u w:val="none"/>
        </w:rPr>
        <w:t xml:space="preserve">jící pojistníka);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7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 xml:space="preserve">po seznámení </w:t>
      </w:r>
      <w:proofErr w:type="gramStart"/>
      <w:r>
        <w:rPr>
          <w:rFonts w:ascii="Arial" w:eastAsia="Arial" w:hAnsi="Arial" w:cs="Arial"/>
          <w:sz w:val="18"/>
          <w:u w:val="none"/>
        </w:rPr>
        <w:t>se s  Informačním</w:t>
      </w:r>
      <w:proofErr w:type="gramEnd"/>
      <w:r>
        <w:rPr>
          <w:rFonts w:ascii="Arial" w:eastAsia="Arial" w:hAnsi="Arial" w:cs="Arial"/>
          <w:sz w:val="18"/>
          <w:u w:val="none"/>
        </w:rPr>
        <w:t xml:space="preserve"> memorandem a před uzavřením pojistné smlouvy mně byl dán naprosto dostatečný časový prostor pro vlastní seznámení se s Informačním memorandem a pro zodpovězení </w:t>
      </w:r>
      <w:r>
        <w:rPr>
          <w:rFonts w:ascii="Arial" w:eastAsia="Arial" w:hAnsi="Arial" w:cs="Arial"/>
          <w:sz w:val="18"/>
          <w:u w:val="none"/>
        </w:rPr>
        <w:t xml:space="preserve">všech mých případných dotazů k Informačnímu memorandu;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beru na vědomí a jsem srozuměn s informací pojistitele o tom, že Informační memorandum je a bude zájemci o pojištění resp. pojistníkovi a jinému účastníku</w:t>
      </w:r>
      <w:r>
        <w:rPr>
          <w:rFonts w:ascii="Arial" w:eastAsia="Arial" w:hAnsi="Arial" w:cs="Arial"/>
          <w:sz w:val="18"/>
          <w:u w:val="none"/>
        </w:rPr>
        <w:t xml:space="preserve"> pojištění k dispozici na internetových (webových) stránkách pojistitele na adrese www.csobpoj.cz nebo na vyžádání pojistníka u té konkrétní fyzické osoby, která jménem pojistitele podepsala tuto pojistnou smlouvu, anebo na kterémkoliv obchodním místě poji</w:t>
      </w:r>
      <w:r>
        <w:rPr>
          <w:rFonts w:ascii="Arial" w:eastAsia="Arial" w:hAnsi="Arial" w:cs="Arial"/>
          <w:sz w:val="18"/>
          <w:u w:val="none"/>
        </w:rPr>
        <w:t xml:space="preserve">stitele. </w:t>
      </w:r>
    </w:p>
    <w:p w:rsidR="00D474C7" w:rsidRDefault="00C84A8F">
      <w:pPr>
        <w:spacing w:after="187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1"/>
          <w:numId w:val="1"/>
        </w:numPr>
        <w:spacing w:after="4" w:line="268" w:lineRule="auto"/>
        <w:ind w:right="6" w:hanging="401"/>
      </w:pPr>
      <w:r>
        <w:rPr>
          <w:rFonts w:ascii="Arial" w:eastAsia="Arial" w:hAnsi="Arial" w:cs="Arial"/>
          <w:sz w:val="18"/>
          <w:u w:val="none"/>
        </w:rPr>
        <w:t xml:space="preserve">Prohlašuji a svým podpisem níže stvrzuji, že: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355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jsem byl před uzavřením této pojistné smlouvy, zcela v souladu s ustanovením § 2774 občanského zákoníku, pojistit</w:t>
      </w:r>
      <w:r>
        <w:rPr>
          <w:rFonts w:ascii="Arial" w:eastAsia="Arial" w:hAnsi="Arial" w:cs="Arial"/>
          <w:sz w:val="18"/>
          <w:u w:val="none"/>
        </w:rPr>
        <w:t xml:space="preserve">elem řádně a detailně (co do vysvětlení obsahu a významu všech jejich jednotlivých ustanovení) seznámen s </w:t>
      </w:r>
      <w:proofErr w:type="spellStart"/>
      <w:r>
        <w:rPr>
          <w:rFonts w:ascii="Arial" w:eastAsia="Arial" w:hAnsi="Arial" w:cs="Arial"/>
          <w:sz w:val="18"/>
          <w:u w:val="none"/>
        </w:rPr>
        <w:t>Infolistem</w:t>
      </w:r>
      <w:proofErr w:type="spellEnd"/>
      <w:r>
        <w:rPr>
          <w:rFonts w:ascii="Arial" w:eastAsia="Arial" w:hAnsi="Arial" w:cs="Arial"/>
          <w:sz w:val="18"/>
          <w:u w:val="none"/>
        </w:rPr>
        <w:t xml:space="preserve"> produktu, s Informačním dokumentem o pojistném produktu, s rozsahem pojištění a s všeobecnými pojistnými podmínkami (dále také jen "pojistn</w:t>
      </w:r>
      <w:r>
        <w:rPr>
          <w:rFonts w:ascii="Arial" w:eastAsia="Arial" w:hAnsi="Arial" w:cs="Arial"/>
          <w:sz w:val="18"/>
          <w:u w:val="none"/>
        </w:rPr>
        <w:t xml:space="preserve">é podmínky"), které jsou nedílnou součástí této pojistné smlouvy;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jsem byl před uzavřením této pojistné smlouvy podrobně seznámen se všemi vybranými ustanoveními pojistných podmínek zvlášť uvedenými v dokumentu „</w:t>
      </w:r>
      <w:proofErr w:type="spellStart"/>
      <w:r>
        <w:rPr>
          <w:rFonts w:ascii="Arial" w:eastAsia="Arial" w:hAnsi="Arial" w:cs="Arial"/>
          <w:sz w:val="18"/>
          <w:u w:val="none"/>
        </w:rPr>
        <w:t>Infolist</w:t>
      </w:r>
      <w:proofErr w:type="spellEnd"/>
      <w:r>
        <w:rPr>
          <w:rFonts w:ascii="Arial" w:eastAsia="Arial" w:hAnsi="Arial" w:cs="Arial"/>
          <w:sz w:val="18"/>
          <w:u w:val="none"/>
        </w:rPr>
        <w:t xml:space="preserve"> produktu“, která by mohla být považována za ustanovení neočekávaná ve smyslu ustanovení § 1753 občans</w:t>
      </w:r>
      <w:r>
        <w:rPr>
          <w:rFonts w:ascii="Arial" w:eastAsia="Arial" w:hAnsi="Arial" w:cs="Arial"/>
          <w:sz w:val="18"/>
          <w:u w:val="none"/>
        </w:rPr>
        <w:t xml:space="preserve">kého zákoníku, a souhlasím s nimi. Dále prohlašuji, že mé odpovědi na písemné dotazy pojistitele ve smyslu ustanovení § 2788 občanského zákoníku jsou pravdivé a úplné;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seznámení s Informačním dokumentem o poji</w:t>
      </w:r>
      <w:r>
        <w:rPr>
          <w:rFonts w:ascii="Arial" w:eastAsia="Arial" w:hAnsi="Arial" w:cs="Arial"/>
          <w:sz w:val="18"/>
          <w:u w:val="none"/>
        </w:rPr>
        <w:t xml:space="preserve">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</w:t>
      </w:r>
    </w:p>
    <w:p w:rsidR="00D474C7" w:rsidRDefault="00C84A8F">
      <w:pPr>
        <w:spacing w:after="4" w:line="268" w:lineRule="auto"/>
        <w:ind w:left="670" w:right="6"/>
        <w:jc w:val="both"/>
      </w:pPr>
      <w:r>
        <w:rPr>
          <w:rFonts w:ascii="Arial" w:eastAsia="Arial" w:hAnsi="Arial" w:cs="Arial"/>
          <w:sz w:val="18"/>
          <w:u w:val="none"/>
        </w:rPr>
        <w:t xml:space="preserve">zastupující pojistníka);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lastRenderedPageBreak/>
        <w:t xml:space="preserve">po seznámení se s obsahem všech předsmluvních a smluvních dokumentů a před uzavřením pojistné smlouvy mně byl dán naprosto dostatečný časový prostor pro vlastní seznámení se s obsahem </w:t>
      </w:r>
      <w:r>
        <w:rPr>
          <w:rFonts w:ascii="Arial" w:eastAsia="Arial" w:hAnsi="Arial" w:cs="Arial"/>
          <w:sz w:val="18"/>
          <w:u w:val="none"/>
        </w:rPr>
        <w:t xml:space="preserve">a významem těchto dokumentů a pro zodpovězení všech mých případných dotazů k těmto dokumentům;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>před uzavřením pojistné smlouvy mi byly v listinné podobě poskytnuty Informační dokument o pojistném produktu a po</w:t>
      </w:r>
      <w:r>
        <w:rPr>
          <w:rFonts w:ascii="Arial" w:eastAsia="Arial" w:hAnsi="Arial" w:cs="Arial"/>
          <w:sz w:val="18"/>
          <w:u w:val="none"/>
        </w:rPr>
        <w:t xml:space="preserve">jistné podmínky;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8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 xml:space="preserve">jsem v dostatečné době před uzavřením této pojistné smlouvy obdržel od pojišťovacího makléře Záznam z jednání, včetně všech jeho příloh;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2"/>
          <w:numId w:val="1"/>
        </w:numPr>
        <w:spacing w:after="4" w:line="268" w:lineRule="auto"/>
        <w:ind w:right="6" w:hanging="259"/>
        <w:jc w:val="both"/>
      </w:pPr>
      <w:r>
        <w:rPr>
          <w:rFonts w:ascii="Arial" w:eastAsia="Arial" w:hAnsi="Arial" w:cs="Arial"/>
          <w:sz w:val="18"/>
          <w:u w:val="none"/>
        </w:rPr>
        <w:t xml:space="preserve">v souladu s ustanovením § 128 odst. 1 zákona č. 277/2009 Sb., o pojišťovnictví, ve znění pozdějších předpisů, uděluji pojistiteli souhlas s poskytnutím informací týkajících se pojištění: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3"/>
          <w:numId w:val="1"/>
        </w:numPr>
        <w:spacing w:after="7" w:line="254" w:lineRule="auto"/>
        <w:ind w:right="185" w:hanging="262"/>
        <w:jc w:val="both"/>
      </w:pPr>
      <w:r>
        <w:rPr>
          <w:rFonts w:ascii="Arial" w:eastAsia="Arial" w:hAnsi="Arial" w:cs="Arial"/>
          <w:sz w:val="18"/>
          <w:u w:val="none"/>
        </w:rPr>
        <w:t xml:space="preserve">členům skupiny ČSOB, jejichž seznam je uveden na internetových stránkách www.csob.cz/skupina a  </w:t>
      </w:r>
    </w:p>
    <w:p w:rsidR="00D474C7" w:rsidRDefault="00C84A8F">
      <w:pPr>
        <w:spacing w:after="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8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3"/>
          <w:numId w:val="1"/>
        </w:numPr>
        <w:spacing w:after="4" w:line="268" w:lineRule="auto"/>
        <w:ind w:right="185" w:hanging="262"/>
        <w:jc w:val="both"/>
      </w:pPr>
      <w:r>
        <w:rPr>
          <w:rFonts w:ascii="Arial" w:eastAsia="Arial" w:hAnsi="Arial" w:cs="Arial"/>
          <w:sz w:val="18"/>
          <w:u w:val="none"/>
        </w:rPr>
        <w:t xml:space="preserve">ostatním subjektům podnikajícím v pojišťovnictví a zájmovým sdružením či korporacím těchto subjektů. </w:t>
      </w:r>
    </w:p>
    <w:p w:rsidR="00D474C7" w:rsidRDefault="00C84A8F">
      <w:pPr>
        <w:spacing w:after="190" w:line="259" w:lineRule="auto"/>
        <w:ind w:left="12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Ostatní ustanovení pojistné smlouvy, než ustanovení výslovně zmíněná v tomto dodatku, se tímto dodatkem nijak nemění. </w:t>
      </w:r>
    </w:p>
    <w:p w:rsidR="00D474C7" w:rsidRDefault="00C84A8F">
      <w:pPr>
        <w:spacing w:after="188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Správce pojistné smlouvy: Karel </w:t>
      </w:r>
      <w:proofErr w:type="spellStart"/>
      <w:r>
        <w:rPr>
          <w:rFonts w:ascii="Arial" w:eastAsia="Arial" w:hAnsi="Arial" w:cs="Arial"/>
          <w:sz w:val="18"/>
          <w:u w:val="none"/>
        </w:rPr>
        <w:t>Tejchman</w:t>
      </w:r>
      <w:proofErr w:type="spellEnd"/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188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</w: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Počet stran dodatku pojistné smlouvy bez příloh: </w:t>
      </w:r>
      <w:r>
        <w:rPr>
          <w:rFonts w:ascii="Arial" w:eastAsia="Arial" w:hAnsi="Arial" w:cs="Arial"/>
          <w:sz w:val="18"/>
          <w:u w:val="none"/>
        </w:rPr>
        <w:tab/>
        <w:t xml:space="preserve">4 </w:t>
      </w:r>
    </w:p>
    <w:p w:rsidR="00D474C7" w:rsidRDefault="00C84A8F">
      <w:pPr>
        <w:spacing w:after="181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Přílohy: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175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4" w:line="268" w:lineRule="auto"/>
        <w:ind w:left="512" w:right="6"/>
        <w:jc w:val="both"/>
      </w:pPr>
      <w:r>
        <w:rPr>
          <w:rFonts w:ascii="Arial" w:eastAsia="Arial" w:hAnsi="Arial" w:cs="Arial"/>
          <w:sz w:val="18"/>
          <w:u w:val="none"/>
        </w:rPr>
        <w:t xml:space="preserve">1) Seznam míst pojištění </w:t>
      </w:r>
    </w:p>
    <w:p w:rsidR="00D474C7" w:rsidRDefault="00C84A8F">
      <w:pPr>
        <w:spacing w:after="369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 xml:space="preserve">Tento dodatek pojistné smlouvy je vyhotoven ve 3 stejnopisech shodné právní síly, přičemž jedno vyhotovení obdrží pojistník a zbývající dvě pojistitel. </w:t>
      </w:r>
    </w:p>
    <w:p w:rsidR="00D474C7" w:rsidRDefault="00C84A8F">
      <w:pPr>
        <w:spacing w:after="190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numPr>
          <w:ilvl w:val="0"/>
          <w:numId w:val="1"/>
        </w:numPr>
        <w:spacing w:after="4" w:line="268" w:lineRule="auto"/>
        <w:ind w:right="6" w:hanging="300"/>
        <w:jc w:val="both"/>
      </w:pPr>
      <w:r>
        <w:rPr>
          <w:rFonts w:ascii="Arial" w:eastAsia="Arial" w:hAnsi="Arial" w:cs="Arial"/>
          <w:sz w:val="18"/>
          <w:u w:val="none"/>
        </w:rPr>
        <w:t>Smluvní strany tohoto dodatku po jeho důkladném přečtení výslov</w:t>
      </w:r>
      <w:r>
        <w:rPr>
          <w:rFonts w:ascii="Arial" w:eastAsia="Arial" w:hAnsi="Arial" w:cs="Arial"/>
          <w:sz w:val="18"/>
          <w:u w:val="none"/>
        </w:rPr>
        <w:t>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</w:t>
      </w:r>
      <w:r>
        <w:rPr>
          <w:rFonts w:ascii="Arial" w:eastAsia="Arial" w:hAnsi="Arial" w:cs="Arial"/>
          <w:sz w:val="18"/>
          <w:u w:val="none"/>
        </w:rPr>
        <w:t xml:space="preserve"> oprávněných zástupců. </w:t>
      </w:r>
    </w:p>
    <w:p w:rsidR="00D474C7" w:rsidRDefault="00C84A8F">
      <w:pPr>
        <w:spacing w:after="759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lastRenderedPageBreak/>
        <w:t xml:space="preserve"> </w:t>
      </w:r>
    </w:p>
    <w:tbl>
      <w:tblPr>
        <w:tblStyle w:val="TableGrid"/>
        <w:tblW w:w="85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101"/>
      </w:tblGrid>
      <w:tr w:rsidR="00D474C7">
        <w:trPr>
          <w:trHeight w:val="40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V Praze dne </w:t>
            </w:r>
            <w:proofErr w:type="gramStart"/>
            <w:r>
              <w:rPr>
                <w:rFonts w:ascii="Arial" w:eastAsia="Arial" w:hAnsi="Arial" w:cs="Arial"/>
                <w:sz w:val="18"/>
                <w:u w:val="none"/>
              </w:rPr>
              <w:t>04.12.2023</w:t>
            </w:r>
            <w:proofErr w:type="gramEnd"/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74C7" w:rsidRDefault="00C84A8F">
            <w:pPr>
              <w:spacing w:after="14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 ............................................................ </w:t>
            </w:r>
          </w:p>
          <w:p w:rsidR="00D474C7" w:rsidRDefault="00C84A8F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razítko a podpis pojistníka </w:t>
            </w:r>
          </w:p>
        </w:tc>
      </w:tr>
    </w:tbl>
    <w:p w:rsidR="00D474C7" w:rsidRDefault="00C84A8F">
      <w:pPr>
        <w:spacing w:after="759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  <w:r>
        <w:rPr>
          <w:rFonts w:ascii="Arial" w:eastAsia="Arial" w:hAnsi="Arial" w:cs="Arial"/>
          <w:sz w:val="1"/>
          <w:u w:val="none"/>
        </w:rPr>
        <w:tab/>
        <w:t xml:space="preserve">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tbl>
      <w:tblPr>
        <w:tblStyle w:val="TableGrid"/>
        <w:tblW w:w="85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077"/>
      </w:tblGrid>
      <w:tr w:rsidR="00D474C7">
        <w:trPr>
          <w:trHeight w:val="41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474C7" w:rsidRDefault="00C84A8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V Praze dne </w:t>
            </w:r>
            <w:proofErr w:type="gramStart"/>
            <w:r>
              <w:rPr>
                <w:rFonts w:ascii="Arial" w:eastAsia="Arial" w:hAnsi="Arial" w:cs="Arial"/>
                <w:sz w:val="18"/>
                <w:u w:val="none"/>
              </w:rPr>
              <w:t>04.12.2023</w:t>
            </w:r>
            <w:proofErr w:type="gramEnd"/>
            <w:r>
              <w:rPr>
                <w:rFonts w:ascii="Arial" w:eastAsia="Arial" w:hAnsi="Arial" w:cs="Arial"/>
                <w:sz w:val="18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D474C7" w:rsidRDefault="00C84A8F">
            <w:pPr>
              <w:spacing w:after="16" w:line="259" w:lineRule="auto"/>
              <w:ind w:left="26" w:firstLine="0"/>
              <w:jc w:val="both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............................................................ </w:t>
            </w:r>
          </w:p>
          <w:p w:rsidR="00D474C7" w:rsidRDefault="00C84A8F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8"/>
                <w:u w:val="none"/>
              </w:rPr>
              <w:t xml:space="preserve">razítko a podpis pojistitele </w:t>
            </w:r>
          </w:p>
        </w:tc>
      </w:tr>
    </w:tbl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t xml:space="preserve"> </w:t>
      </w:r>
    </w:p>
    <w:p w:rsidR="00D474C7" w:rsidRDefault="00C84A8F">
      <w:pPr>
        <w:spacing w:after="0" w:line="259" w:lineRule="auto"/>
        <w:ind w:left="0" w:firstLine="0"/>
      </w:pPr>
      <w:r>
        <w:rPr>
          <w:rFonts w:ascii="Arial" w:eastAsia="Arial" w:hAnsi="Arial" w:cs="Arial"/>
          <w:sz w:val="1"/>
          <w:u w:val="none"/>
        </w:rPr>
        <w:t xml:space="preserve"> </w:t>
      </w:r>
    </w:p>
    <w:p w:rsidR="00D474C7" w:rsidRDefault="00D474C7">
      <w:pPr>
        <w:sectPr w:rsidR="00D474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1"/>
          <w:pgMar w:top="706" w:right="1366" w:bottom="1702" w:left="1400" w:header="708" w:footer="708" w:gutter="0"/>
          <w:cols w:space="708"/>
          <w:titlePg/>
        </w:sectPr>
      </w:pPr>
    </w:p>
    <w:p w:rsidR="00E5355A" w:rsidRDefault="00C84A8F">
      <w:pPr>
        <w:spacing w:after="124" w:line="259" w:lineRule="auto"/>
        <w:ind w:left="0" w:firstLine="0"/>
      </w:pPr>
      <w:r>
        <w:rPr>
          <w:rFonts w:ascii="Arial" w:eastAsia="Arial" w:hAnsi="Arial" w:cs="Arial"/>
          <w:sz w:val="18"/>
          <w:u w:val="none"/>
        </w:rPr>
        <w:lastRenderedPageBreak/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2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32"/>
                <w:szCs w:val="32"/>
                <w:u w:val="none"/>
              </w:rPr>
            </w:pPr>
            <w:r w:rsidRPr="00E5355A">
              <w:rPr>
                <w:rFonts w:eastAsiaTheme="minorEastAsia"/>
                <w:b/>
                <w:bCs/>
                <w:sz w:val="32"/>
                <w:szCs w:val="32"/>
                <w:u w:val="none"/>
              </w:rPr>
              <w:t xml:space="preserve">Seznam míst pojištění a nemovitého majetku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 w:val="32"/>
                <w:szCs w:val="32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5"/>
                <w:szCs w:val="25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b/>
                <w:bCs/>
                <w:sz w:val="25"/>
                <w:szCs w:val="25"/>
                <w:u w:val="none"/>
              </w:rPr>
              <w:t xml:space="preserve">Předmět a místo pojištění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 w:val="25"/>
                <w:szCs w:val="25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5 chat v autokempu Běloves, pare. 779/2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Azylový dům Borská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čp.621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833/2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Azylový dům čp. 616 Borská, pare. 833/1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Beránek Náchod, Masarykovo nám 74 a 2062_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Alšova čp. 952, pare. 1189 KÚ Náchod,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Březinova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č.669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904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Havlíčkova čp. 1848, pare. 3285 KÚ Náchod,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486/1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Komenského 301, pare. 499/1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Myslbekova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čp.4, pare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. 383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U Kočovný (MŠ Myslbekova, dříve Odboje), čp.31/II, pare. 225 KÚ St. Město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Vančurova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č.1345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1430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- MŠ Vítkova čp. 304. pare. 307 KÚ Běloves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bez čp. na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291 Náchod - za budovou úřadu Zámecká (původní objekt ke skladování ledu pro řeznictví)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bez čp. na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2403 Náchod - za budovou úřadu Zámecká (původní objekt skladu pro řeznictví)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čp. 305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35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_____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ZŠ Komenského 425,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parc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426, 2750 (garáž) KÚ Náchod projekt CZ.1.02/3.2.00/09.05002/090 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budova ZŠ Sokolská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čp.1809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2892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1104/11 Příkopy, pare. 2828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1106/1 Příkopy, pare. 2830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1106/10 Příkopy, pare. 2830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1106/22 Příkopy, pare. 2830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1106/4 Příkopy, pare. 2830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119/8 Myslbekova, pare. 125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KU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120/3 Myslbekova,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parc.126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1338/4 Nerudova, pare. 1436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1339/12 Nerudova, pare. 1434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1339/16 Nerudova, pare. 1434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1420/100 /kryt CO/Komenského, p. 1829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1498/700 Hamry (kryt CO), pare. 1638,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1501/700 Č. Bratří /kryt CO/ pare. 416,1574 KU N_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1502/4 Č. Bratří /kryt CO/,pare. 415,1574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KUNách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1512/503 Kladská /kryt CO/, p. 484/8, 484/9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1526/6 Pražská, pare. 1770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1527/21 Pražská, pare. 1771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1528/1 Pražská, pare. 1772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1532/8 Pražská, pare. 1776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1537/15 Jugoslávská, pare. 289,292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1538/22 Jugoslávská, pare. 290,292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1541/12 Bílkova, pare. 293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1550/2 Pražská, pare. 333/1 KÚ </w:t>
            </w:r>
            <w:proofErr w:type="spellStart"/>
            <w:r w:rsidRPr="00E5355A">
              <w:rPr>
                <w:rFonts w:eastAsiaTheme="minorEastAsia"/>
                <w:b/>
                <w:bCs/>
                <w:i/>
                <w:iCs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b/>
                <w:bCs/>
                <w:i/>
                <w:iCs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1671/24 Běloveská, pare. 2615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1672/12 Běloveská, pare. 2616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1676/27 Běloveská, pare. 2612,2611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8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1775/14 Běloveská, pare. 2876, 2874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szCs w:val="20"/>
                <w:u w:val="none"/>
              </w:rPr>
              <w:t xml:space="preserve">byt č. 1825/22 Kostelecká, pare. 3033, 3031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1828/73 Kostelecká, pare. 3030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1829/32 Kostelecká, pare. 3048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1974/7 Bílá, pare. 474 KÚ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236/1 Pražská, pare. 1775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236/2 Pražská, pare. 1775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236/3 Pražská, pare. 1775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236/4 Pražská, pare. 1775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276/17 Komenského, pare. 442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277/16 Komenského, pare. 442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277/7 Komenského, pare. 442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727/1 Krámská, pare. 112/1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727/2 Krámská, pare. 112/1 KU Náchod - byt pro invalidy_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801/9 Janáčkova, pare. 966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803/6 Raisova, pare. 964 KU Náchod_^_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812/1 Smetanova, pare. 1720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86/4 Jugoslávská, pare. 86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87/13 Jugoslávská, pare. 87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č. 929/4 ul. B. Němcové, pare. 1143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1346/7, pare. 1506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1346/9, pare. 1506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1953/1 Zelená, pare. 453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1953/2 Zelená, pare. 453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1953/9 Zelená, pare. 453 KU </w:t>
            </w:r>
            <w:proofErr w:type="spellStart"/>
            <w:r w:rsidRPr="00E5355A">
              <w:rPr>
                <w:rFonts w:eastAsiaTheme="minorEastAsia"/>
                <w:b/>
                <w:bCs/>
                <w:i/>
                <w:iCs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b/>
                <w:bCs/>
                <w:i/>
                <w:iCs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1954/14 Zelená, pare. 452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1955/2 Zelená, pare. 451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1960/13 Bílá, pare. KU 463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1960/2 Bílá, pare. 463 KÚ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252/4 Českoskalická, pare. 484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St.Měst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252/8 Českoskalická, pare. 484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St.Měst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252/9 Českoskalická, pare. 484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StAAěs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656/100 ul. B. Němcové, pare. 882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656/2 ul. B. Němcové, pare. 882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682/1 Pražská, pare. 910KU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682/7 Pražská, pare. 910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783/2 Pražská, pare. 957,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čís. 783/9 Pražská, pare. 957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 g. 1974/5 Bílá, pare. 474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KU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č.p.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738/100 - lékárna, pare, č. 2781/1,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č.p.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738/200 - poliklinika, pare, č. 2781/1,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</w:t>
            </w:r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>.p.</w:t>
            </w:r>
            <w:proofErr w:type="gramEnd"/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738/300 - ZZS, pare, č. 2781/1,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1443 Dobrošovská /myslivna/, pare. 1520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1819 Rybářská /Harmonie 117 pare. 3191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2013 /sociální byty/, pare. 3320/1 KÚ Náchod - ubytovna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242 Náchod, pare. 1260 KÚ Náchod - vrátnice v areálu Déčka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243 - Déčko, kult, památka, pare. 1259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265 Duhová - byt č. 265/5_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266 Duhová - byt č. 266/10_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267 Duhová - byt č. 267/10_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270 Bílkova, pare. 297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St.Město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275 Bartoňova, pare. 539 KÚ St. Město__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276 Bartoňova, pare. 540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KU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277 Bartoňova, pare. 541 KÚ St. Město_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3 Vítkova - ubytovna, pare. 322 KU Běloves_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371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Hurdálkova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589 KÚ Náchod___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szCs w:val="20"/>
                <w:u w:val="none"/>
              </w:rPr>
              <w:t xml:space="preserve">čp. 406 a 148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Hurdálkova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629 a 202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 (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č.dokl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3028)_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50 Odboje, pare. 55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577 Komenského, pare. 825,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čp. 665 - budova bývalé polikliniky - Denisovo nábř.,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886 ,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k.ú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čp.129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U Star, lázní, pare. 3/2 KÚ Běloves_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čp.192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Českoskalická, pare. 205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čp.192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Hamry, pare. 2535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čp.21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Malé Poříčí, pare. 75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KU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M.Poříčí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293/1__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293/10_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293/11_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293/12_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293/13_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293/14_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293/15_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293/16_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293/2_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293/3_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293/4_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293/6_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293/7_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293/8_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293/9_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294/10_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294/11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294/12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294/13_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294/14_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294/16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294/2_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294/3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294/4_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294/6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294/7_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KÚ Náchod - byt č. 294/8_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čp.293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-4 Borská, pare. 2884-5 KU Náchod - byt č. 294/9_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čp.31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Broumovská + kůlna, pare. 39,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76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M.Poříčí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čp.32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Malé Poříčí + kůlna, pare. 38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M.Poříčí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čp.348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Francouzská, pare. 571/1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čp.349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Francouzská, pare. 572/1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čp.35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Malé Poříčí + kůlna, pare. 37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M.Poříčí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čp.391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Náchod, pare. 331/2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čp.40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Malé Poříčí + kůlna, pare. 45 KÚ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M.Poříčí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čp.41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Malé Poříčí + kůlna, pare. 46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MPoříčí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čp.504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a 505 Francouzská, pare. 704/1+705/1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čp.60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Na Vyšehradě + kůlna, pare. 45 KÚ Babí 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čp.68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Na Vyšehradě + kůlna, pare. 81 KÚ Babí_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čp.98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Na Vyšehradě + kůlna, pare. 104 KÚ Babí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čp.l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(restaurace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stabrného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potoka parc.11/1) a čp. 105 (sídlo Správy budov parc.11/2) - ul. Českoskalická a garáže, sklad, pare. 123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čp.l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nám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. TGM, pare. 2 KÚ Náchod - stará radnice_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čp.lOO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Na Drážkách + kůlna, pare. 139 KU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2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szCs w:val="20"/>
                <w:u w:val="none"/>
              </w:rPr>
              <w:t xml:space="preserve">Babí_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dům čp. 269 Duhová, pare. 516 KÚ St. Město - byt č. 269/23_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dům čp. 269 Duhová, pare. 516 KÚ St. Město - byt č. 269/46_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dům čp. 269 Duhová, pare. 516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KU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St. Město - nebytový prostor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dům čp. 897 Bartoňova, pare. 1266 KU Náchod - stacionář CESTA_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dům čp. 97 Kladská, pare. 1/1 KÚ Běloves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Evangelická akademie čp. 335, pare. 570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garáž I. penz. HARMONIE, pare. 626/2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garáž na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1261 Náchod, pare. 1261 KÚ Náchod - u vrátnice u Déčka_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Babí Č.50/V, pare. 31 KU Babí_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čp. 322, pare. 409 KU Běloves_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>hasičská zbrojnice - čp. 37, pare. 10 KU ]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izbice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čp. 45, pare. 112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Pavlišov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nová budova na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4342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pare. 46/1 KU Lipí_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hasičská zbrojnice - </w:t>
            </w:r>
            <w:r w:rsidRPr="00E5355A">
              <w:rPr>
                <w:rFonts w:eastAsiaTheme="minorEastAsia"/>
                <w:b/>
                <w:bCs/>
                <w:i/>
                <w:iCs/>
                <w:szCs w:val="20"/>
                <w:u w:val="none"/>
              </w:rPr>
              <w:t xml:space="preserve">pare.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74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Dobrošov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hygien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pavilon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MŠ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Myslbek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384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hygien.payilon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ZŠ Sokolská, pare. 1325/3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čp. 264 MŠ Běloves, pare. 250 KÚ Běloves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Lesana, pare. 78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MDU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35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MDU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35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MDU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35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Vižňov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_______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id.1/2 chaty Zvonička 32, pare. 90 KÚ Pec p. Sněž.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dřevěné kabiny, pare. 337/1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rozvodna.,skladiště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čp.1174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1366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(starý vstup na koupaliště)_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sociální zařízení, pare. 3626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spol. šatna, pare. 1367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úpravna vody, pare. 2971 KÚ Náchod__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JK vstupní objekt, ohřev, pare. 3209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kino VESMÍR čp. 147, pare. 203/1 KÚ Náchod ~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Kino VESMÍR čp. 249,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Hurdálkova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203/2 KÚ N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Klubovna-skladiště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Pavlišov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165,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ev.č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8, KÚ Pavliš_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knihovna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čp.105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s garáží Kamenice,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1257, 3091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Komunitní centrum - dům čp. 445 Kladská, pare. 523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Malé lázně Běloves -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čp.129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kolonáda -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k.ú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Běloves 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Márnice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Pavlišov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124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Pavlišov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MěSSS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Marie - čp. 1998, pare. 3472 KU Náchod___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MNV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Dobrošov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čp.64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73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Dobrošov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>MNV Lipí čp. 93 /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býv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škola/, pare. 47/1 KÚ Lipí, zateplení - ORG 964__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1495/501 Purkyňova, pare. 1634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1513/501 Kladská, pare. 484/7,484/9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1513/502 Kladská, pare. 484/7,484/9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236/5 Pražská, pare. 1775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236/6 Pražská, pare. 1775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610/300 Komenského, pare. 827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č. 801/11 Janáčkova, pare. 966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252/100 Českoskalická, pare. 484 KÚ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St._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252/200 Českoskalická, pare. 484 KÚ St.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252/300 Českoskalická, pare. 484 KÚ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St._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252/500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Českoskalic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pare. 484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36/100 Tyršova, pare. 3437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731/100 Krámská, pare. 107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731/200 Krámská, pare. 107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731/300 Krámská, pare. 107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731/400 Krámská, pare. 107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731/500 Krámská, pare. 107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čís. 731/600 Krámská, pare. 107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čís. 35/100 Tyršova, pare. 3438/1 KU Náchod______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prost, č. 929-930/100, pare. 1143-4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nebyt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prost. 930/200 B. Němcové, pare. 1144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nebytová část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čp.1759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Pražská,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poz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2794/1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objekt u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čp.1443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myslivny, pare. 3342,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Obřad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síň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a márnice stará, pare. 450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Obřad.síň+márnice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nová na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hřbit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parc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1390 KU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penz. HARMONIE, Rybářská 1810, pare. 2898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Nách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PLAVECKÝ BAZÉN - čp. 178 Pražská, pare. 3299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- zateplení a výměna oken ( ORG 951)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polytechnický pavilon, pare. 643 KU Náchod__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PRÁDELNA - SKLAD v čp. 236 ul. Pražská - (bývalá prádelna) -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parc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1775_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prodejní stánek v areálu JK, pare. 337/1 KÚ Náchod__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předúpravna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vody, pare. 2971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Přírodověd.stanice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čp.472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674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přístavba schodiště k objektu čp. 249,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Hurdálkova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ul., kino Vesmír,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Náchod,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203/2_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restaurace na koupališti, pare. 1367 KÚ Náchod__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 hasičů, pare. 19/3 KU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Dobrošov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 nářadí u hasičské zbrojnice v Bělovsi,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Běloves,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409_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 pro SDH Lipí -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329, (původní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350/4 a 358)_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Skladiště hasičů, pare. 112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Pavlišov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skladiště paliv Jizbice,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parc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10 KÚ Jizbice_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sklep pro ŠJ ZŠ TGM,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parc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1800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lastRenderedPageBreak/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smuteční obřadní síň na hřbitově, čp. 2009, pare. 462, 3430-32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sportovně kulturní centrum Babí - budova,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406_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Správa hřbitova čp. 523, pare. 715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šatna na hřišti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375/2 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tělocvična s krčkem ZŠ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Plhov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čp. 1186, pare. 3042 KÚ Náchod (ZATEPLENÍ BUDOVY = ORG 853) -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původ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doklad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359 a 360 z r. 1984_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tělocvična ZŠ Komenského, pare. 2726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umývárny v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SokoLBěloves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, pare. 527/7,532/1_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ÚŘAD - budova čp. 1845 ul. Zámecká______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ÚŘAD - budova čp. 2020 B. Němcové, pare. 2781/2 KÚ Náchod + vyvolávací zařízení (TZH)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ÚŘAD - radnice nám. TGM čp. 40, pare. 123 KÚ Náchod__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VS ZŠ Komenského), pare. 2650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>výměník na sídlišti u nemocnice (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Hopsáček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) - podíl 63/200,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p.448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St.M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výměníková stanice - ul. Kladská 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výměníková stanice ZŠ TGM, pare. 1800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Zákl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škola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Čes.Bratří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540, pare. 506/4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ZIMNÍ STADION - budovy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sportov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zař. - čp. 1795, pare. 3207, 2871(šatny) KU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ZIMNÍ STADION - hotel, ubytovna a restaurace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čp.1795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3207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ZIMNÍ STADION - výměníková stanice - pare. 2870/1 KÚ Náchod_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1. Máje čp. 16 (stará budova školy), pare. 11 KU Běloves_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1. Máje čp. 365 (nová budova), pare. 537 KÚ Běloves_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Drtinovo nám, čp. 121, pare. 127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StMěsto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Pavlišovská čp. 55/VI, pare. 67 KÚ Babí_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Plhov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čp.1186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, pare. 3042 KÚ Náchod, výtah (ORG 651)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ZŠ TGM 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čp.1005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-6, pare. 1263,1264 KÚ Náchod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>ZUŠ, čp. 247 /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býv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vojenská</w:t>
            </w:r>
            <w:proofErr w:type="spellEnd"/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správa/, p.č.62 KÚ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Ná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dřevěný altán v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Montaci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-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4023 - u vojenského bunkru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chata a altán se skladem na nářadí -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1510/9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k.ú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Městská Kramolna (chata 78.930,--, altán 42.300,--)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sběrný dvůr - objekt sypkých materiálů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skladovací hala s garáží na Hamrech -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p.p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1190/3, 4481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bytový dům čp. 40,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389,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k.ú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Vysokov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4"/>
      </w:tblGrid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szCs w:val="20"/>
                <w:u w:val="none"/>
              </w:rPr>
              <w:t xml:space="preserve">budova - chata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ev.č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565,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st.p.č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. 3674,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k.ú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Náchod (ul. Nad Židovským hřbitovem)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szCs w:val="20"/>
                <w:u w:val="none"/>
              </w:rPr>
              <w:t xml:space="preserve">Staré lázně Běloves - vila </w:t>
            </w:r>
            <w:proofErr w:type="spellStart"/>
            <w:r w:rsidRPr="00E5355A">
              <w:rPr>
                <w:rFonts w:eastAsiaTheme="minorEastAsia"/>
                <w:szCs w:val="20"/>
                <w:u w:val="none"/>
              </w:rPr>
              <w:t>Panzinka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 xml:space="preserve"> - čp. 116, </w:t>
            </w:r>
            <w:proofErr w:type="spellStart"/>
            <w:proofErr w:type="gramStart"/>
            <w:r w:rsidRPr="00E5355A">
              <w:rPr>
                <w:rFonts w:eastAsiaTheme="minorEastAsia"/>
                <w:szCs w:val="20"/>
                <w:u w:val="none"/>
              </w:rPr>
              <w:t>st.p</w:t>
            </w:r>
            <w:proofErr w:type="spellEnd"/>
            <w:r w:rsidRPr="00E5355A">
              <w:rPr>
                <w:rFonts w:eastAsiaTheme="minorEastAsia"/>
                <w:szCs w:val="20"/>
                <w:u w:val="none"/>
              </w:rPr>
              <w:t>.</w:t>
            </w:r>
            <w:proofErr w:type="gramEnd"/>
            <w:r w:rsidRPr="00E5355A">
              <w:rPr>
                <w:rFonts w:eastAsiaTheme="minorEastAsia"/>
                <w:szCs w:val="20"/>
                <w:u w:val="none"/>
              </w:rPr>
              <w:t xml:space="preserve"> 122 Běloves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FF0000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color w:val="FF0000"/>
                <w:szCs w:val="20"/>
                <w:u w:val="none"/>
              </w:rPr>
              <w:t xml:space="preserve">267/1 (katastrální území Náchod)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color w:val="FF0000"/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FF0000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color w:val="FF0000"/>
                <w:szCs w:val="20"/>
                <w:u w:val="none"/>
              </w:rPr>
              <w:t xml:space="preserve">267/2 (katastrální území Náchod)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color w:val="FF0000"/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FF0000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color w:val="FF0000"/>
                <w:szCs w:val="20"/>
                <w:u w:val="none"/>
              </w:rPr>
              <w:t xml:space="preserve">268/2 (katastrální území Náchod)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color w:val="FF0000"/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FF0000"/>
                <w:szCs w:val="20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color w:val="FF0000"/>
                <w:szCs w:val="20"/>
                <w:u w:val="none"/>
              </w:rPr>
              <w:t xml:space="preserve">3423 (katastrální území Náchod)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color w:val="FF0000"/>
                <w:szCs w:val="20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19"/>
                <w:szCs w:val="19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>]</w:t>
            </w:r>
            <w:proofErr w:type="spellStart"/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>sou-lí</w:t>
            </w:r>
            <w:proofErr w:type="spellEnd"/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 xml:space="preserve"> součástí nebo příslušenstvím hlavních staveb též stavby vedlejší, jako oplocení, technické a jiné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 w:val="19"/>
                <w:szCs w:val="19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19"/>
                <w:szCs w:val="19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 xml:space="preserve">objekty, vztahuje se pojištění též na tyto drobné objekty a stavby.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 w:val="19"/>
                <w:szCs w:val="19"/>
              </w:rPr>
              <w:t xml:space="preserve"> </w:t>
            </w:r>
          </w:p>
        </w:tc>
      </w:tr>
      <w:tr w:rsidR="00E5355A" w:rsidRPr="00E5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E5355A" w:rsidRPr="00E5355A" w:rsidRDefault="00E5355A" w:rsidP="00E535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19"/>
                <w:szCs w:val="19"/>
                <w:u w:val="none"/>
              </w:rPr>
            </w:pPr>
            <w:r w:rsidRPr="00E5355A">
              <w:rPr>
                <w:rFonts w:eastAsiaTheme="minorEastAsia"/>
                <w:color w:val="auto"/>
                <w:sz w:val="24"/>
                <w:szCs w:val="24"/>
                <w:u w:val="none"/>
              </w:rPr>
              <w:t xml:space="preserve"> </w:t>
            </w:r>
            <w:r w:rsidRPr="00E5355A">
              <w:rPr>
                <w:rFonts w:eastAsiaTheme="minorEastAsia"/>
                <w:b/>
                <w:bCs/>
                <w:sz w:val="19"/>
                <w:szCs w:val="19"/>
                <w:u w:val="none"/>
              </w:rPr>
              <w:t xml:space="preserve">Místa na území ČR, která pojištěný po právu užívá s LPP 5 000 000,- Kč. </w:t>
            </w:r>
          </w:p>
        </w:tc>
        <w:tc>
          <w:tcPr>
            <w:gridSpan w:val="0"/>
          </w:tcPr>
          <w:p w:rsidR="00E5355A" w:rsidRPr="00E5355A" w:rsidRDefault="00E5355A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E5355A">
              <w:rPr>
                <w:sz w:val="19"/>
                <w:szCs w:val="19"/>
              </w:rPr>
              <w:t xml:space="preserve"> </w:t>
            </w:r>
          </w:p>
        </w:tc>
      </w:tr>
    </w:tbl>
    <w:p w:rsidR="00E5355A" w:rsidRDefault="00E5355A">
      <w:pPr>
        <w:spacing w:after="124" w:line="259" w:lineRule="auto"/>
        <w:ind w:left="0" w:firstLine="0"/>
      </w:pPr>
      <w:bookmarkStart w:id="0" w:name="_GoBack"/>
      <w:bookmarkEnd w:id="0"/>
    </w:p>
    <w:sectPr w:rsidR="00E535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1"/>
      <w:pgMar w:top="1006" w:right="1692" w:bottom="699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8F" w:rsidRDefault="00C84A8F">
      <w:pPr>
        <w:spacing w:after="0" w:line="240" w:lineRule="auto"/>
      </w:pPr>
      <w:r>
        <w:separator/>
      </w:r>
    </w:p>
  </w:endnote>
  <w:endnote w:type="continuationSeparator" w:id="0">
    <w:p w:rsidR="00C84A8F" w:rsidRDefault="00C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C84A8F">
    <w:pPr>
      <w:spacing w:after="0" w:line="259" w:lineRule="auto"/>
      <w:ind w:left="0" w:right="29" w:firstLine="0"/>
      <w:jc w:val="center"/>
    </w:pPr>
    <w:r>
      <w:rPr>
        <w:rFonts w:ascii="Arial" w:eastAsia="Arial" w:hAnsi="Arial" w:cs="Arial"/>
        <w:sz w:val="18"/>
        <w:u w:val="none"/>
      </w:rPr>
      <w:t xml:space="preserve">Strana </w:t>
    </w:r>
    <w:r>
      <w:rPr>
        <w:rFonts w:ascii="Arial" w:eastAsia="Arial" w:hAnsi="Arial" w:cs="Arial"/>
        <w:sz w:val="18"/>
        <w:u w:val="none"/>
      </w:rPr>
      <w:fldChar w:fldCharType="begin"/>
    </w:r>
    <w:r>
      <w:rPr>
        <w:rFonts w:ascii="Arial" w:eastAsia="Arial" w:hAnsi="Arial" w:cs="Arial"/>
        <w:sz w:val="18"/>
        <w:u w:val="none"/>
      </w:rPr>
      <w:instrText xml:space="preserve"> PAGE   \* MERGEFORMAT </w:instrText>
    </w:r>
    <w:r>
      <w:rPr>
        <w:rFonts w:ascii="Arial" w:eastAsia="Arial" w:hAnsi="Arial" w:cs="Arial"/>
        <w:sz w:val="18"/>
        <w:u w:val="none"/>
      </w:rPr>
      <w:fldChar w:fldCharType="separate"/>
    </w:r>
    <w:r>
      <w:rPr>
        <w:rFonts w:ascii="Arial" w:eastAsia="Arial" w:hAnsi="Arial" w:cs="Arial"/>
        <w:sz w:val="18"/>
        <w:u w:val="none"/>
      </w:rPr>
      <w:t>2</w:t>
    </w:r>
    <w:r>
      <w:rPr>
        <w:rFonts w:ascii="Arial" w:eastAsia="Arial" w:hAnsi="Arial" w:cs="Arial"/>
        <w:sz w:val="18"/>
        <w:u w:val="none"/>
      </w:rPr>
      <w:fldChar w:fldCharType="end"/>
    </w:r>
    <w:r>
      <w:rPr>
        <w:rFonts w:ascii="Arial" w:eastAsia="Arial" w:hAnsi="Arial" w:cs="Arial"/>
        <w:sz w:val="18"/>
        <w:u w:val="none"/>
      </w:rPr>
      <w:t xml:space="preserve"> (z celkem stran 5)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C84A8F">
    <w:pPr>
      <w:spacing w:after="0" w:line="259" w:lineRule="auto"/>
      <w:ind w:left="0" w:right="29" w:firstLine="0"/>
      <w:jc w:val="center"/>
    </w:pPr>
    <w:r>
      <w:rPr>
        <w:rFonts w:ascii="Arial" w:eastAsia="Arial" w:hAnsi="Arial" w:cs="Arial"/>
        <w:sz w:val="18"/>
        <w:u w:val="none"/>
      </w:rPr>
      <w:t xml:space="preserve">Strana </w:t>
    </w:r>
    <w:r>
      <w:rPr>
        <w:rFonts w:ascii="Arial" w:eastAsia="Arial" w:hAnsi="Arial" w:cs="Arial"/>
        <w:sz w:val="18"/>
        <w:u w:val="none"/>
      </w:rPr>
      <w:fldChar w:fldCharType="begin"/>
    </w:r>
    <w:r>
      <w:rPr>
        <w:rFonts w:ascii="Arial" w:eastAsia="Arial" w:hAnsi="Arial" w:cs="Arial"/>
        <w:sz w:val="18"/>
        <w:u w:val="none"/>
      </w:rPr>
      <w:instrText xml:space="preserve"> PAGE   \* MERGEFORMAT </w:instrText>
    </w:r>
    <w:r>
      <w:rPr>
        <w:rFonts w:ascii="Arial" w:eastAsia="Arial" w:hAnsi="Arial" w:cs="Arial"/>
        <w:sz w:val="18"/>
        <w:u w:val="none"/>
      </w:rPr>
      <w:fldChar w:fldCharType="separate"/>
    </w:r>
    <w:r w:rsidR="00E5355A">
      <w:rPr>
        <w:rFonts w:ascii="Arial" w:eastAsia="Arial" w:hAnsi="Arial" w:cs="Arial"/>
        <w:noProof/>
        <w:sz w:val="18"/>
        <w:u w:val="none"/>
      </w:rPr>
      <w:t>6</w:t>
    </w:r>
    <w:r>
      <w:rPr>
        <w:rFonts w:ascii="Arial" w:eastAsia="Arial" w:hAnsi="Arial" w:cs="Arial"/>
        <w:sz w:val="18"/>
        <w:u w:val="none"/>
      </w:rPr>
      <w:fldChar w:fldCharType="end"/>
    </w:r>
    <w:r>
      <w:rPr>
        <w:rFonts w:ascii="Arial" w:eastAsia="Arial" w:hAnsi="Arial" w:cs="Arial"/>
        <w:sz w:val="18"/>
        <w:u w:val="none"/>
      </w:rPr>
      <w:t xml:space="preserve"> (z celkem stran 5)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8F" w:rsidRDefault="00C84A8F">
      <w:pPr>
        <w:spacing w:after="0" w:line="240" w:lineRule="auto"/>
      </w:pPr>
      <w:r>
        <w:separator/>
      </w:r>
    </w:p>
  </w:footnote>
  <w:footnote w:type="continuationSeparator" w:id="0">
    <w:p w:rsidR="00C84A8F" w:rsidRDefault="00C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C84A8F">
    <w:pPr>
      <w:spacing w:after="0" w:line="259" w:lineRule="auto"/>
      <w:ind w:left="0" w:firstLine="0"/>
    </w:pPr>
    <w:r>
      <w:rPr>
        <w:rFonts w:ascii="Arial" w:eastAsia="Arial" w:hAnsi="Arial" w:cs="Arial"/>
        <w:sz w:val="18"/>
        <w:u w:val="none"/>
      </w:rPr>
      <w:t xml:space="preserve">Číslo pojistné smlouvy: 8078985310 dodatek 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C84A8F">
    <w:pPr>
      <w:spacing w:after="0" w:line="259" w:lineRule="auto"/>
      <w:ind w:left="0" w:firstLine="0"/>
    </w:pPr>
    <w:r>
      <w:rPr>
        <w:rFonts w:ascii="Arial" w:eastAsia="Arial" w:hAnsi="Arial" w:cs="Arial"/>
        <w:sz w:val="18"/>
        <w:u w:val="none"/>
      </w:rPr>
      <w:t xml:space="preserve">Číslo pojistné smlouvy: 8078985310 dodatek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C7" w:rsidRDefault="00D474C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5CAD"/>
    <w:multiLevelType w:val="multilevel"/>
    <w:tmpl w:val="5A84DDDC"/>
    <w:lvl w:ilvl="0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C7"/>
    <w:rsid w:val="00487E60"/>
    <w:rsid w:val="00C84A8F"/>
    <w:rsid w:val="00D474C7"/>
    <w:rsid w:val="00E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E8082-4D0E-438B-82D0-EB48CB9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8" w:line="252" w:lineRule="auto"/>
      <w:ind w:left="82" w:hanging="1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8"/>
      <w:ind w:left="2390"/>
      <w:jc w:val="right"/>
      <w:outlineLvl w:val="0"/>
    </w:pPr>
    <w:rPr>
      <w:rFonts w:ascii="Arial" w:eastAsia="Arial" w:hAnsi="Arial" w:cs="Arial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38" w:line="250" w:lineRule="auto"/>
      <w:ind w:left="28" w:hanging="10"/>
      <w:jc w:val="center"/>
      <w:outlineLvl w:val="2"/>
    </w:pPr>
    <w:rPr>
      <w:rFonts w:ascii="Arial" w:eastAsia="Arial" w:hAnsi="Arial" w:cs="Arial"/>
      <w:b/>
      <w:i/>
      <w:color w:val="000000"/>
      <w:sz w:val="2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i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obpoj.cz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sobpoj.cz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3899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cp:lastModifiedBy>Zuzana Součková</cp:lastModifiedBy>
  <cp:revision>3</cp:revision>
  <dcterms:created xsi:type="dcterms:W3CDTF">2023-12-05T12:06:00Z</dcterms:created>
  <dcterms:modified xsi:type="dcterms:W3CDTF">2023-12-05T12:13:00Z</dcterms:modified>
</cp:coreProperties>
</file>