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13" w:rsidRDefault="00567713" w:rsidP="0056771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567713" w:rsidRDefault="00567713" w:rsidP="0056771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982507-0447/2016</w:t>
      </w:r>
    </w:p>
    <w:p w:rsidR="00567713" w:rsidRDefault="00567713" w:rsidP="0056771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Olga Skalská, obchodní ředitel regionu, Obchod VČ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67713" w:rsidRDefault="00567713" w:rsidP="0056771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67713" w:rsidRDefault="000010CB" w:rsidP="0056771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010CB">
        <w:t>XXX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567713" w:rsidRDefault="00567713" w:rsidP="00567713">
      <w:pPr>
        <w:numPr>
          <w:ilvl w:val="0"/>
          <w:numId w:val="0"/>
        </w:numPr>
        <w:spacing w:before="50" w:after="70" w:line="240" w:lineRule="auto"/>
        <w:ind w:left="142"/>
      </w:pPr>
    </w:p>
    <w:p w:rsidR="00567713" w:rsidRDefault="00567713" w:rsidP="0056771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567713" w:rsidRDefault="0056771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67713" w:rsidRPr="00567713" w:rsidRDefault="00567713" w:rsidP="005677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567713" w:rsidRPr="00567713" w:rsidRDefault="00567713" w:rsidP="005677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567713" w:rsidRPr="00567713" w:rsidRDefault="00567713" w:rsidP="005677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místo: </w:t>
      </w:r>
      <w:r w:rsidR="000010CB">
        <w:t>XXX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r w:rsidR="000010CB">
        <w:t>XXX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0010CB">
        <w:t>XXX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následující</w:t>
      </w:r>
      <w:r w:rsidR="00C864BA">
        <w:t>m</w:t>
      </w:r>
      <w:r>
        <w:t xml:space="preserve"> způsob</w:t>
      </w:r>
      <w:r w:rsidR="00C864BA">
        <w:t>em</w:t>
      </w:r>
      <w:r>
        <w:t>:</w:t>
      </w:r>
    </w:p>
    <w:p w:rsidR="00567713" w:rsidRPr="00567713" w:rsidRDefault="00567713" w:rsidP="00567713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Potištěné podací nálepky s čárovým kódem ČP objednává Objednatel v předstihu 20 pracovních dní na e-mailu: nalepky.podavatel.vc@cpost.cz prostřednictvím objednávkového formuláře, kde je zvolen způsob jejich převzetí.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567713" w:rsidRPr="00567713" w:rsidRDefault="00567713" w:rsidP="005677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ČP sezavazuje dodržet termíny zahájení a ukončení RIPM uváděné v jednotlivých potvrzených Zakázkových listech.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567713" w:rsidRPr="00567713" w:rsidRDefault="00567713" w:rsidP="00567713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567713" w:rsidRPr="00567713" w:rsidRDefault="00567713" w:rsidP="00567713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567713" w:rsidRPr="00567713" w:rsidRDefault="00567713" w:rsidP="005677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Cena služby RIPM bude pro konkrétní zakázku vycházet z Ceníku platného v den převzetí informačních/propagačních materiálů.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567713" w:rsidRPr="00567713" w:rsidRDefault="00567713" w:rsidP="00567713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567713" w:rsidRPr="00567713" w:rsidRDefault="00567713" w:rsidP="00567713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měsíčně s lhůtou splatnosti </w:t>
      </w:r>
      <w:r w:rsidR="000010CB">
        <w:t>X</w:t>
      </w:r>
      <w:r>
        <w:t xml:space="preserve"> dní ode dne jejich vystavení. 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</w:t>
      </w:r>
      <w:r w:rsidR="000010CB">
        <w:t>XXX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0010CB">
        <w:t>XXX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567713" w:rsidRPr="00567713" w:rsidRDefault="00567713" w:rsidP="005677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567713" w:rsidRPr="00567713" w:rsidRDefault="000010CB" w:rsidP="00567713">
      <w:pPr>
        <w:numPr>
          <w:ilvl w:val="5"/>
          <w:numId w:val="50"/>
        </w:numPr>
        <w:spacing w:after="120"/>
        <w:jc w:val="both"/>
      </w:pPr>
      <w:r>
        <w:t>XXX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C864BA" w:rsidRPr="00567713" w:rsidRDefault="000010CB" w:rsidP="00567713">
      <w:pPr>
        <w:numPr>
          <w:ilvl w:val="2"/>
          <w:numId w:val="50"/>
        </w:numPr>
        <w:spacing w:after="120"/>
        <w:ind w:left="1077" w:hanging="510"/>
        <w:jc w:val="both"/>
      </w:pPr>
      <w:r>
        <w:t>XXX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567713" w:rsidRPr="00567713" w:rsidRDefault="00567713" w:rsidP="005677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>
        <w:t>31.12.2018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567713" w:rsidRPr="00567713" w:rsidRDefault="00567713" w:rsidP="0056771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Tato Smlouva je vyhotovena ve 2 (slovy: dvou) stejnopisech s platností originálu, z nichž každá Smluvní strana obdrží po jednom.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567713" w:rsidRP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567713" w:rsidRDefault="00567713" w:rsidP="0056771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864BA" w:rsidRDefault="00C864BA" w:rsidP="00C864BA">
      <w:pPr>
        <w:numPr>
          <w:ilvl w:val="0"/>
          <w:numId w:val="0"/>
        </w:numPr>
        <w:ind w:left="983" w:hanging="303"/>
      </w:pPr>
    </w:p>
    <w:p w:rsidR="00C864BA" w:rsidRDefault="00C864BA" w:rsidP="00C864BA">
      <w:pPr>
        <w:numPr>
          <w:ilvl w:val="0"/>
          <w:numId w:val="0"/>
        </w:numPr>
        <w:ind w:left="983" w:hanging="303"/>
      </w:pPr>
    </w:p>
    <w:p w:rsidR="00C864BA" w:rsidRPr="00567713" w:rsidRDefault="00C864BA" w:rsidP="00C864BA">
      <w:pPr>
        <w:numPr>
          <w:ilvl w:val="0"/>
          <w:numId w:val="0"/>
        </w:numPr>
        <w:ind w:left="983" w:hanging="303"/>
      </w:pPr>
    </w:p>
    <w:p w:rsidR="00567713" w:rsidRDefault="00567713" w:rsidP="0056771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567713" w:rsidRDefault="00567713" w:rsidP="00567713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567713" w:rsidRDefault="00567713" w:rsidP="00567713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567713" w:rsidRDefault="00567713" w:rsidP="00567713">
      <w:pPr>
        <w:numPr>
          <w:ilvl w:val="0"/>
          <w:numId w:val="0"/>
        </w:numPr>
        <w:spacing w:before="120" w:after="120"/>
        <w:jc w:val="both"/>
      </w:pPr>
    </w:p>
    <w:p w:rsidR="00567713" w:rsidRDefault="00567713" w:rsidP="00567713">
      <w:pPr>
        <w:numPr>
          <w:ilvl w:val="0"/>
          <w:numId w:val="0"/>
        </w:numPr>
        <w:spacing w:before="120" w:after="120"/>
        <w:jc w:val="both"/>
      </w:pPr>
    </w:p>
    <w:p w:rsidR="00567713" w:rsidRDefault="00567713" w:rsidP="00567713">
      <w:pPr>
        <w:numPr>
          <w:ilvl w:val="0"/>
          <w:numId w:val="0"/>
        </w:numPr>
        <w:spacing w:after="120"/>
        <w:jc w:val="both"/>
        <w:sectPr w:rsidR="0056771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67713" w:rsidRDefault="00567713" w:rsidP="0056771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864BA">
        <w:t>Pardubicích</w:t>
      </w:r>
      <w:r>
        <w:t xml:space="preserve"> dne </w:t>
      </w:r>
      <w:proofErr w:type="gramStart"/>
      <w:r>
        <w:t>21.3.2016</w:t>
      </w:r>
      <w:proofErr w:type="gramEnd"/>
    </w:p>
    <w:p w:rsidR="00567713" w:rsidRDefault="00567713" w:rsidP="00567713">
      <w:pPr>
        <w:numPr>
          <w:ilvl w:val="0"/>
          <w:numId w:val="0"/>
        </w:numPr>
        <w:spacing w:after="120"/>
        <w:jc w:val="both"/>
      </w:pPr>
    </w:p>
    <w:p w:rsidR="00567713" w:rsidRDefault="00567713" w:rsidP="00567713">
      <w:pPr>
        <w:numPr>
          <w:ilvl w:val="0"/>
          <w:numId w:val="0"/>
        </w:numPr>
        <w:spacing w:after="120"/>
        <w:jc w:val="both"/>
      </w:pPr>
      <w:r>
        <w:t>Za ČP:</w:t>
      </w:r>
    </w:p>
    <w:p w:rsidR="00567713" w:rsidRDefault="00567713" w:rsidP="00567713">
      <w:pPr>
        <w:numPr>
          <w:ilvl w:val="0"/>
          <w:numId w:val="0"/>
        </w:numPr>
        <w:spacing w:after="120"/>
        <w:jc w:val="both"/>
      </w:pPr>
    </w:p>
    <w:p w:rsidR="00567713" w:rsidRDefault="00567713" w:rsidP="0056771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67713" w:rsidRDefault="00567713" w:rsidP="00567713">
      <w:pPr>
        <w:numPr>
          <w:ilvl w:val="0"/>
          <w:numId w:val="0"/>
        </w:numPr>
        <w:spacing w:after="120"/>
        <w:jc w:val="center"/>
      </w:pPr>
    </w:p>
    <w:p w:rsidR="00567713" w:rsidRDefault="00567713" w:rsidP="00567713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567713" w:rsidRDefault="00567713" w:rsidP="00567713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567713" w:rsidRDefault="00567713" w:rsidP="0056771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567713" w:rsidRDefault="00567713" w:rsidP="00567713">
      <w:pPr>
        <w:numPr>
          <w:ilvl w:val="0"/>
          <w:numId w:val="0"/>
        </w:numPr>
        <w:spacing w:after="120"/>
      </w:pPr>
    </w:p>
    <w:p w:rsidR="00567713" w:rsidRDefault="00567713" w:rsidP="00567713">
      <w:pPr>
        <w:numPr>
          <w:ilvl w:val="0"/>
          <w:numId w:val="0"/>
        </w:numPr>
        <w:spacing w:after="120"/>
      </w:pPr>
      <w:r>
        <w:t>Za Objednatele:</w:t>
      </w:r>
    </w:p>
    <w:p w:rsidR="00567713" w:rsidRDefault="00567713" w:rsidP="00567713">
      <w:pPr>
        <w:numPr>
          <w:ilvl w:val="0"/>
          <w:numId w:val="0"/>
        </w:numPr>
        <w:spacing w:after="120"/>
      </w:pPr>
    </w:p>
    <w:p w:rsidR="00567713" w:rsidRDefault="00567713" w:rsidP="0056771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4A4D" w:rsidRPr="00567713" w:rsidRDefault="000010CB" w:rsidP="00567713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567713" w:rsidSect="0056771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35" w:rsidRDefault="00DB7935">
      <w:r>
        <w:separator/>
      </w:r>
    </w:p>
  </w:endnote>
  <w:endnote w:type="continuationSeparator" w:id="0">
    <w:p w:rsidR="00DB7935" w:rsidRDefault="00DB7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226E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226E2" w:rsidRPr="00160A6D">
      <w:rPr>
        <w:sz w:val="18"/>
        <w:szCs w:val="18"/>
      </w:rPr>
      <w:fldChar w:fldCharType="separate"/>
    </w:r>
    <w:r w:rsidR="000010CB">
      <w:rPr>
        <w:noProof/>
        <w:sz w:val="18"/>
        <w:szCs w:val="18"/>
      </w:rPr>
      <w:t>6</w:t>
    </w:r>
    <w:r w:rsidR="00A226E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226E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226E2" w:rsidRPr="00160A6D">
      <w:rPr>
        <w:sz w:val="18"/>
        <w:szCs w:val="18"/>
      </w:rPr>
      <w:fldChar w:fldCharType="separate"/>
    </w:r>
    <w:r w:rsidR="000010CB">
      <w:rPr>
        <w:noProof/>
        <w:sz w:val="18"/>
        <w:szCs w:val="18"/>
      </w:rPr>
      <w:t>6</w:t>
    </w:r>
    <w:r w:rsidR="00A226E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35" w:rsidRDefault="00DB7935">
      <w:r>
        <w:separator/>
      </w:r>
    </w:p>
  </w:footnote>
  <w:footnote w:type="continuationSeparator" w:id="0">
    <w:p w:rsidR="00DB7935" w:rsidRDefault="00DB7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A226E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A226E2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56771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6771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982507-0447/2016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1B32D82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010CB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60D2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7713"/>
    <w:rsid w:val="0057375C"/>
    <w:rsid w:val="00575A3B"/>
    <w:rsid w:val="0058776B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1372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780F"/>
    <w:rsid w:val="008F0B29"/>
    <w:rsid w:val="008F2BFB"/>
    <w:rsid w:val="00907F89"/>
    <w:rsid w:val="009161FD"/>
    <w:rsid w:val="00935594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26E2"/>
    <w:rsid w:val="00A26346"/>
    <w:rsid w:val="00A3168F"/>
    <w:rsid w:val="00A512D5"/>
    <w:rsid w:val="00A65A84"/>
    <w:rsid w:val="00A704F0"/>
    <w:rsid w:val="00A71A5C"/>
    <w:rsid w:val="00A84025"/>
    <w:rsid w:val="00A91E2D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864B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B7935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568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49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5663-5FD0-477C-884E-75F01388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6</Pages>
  <Words>1919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2</cp:revision>
  <cp:lastPrinted>2016-03-21T08:01:00Z</cp:lastPrinted>
  <dcterms:created xsi:type="dcterms:W3CDTF">2017-06-21T11:41:00Z</dcterms:created>
  <dcterms:modified xsi:type="dcterms:W3CDTF">2017-06-21T11:41:00Z</dcterms:modified>
</cp:coreProperties>
</file>