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BFE" w14:textId="0183B675" w:rsidR="003061CE" w:rsidRDefault="00FD6CF6" w:rsidP="00C00E3A">
      <w:pPr>
        <w:pStyle w:val="Nzev"/>
        <w:jc w:val="both"/>
      </w:pPr>
      <w:r w:rsidRPr="00FD6CF6">
        <w:t>Posouzení návrhů městských čtvrtí z hlediska udržitelnosti</w:t>
      </w:r>
    </w:p>
    <w:p w14:paraId="1754C9BC" w14:textId="438AABA3" w:rsidR="00EC7135" w:rsidRDefault="0098752D" w:rsidP="00C00E3A">
      <w:pPr>
        <w:pStyle w:val="Podnadpis"/>
        <w:jc w:val="both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Příloha č. </w:t>
      </w:r>
      <w:r w:rsidR="00C00E3A">
        <w:rPr>
          <w:rFonts w:cstheme="minorHAnsi"/>
          <w:b/>
          <w:sz w:val="36"/>
        </w:rPr>
        <w:t>1 Výzvy</w:t>
      </w:r>
      <w:r>
        <w:rPr>
          <w:rFonts w:cstheme="minorHAnsi"/>
          <w:b/>
          <w:sz w:val="36"/>
        </w:rPr>
        <w:t xml:space="preserve"> </w:t>
      </w:r>
      <w:r w:rsidR="00FD61B3">
        <w:rPr>
          <w:rFonts w:cstheme="minorHAnsi"/>
          <w:b/>
          <w:sz w:val="36"/>
        </w:rPr>
        <w:t xml:space="preserve">a Smlouvy </w:t>
      </w:r>
      <w:r w:rsidR="00304C02">
        <w:rPr>
          <w:rFonts w:cstheme="minorHAnsi"/>
          <w:b/>
          <w:sz w:val="36"/>
        </w:rPr>
        <w:t>–</w:t>
      </w:r>
      <w:r>
        <w:rPr>
          <w:rFonts w:cstheme="minorHAnsi"/>
          <w:b/>
          <w:sz w:val="36"/>
        </w:rPr>
        <w:t xml:space="preserve"> </w:t>
      </w:r>
      <w:r w:rsidR="002772AF" w:rsidRPr="002772AF">
        <w:rPr>
          <w:rFonts w:cstheme="minorHAnsi"/>
          <w:b/>
          <w:sz w:val="36"/>
        </w:rPr>
        <w:t>Bližší specifikace</w:t>
      </w:r>
    </w:p>
    <w:p w14:paraId="2258FC25" w14:textId="477B889D" w:rsidR="000D7FD6" w:rsidRDefault="00EC7135" w:rsidP="00AA63A5">
      <w:pPr>
        <w:pStyle w:val="Nadpis1"/>
        <w:rPr>
          <w:color w:val="auto"/>
        </w:rPr>
      </w:pPr>
      <w:r w:rsidRPr="003B3EC1">
        <w:rPr>
          <w:color w:val="auto"/>
        </w:rPr>
        <w:t>Úvod</w:t>
      </w:r>
      <w:r w:rsidR="00715862">
        <w:rPr>
          <w:color w:val="auto"/>
        </w:rPr>
        <w:t xml:space="preserve"> a účel </w:t>
      </w:r>
      <w:r w:rsidR="00FD6CF6">
        <w:rPr>
          <w:color w:val="auto"/>
        </w:rPr>
        <w:t>posouzení</w:t>
      </w:r>
      <w:bookmarkStart w:id="0" w:name="_Hlk112077317"/>
      <w:bookmarkStart w:id="1" w:name="_Hlk112071073"/>
    </w:p>
    <w:p w14:paraId="5F52B703" w14:textId="704DB903" w:rsidR="00FD6AB7" w:rsidRDefault="00FD6AB7" w:rsidP="00D44A76">
      <w:pPr>
        <w:jc w:val="both"/>
        <w:rPr>
          <w:lang w:eastAsia="cs-CZ"/>
        </w:rPr>
      </w:pPr>
      <w:r>
        <w:rPr>
          <w:lang w:eastAsia="cs-CZ"/>
        </w:rPr>
        <w:t>Hlavním cílem zakázky je vyzkoušet v</w:t>
      </w:r>
      <w:r w:rsidR="00123B64">
        <w:rPr>
          <w:lang w:eastAsia="cs-CZ"/>
        </w:rPr>
        <w:t> pražském kontextu</w:t>
      </w:r>
      <w:r>
        <w:rPr>
          <w:lang w:eastAsia="cs-CZ"/>
        </w:rPr>
        <w:t xml:space="preserve"> nástroje (certifikační systémy) pro komplexní zhodnocení udržitelnosti plánovaných městských čtvrtí. Jejím výstupem bude modelové hodnocení návrhu vybrané územní studie, a to za pomoci dvou odlišných nástrojů, z nichž jeden bude certifikační systém DGNB for Urban Development/Districts a druhý bude jeden z následujících nástrojů, dle odůvodněného výběru zpracovatele: LEED-ND, BREEAM Communities, One Planet Communities, HQE2R, ECOCITY, SNTool. </w:t>
      </w:r>
    </w:p>
    <w:p w14:paraId="264C38D5" w14:textId="0343DC04" w:rsidR="00FD6AB7" w:rsidRDefault="00FD6AB7" w:rsidP="00D44A76">
      <w:pPr>
        <w:jc w:val="both"/>
        <w:rPr>
          <w:lang w:eastAsia="cs-CZ"/>
        </w:rPr>
      </w:pPr>
      <w:r>
        <w:rPr>
          <w:lang w:eastAsia="cs-CZ"/>
        </w:rPr>
        <w:t>Pro ostatní z těchto nástrojů bude pro přehled uvedena jejich stručná charakteristika obsahující zejména tyto informace: sledované oblasti/kritéria, relevanci nástroje pro české prostředí (klimatické podmínky, legislativa, územně plánovací procesy apod.), subjekt zaštiťující certifikační nástroj, země, kde se nástroj zejména používá, přibližný počet čtvrtí certifikovaných pomocí daného nástroje, subjekty v ČR zajišťující certifikaci daným nástrojem, požadavky na data, která jsou pro hodnocení a návaznosti nástroje na finanční zdroje.</w:t>
      </w:r>
    </w:p>
    <w:p w14:paraId="6934C008" w14:textId="6F14C27D" w:rsidR="00AA63A5" w:rsidRPr="00AA63A5" w:rsidRDefault="008923B8" w:rsidP="00D44A76">
      <w:pPr>
        <w:jc w:val="both"/>
        <w:rPr>
          <w:lang w:eastAsia="cs-CZ"/>
        </w:rPr>
      </w:pPr>
      <w:r>
        <w:rPr>
          <w:lang w:eastAsia="cs-CZ"/>
        </w:rPr>
        <w:t>Udržitelnost/udržitelná výstavba a rozvoj je cíl, který si Praha vytyčila v řadě svých strategických a koncepčních dokumentů. Tématu se kromě Strategického plánu hl. m. Prahy intenzivně věnuje především Strategie adaptace hl. m. Prahy na změnu klimatu či Klimatický plán. Primárním zaměřením navrhovaných opatření v těchto dokumentech jsou témata udržitelné mobility, udržitelné výstavby budov, energetiky či cirkulární ekonomiky. Vzhledem k plánu hlavního města na rozvoj celé řady nových čtvrtí však v Praze dosud postrádáme</w:t>
      </w:r>
      <w:r w:rsidR="00FD6AB7">
        <w:rPr>
          <w:lang w:eastAsia="cs-CZ"/>
        </w:rPr>
        <w:t xml:space="preserve"> užívání</w:t>
      </w:r>
      <w:r>
        <w:rPr>
          <w:lang w:eastAsia="cs-CZ"/>
        </w:rPr>
        <w:t xml:space="preserve"> metodik</w:t>
      </w:r>
      <w:r w:rsidR="00FD6AB7">
        <w:rPr>
          <w:lang w:eastAsia="cs-CZ"/>
        </w:rPr>
        <w:t>y</w:t>
      </w:r>
      <w:r>
        <w:rPr>
          <w:lang w:eastAsia="cs-CZ"/>
        </w:rPr>
        <w:t xml:space="preserve">, která by hodnotila udržitelnost návrhů čtvrtí ve všech klíčových oblastech jako celek. Komplexní certifikační systém DGNB </w:t>
      </w:r>
      <w:r w:rsidRPr="00AC32D3">
        <w:rPr>
          <w:lang w:eastAsia="cs-CZ"/>
        </w:rPr>
        <w:t xml:space="preserve">(Deutsche Gesselshaft für Nachhaltiges Bauen </w:t>
      </w:r>
      <w:r>
        <w:rPr>
          <w:lang w:eastAsia="cs-CZ"/>
        </w:rPr>
        <w:t>—</w:t>
      </w:r>
      <w:r w:rsidRPr="00AC32D3">
        <w:rPr>
          <w:lang w:eastAsia="cs-CZ"/>
        </w:rPr>
        <w:t xml:space="preserve"> Německá rada pro šetrnou výstavbu)</w:t>
      </w:r>
      <w:r>
        <w:rPr>
          <w:lang w:eastAsia="cs-CZ"/>
        </w:rPr>
        <w:t xml:space="preserve"> používaný v Německu a DGNB International používaný v Rakousku, Dánsku a Švýcarsku takové hodnocení nabízí. </w:t>
      </w:r>
      <w:r w:rsidRPr="00BE435B">
        <w:rPr>
          <w:lang w:eastAsia="cs-CZ"/>
        </w:rPr>
        <w:t>Aplikac</w:t>
      </w:r>
      <w:r>
        <w:rPr>
          <w:lang w:eastAsia="cs-CZ"/>
        </w:rPr>
        <w:t>i tohoto a jednoho dalšího</w:t>
      </w:r>
      <w:r w:rsidRPr="00BE435B">
        <w:rPr>
          <w:lang w:eastAsia="cs-CZ"/>
        </w:rPr>
        <w:t xml:space="preserve"> </w:t>
      </w:r>
      <w:r>
        <w:rPr>
          <w:lang w:eastAsia="cs-CZ"/>
        </w:rPr>
        <w:t xml:space="preserve">obdobného </w:t>
      </w:r>
      <w:r w:rsidRPr="00BE435B">
        <w:rPr>
          <w:lang w:eastAsia="cs-CZ"/>
        </w:rPr>
        <w:t>nástroj</w:t>
      </w:r>
      <w:r>
        <w:rPr>
          <w:lang w:eastAsia="cs-CZ"/>
        </w:rPr>
        <w:t>e (z důvodu možného porovnání)</w:t>
      </w:r>
      <w:r w:rsidRPr="00BE435B">
        <w:rPr>
          <w:lang w:eastAsia="cs-CZ"/>
        </w:rPr>
        <w:t xml:space="preserve"> bychom rádi prověřili na návrhu územní studie Velkého rozvojového území Letňany – Kbely</w:t>
      </w:r>
      <w:r>
        <w:rPr>
          <w:lang w:eastAsia="cs-CZ"/>
        </w:rPr>
        <w:t xml:space="preserve">. Tato hodnocení by Institutu plánování a rozvoje hl. m. Prahy poskytla cenné vstupy při finalizaci návrhu této územní studie (IPR Praha je zpracovatelem dané studie na základě usnesení RHMP č. 1605 z 20. 6. 2022). Současně bude na základě výstupů těchto hodnocení a přehledu existujících nástrojů možné </w:t>
      </w:r>
      <w:r w:rsidRPr="00BE435B">
        <w:rPr>
          <w:lang w:eastAsia="cs-CZ"/>
        </w:rPr>
        <w:t>posoudit možnosti</w:t>
      </w:r>
      <w:r>
        <w:rPr>
          <w:lang w:eastAsia="cs-CZ"/>
        </w:rPr>
        <w:t xml:space="preserve"> a limity</w:t>
      </w:r>
      <w:r w:rsidRPr="00BE435B">
        <w:rPr>
          <w:lang w:eastAsia="cs-CZ"/>
        </w:rPr>
        <w:t xml:space="preserve"> aplikace těchto</w:t>
      </w:r>
      <w:r>
        <w:rPr>
          <w:lang w:eastAsia="cs-CZ"/>
        </w:rPr>
        <w:t xml:space="preserve"> certifikačních</w:t>
      </w:r>
      <w:r w:rsidRPr="00BE435B">
        <w:rPr>
          <w:lang w:eastAsia="cs-CZ"/>
        </w:rPr>
        <w:t xml:space="preserve"> systém</w:t>
      </w:r>
      <w:r>
        <w:rPr>
          <w:lang w:eastAsia="cs-CZ"/>
        </w:rPr>
        <w:t>ů</w:t>
      </w:r>
      <w:r w:rsidRPr="00BE435B">
        <w:rPr>
          <w:lang w:eastAsia="cs-CZ"/>
        </w:rPr>
        <w:t xml:space="preserve"> v pražských podmínkách</w:t>
      </w:r>
      <w:r>
        <w:rPr>
          <w:lang w:eastAsia="cs-CZ"/>
        </w:rPr>
        <w:t>.</w:t>
      </w:r>
    </w:p>
    <w:p w14:paraId="7EBEAC3E" w14:textId="0FCC0E9B" w:rsidR="00E5750E" w:rsidRDefault="00E5750E" w:rsidP="00C00E3A">
      <w:pPr>
        <w:jc w:val="both"/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</w:pPr>
      <w:r w:rsidRPr="00744E74"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>Obsah studie</w:t>
      </w:r>
    </w:p>
    <w:p w14:paraId="39F2E45B" w14:textId="159E8EE7" w:rsidR="00B54146" w:rsidRDefault="00AA63A5" w:rsidP="00AA63A5">
      <w:pPr>
        <w:rPr>
          <w:lang w:eastAsia="cs-CZ"/>
        </w:rPr>
      </w:pPr>
      <w:r>
        <w:rPr>
          <w:lang w:eastAsia="cs-CZ"/>
        </w:rPr>
        <w:t xml:space="preserve">Studie </w:t>
      </w:r>
      <w:r w:rsidR="00BC344A">
        <w:rPr>
          <w:lang w:eastAsia="cs-CZ"/>
        </w:rPr>
        <w:t xml:space="preserve">obsahuje pracovní podobu návrhu budoucí podoby velkého rozvojového území Letňany—Kbely.  (Aktuální podoba studie je </w:t>
      </w:r>
      <w:r w:rsidR="00BC344A" w:rsidRPr="00DB4404">
        <w:rPr>
          <w:lang w:eastAsia="cs-CZ"/>
        </w:rPr>
        <w:t xml:space="preserve">přílohou č. </w:t>
      </w:r>
      <w:r w:rsidR="00D44A76" w:rsidRPr="00DB4404">
        <w:rPr>
          <w:lang w:eastAsia="cs-CZ"/>
        </w:rPr>
        <w:t>2</w:t>
      </w:r>
      <w:r w:rsidR="00BC344A" w:rsidRPr="00DB4404">
        <w:rPr>
          <w:lang w:eastAsia="cs-CZ"/>
        </w:rPr>
        <w:t xml:space="preserve"> </w:t>
      </w:r>
      <w:r w:rsidR="00DB4404" w:rsidRPr="00DB4404">
        <w:rPr>
          <w:lang w:eastAsia="cs-CZ"/>
        </w:rPr>
        <w:t>V</w:t>
      </w:r>
      <w:r w:rsidR="00BC344A" w:rsidRPr="00DB4404">
        <w:rPr>
          <w:lang w:eastAsia="cs-CZ"/>
        </w:rPr>
        <w:t>ýzvy</w:t>
      </w:r>
      <w:r w:rsidR="00BC344A">
        <w:rPr>
          <w:lang w:eastAsia="cs-CZ"/>
        </w:rPr>
        <w:t>)</w:t>
      </w:r>
    </w:p>
    <w:p w14:paraId="53C9B4C0" w14:textId="6113A2F6" w:rsidR="00B54146" w:rsidRDefault="00B54146" w:rsidP="00C00E3A">
      <w:pPr>
        <w:jc w:val="both"/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</w:pPr>
      <w:r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>Řešené území</w:t>
      </w:r>
    </w:p>
    <w:p w14:paraId="17903A37" w14:textId="74685F2F" w:rsidR="00AA63A5" w:rsidRPr="00AA63A5" w:rsidRDefault="00AA63A5" w:rsidP="00C00E3A">
      <w:pPr>
        <w:jc w:val="both"/>
        <w:rPr>
          <w:lang w:eastAsia="cs-CZ"/>
        </w:rPr>
      </w:pPr>
      <w:r>
        <w:rPr>
          <w:lang w:eastAsia="cs-CZ"/>
        </w:rPr>
        <w:t xml:space="preserve">Řešené území je definované jako řešené území posuzované územní studie (viz </w:t>
      </w:r>
      <w:r w:rsidRPr="00DB4404">
        <w:rPr>
          <w:lang w:eastAsia="cs-CZ"/>
        </w:rPr>
        <w:t xml:space="preserve">příloha č. </w:t>
      </w:r>
      <w:r w:rsidR="00D44A76" w:rsidRPr="00DB4404">
        <w:rPr>
          <w:lang w:eastAsia="cs-CZ"/>
        </w:rPr>
        <w:t>2</w:t>
      </w:r>
      <w:r w:rsidRPr="00DB4404">
        <w:rPr>
          <w:lang w:eastAsia="cs-CZ"/>
        </w:rPr>
        <w:t xml:space="preserve"> </w:t>
      </w:r>
      <w:r w:rsidR="00DB4404">
        <w:rPr>
          <w:lang w:eastAsia="cs-CZ"/>
        </w:rPr>
        <w:t>V</w:t>
      </w:r>
      <w:r w:rsidRPr="00DB4404">
        <w:rPr>
          <w:lang w:eastAsia="cs-CZ"/>
        </w:rPr>
        <w:t>ýzvy</w:t>
      </w:r>
      <w:r>
        <w:rPr>
          <w:lang w:eastAsia="cs-CZ"/>
        </w:rPr>
        <w:t>). Rozloha řešeného území je cca 123 ha.</w:t>
      </w:r>
    </w:p>
    <w:p w14:paraId="0C0D0532" w14:textId="2772895F" w:rsidR="00E5750E" w:rsidRDefault="00E5750E" w:rsidP="00C00E3A">
      <w:pPr>
        <w:jc w:val="both"/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</w:pPr>
      <w:r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 xml:space="preserve">Požadavky na </w:t>
      </w:r>
      <w:r w:rsidR="00A30FF1"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>konzultace</w:t>
      </w:r>
    </w:p>
    <w:bookmarkEnd w:id="0"/>
    <w:bookmarkEnd w:id="1"/>
    <w:p w14:paraId="111BEDDA" w14:textId="77C87632" w:rsidR="000D35F3" w:rsidRPr="000D35F3" w:rsidRDefault="00AA63A5" w:rsidP="00C00E3A">
      <w:pPr>
        <w:jc w:val="both"/>
        <w:rPr>
          <w:lang w:eastAsia="cs-CZ"/>
        </w:rPr>
      </w:pPr>
      <w:r>
        <w:rPr>
          <w:lang w:eastAsia="cs-CZ"/>
        </w:rPr>
        <w:t>Očekáváme 2-3 konzultace se zpracovatelským týmem územní studie</w:t>
      </w:r>
      <w:r w:rsidR="00A30FF1">
        <w:rPr>
          <w:lang w:eastAsia="cs-CZ"/>
        </w:rPr>
        <w:t xml:space="preserve"> v průběhu hodnocení návrhu</w:t>
      </w:r>
      <w:r>
        <w:rPr>
          <w:lang w:eastAsia="cs-CZ"/>
        </w:rPr>
        <w:t>.</w:t>
      </w:r>
    </w:p>
    <w:p w14:paraId="0F6E4E47" w14:textId="61A57D2C" w:rsidR="00EC5A04" w:rsidRDefault="00583E46" w:rsidP="00AA63A5">
      <w:pPr>
        <w:pStyle w:val="Nadpis1"/>
      </w:pPr>
      <w:r>
        <w:lastRenderedPageBreak/>
        <w:t>Požadované o</w:t>
      </w:r>
      <w:r w:rsidR="00EC7135">
        <w:t>brazové přílohy (k dopracování a doplnění do zadání)</w:t>
      </w:r>
    </w:p>
    <w:p w14:paraId="24BFE012" w14:textId="0E6DDB00" w:rsidR="00AA63A5" w:rsidRPr="00AA63A5" w:rsidRDefault="00AA63A5" w:rsidP="00AA63A5">
      <w:pPr>
        <w:rPr>
          <w:lang w:eastAsia="cs-CZ"/>
        </w:rPr>
      </w:pPr>
      <w:r>
        <w:rPr>
          <w:lang w:eastAsia="cs-CZ"/>
        </w:rPr>
        <w:t>Obrazové přílohy nepožadujeme</w:t>
      </w:r>
    </w:p>
    <w:p w14:paraId="100BD095" w14:textId="54E02F97" w:rsidR="00583E46" w:rsidRPr="00744E74" w:rsidRDefault="00583E46" w:rsidP="00C00E3A">
      <w:pPr>
        <w:jc w:val="both"/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</w:pPr>
      <w:r w:rsidRPr="00744E74"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>Datové formáty výstupů:</w:t>
      </w:r>
    </w:p>
    <w:p w14:paraId="28170027" w14:textId="5155EA51" w:rsidR="00583E46" w:rsidRDefault="00AA63A5" w:rsidP="00C00E3A">
      <w:pPr>
        <w:jc w:val="both"/>
        <w:rPr>
          <w:lang w:eastAsia="cs-CZ"/>
        </w:rPr>
      </w:pPr>
      <w:r>
        <w:rPr>
          <w:lang w:eastAsia="cs-CZ"/>
        </w:rPr>
        <w:t>pdf a xlsx</w:t>
      </w:r>
    </w:p>
    <w:p w14:paraId="633071A9" w14:textId="7EF2D9AE" w:rsidR="00583E46" w:rsidRDefault="00583E46" w:rsidP="00C00E3A">
      <w:pPr>
        <w:jc w:val="both"/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</w:pPr>
      <w:r>
        <w:rPr>
          <w:rFonts w:eastAsia="Times New Roman" w:cstheme="minorHAnsi"/>
          <w:b/>
          <w:smallCaps/>
          <w:color w:val="000000" w:themeColor="text1"/>
          <w:sz w:val="28"/>
          <w:lang w:eastAsia="cs-CZ"/>
        </w:rPr>
        <w:t>Termíny:</w:t>
      </w:r>
    </w:p>
    <w:p w14:paraId="159739C6" w14:textId="7D18AAEC" w:rsidR="00EC7135" w:rsidRPr="00EC7135" w:rsidRDefault="00AA63A5" w:rsidP="007C40DD">
      <w:pPr>
        <w:jc w:val="both"/>
        <w:rPr>
          <w:lang w:eastAsia="cs-CZ"/>
        </w:rPr>
      </w:pPr>
      <w:r>
        <w:rPr>
          <w:lang w:eastAsia="cs-CZ"/>
        </w:rPr>
        <w:t>15.12.2023</w:t>
      </w:r>
    </w:p>
    <w:sectPr w:rsidR="00EC7135" w:rsidRPr="00E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20F"/>
    <w:multiLevelType w:val="hybridMultilevel"/>
    <w:tmpl w:val="24900718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73"/>
    <w:multiLevelType w:val="hybridMultilevel"/>
    <w:tmpl w:val="1B829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845"/>
    <w:multiLevelType w:val="hybridMultilevel"/>
    <w:tmpl w:val="C1E63BD4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1F"/>
    <w:multiLevelType w:val="hybridMultilevel"/>
    <w:tmpl w:val="EDA0D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CFD"/>
    <w:multiLevelType w:val="hybridMultilevel"/>
    <w:tmpl w:val="9F80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811"/>
    <w:multiLevelType w:val="hybridMultilevel"/>
    <w:tmpl w:val="F2C0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C95"/>
    <w:multiLevelType w:val="hybridMultilevel"/>
    <w:tmpl w:val="DD360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7574"/>
    <w:multiLevelType w:val="hybridMultilevel"/>
    <w:tmpl w:val="628CE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59CE"/>
    <w:multiLevelType w:val="hybridMultilevel"/>
    <w:tmpl w:val="0B0C13DC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14B0"/>
    <w:multiLevelType w:val="hybridMultilevel"/>
    <w:tmpl w:val="AB322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A78"/>
    <w:multiLevelType w:val="hybridMultilevel"/>
    <w:tmpl w:val="BCD6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010C"/>
    <w:multiLevelType w:val="hybridMultilevel"/>
    <w:tmpl w:val="8CAA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44C0"/>
    <w:multiLevelType w:val="hybridMultilevel"/>
    <w:tmpl w:val="62ACE8BA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964AB"/>
    <w:multiLevelType w:val="hybridMultilevel"/>
    <w:tmpl w:val="702CA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A26BA"/>
    <w:multiLevelType w:val="hybridMultilevel"/>
    <w:tmpl w:val="E278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F5C41"/>
    <w:multiLevelType w:val="hybridMultilevel"/>
    <w:tmpl w:val="F5FC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5E2A"/>
    <w:multiLevelType w:val="hybridMultilevel"/>
    <w:tmpl w:val="647A1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4BC3"/>
    <w:multiLevelType w:val="hybridMultilevel"/>
    <w:tmpl w:val="63A0772C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4505E"/>
    <w:multiLevelType w:val="hybridMultilevel"/>
    <w:tmpl w:val="D7822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27F1"/>
    <w:multiLevelType w:val="hybridMultilevel"/>
    <w:tmpl w:val="CAEC6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527B"/>
    <w:multiLevelType w:val="hybridMultilevel"/>
    <w:tmpl w:val="E61EC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49A5"/>
    <w:multiLevelType w:val="hybridMultilevel"/>
    <w:tmpl w:val="ED98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B048F"/>
    <w:multiLevelType w:val="hybridMultilevel"/>
    <w:tmpl w:val="5B02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5E45"/>
    <w:multiLevelType w:val="hybridMultilevel"/>
    <w:tmpl w:val="A880BE8A"/>
    <w:lvl w:ilvl="0" w:tplc="755817FE"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8503">
    <w:abstractNumId w:val="4"/>
  </w:num>
  <w:num w:numId="2" w16cid:durableId="926884093">
    <w:abstractNumId w:val="6"/>
  </w:num>
  <w:num w:numId="3" w16cid:durableId="413866899">
    <w:abstractNumId w:val="20"/>
  </w:num>
  <w:num w:numId="4" w16cid:durableId="1181092800">
    <w:abstractNumId w:val="22"/>
  </w:num>
  <w:num w:numId="5" w16cid:durableId="417823937">
    <w:abstractNumId w:val="18"/>
  </w:num>
  <w:num w:numId="6" w16cid:durableId="839008670">
    <w:abstractNumId w:val="15"/>
  </w:num>
  <w:num w:numId="7" w16cid:durableId="1886063672">
    <w:abstractNumId w:val="11"/>
  </w:num>
  <w:num w:numId="8" w16cid:durableId="46995044">
    <w:abstractNumId w:val="3"/>
  </w:num>
  <w:num w:numId="9" w16cid:durableId="182792264">
    <w:abstractNumId w:val="12"/>
  </w:num>
  <w:num w:numId="10" w16cid:durableId="1865289260">
    <w:abstractNumId w:val="7"/>
  </w:num>
  <w:num w:numId="11" w16cid:durableId="867572127">
    <w:abstractNumId w:val="1"/>
  </w:num>
  <w:num w:numId="12" w16cid:durableId="1648821004">
    <w:abstractNumId w:val="19"/>
  </w:num>
  <w:num w:numId="13" w16cid:durableId="673655829">
    <w:abstractNumId w:val="9"/>
  </w:num>
  <w:num w:numId="14" w16cid:durableId="171917660">
    <w:abstractNumId w:val="10"/>
  </w:num>
  <w:num w:numId="15" w16cid:durableId="795175320">
    <w:abstractNumId w:val="23"/>
  </w:num>
  <w:num w:numId="16" w16cid:durableId="839739517">
    <w:abstractNumId w:val="2"/>
  </w:num>
  <w:num w:numId="17" w16cid:durableId="201021797">
    <w:abstractNumId w:val="0"/>
  </w:num>
  <w:num w:numId="18" w16cid:durableId="1982809283">
    <w:abstractNumId w:val="8"/>
  </w:num>
  <w:num w:numId="19" w16cid:durableId="804276643">
    <w:abstractNumId w:val="17"/>
  </w:num>
  <w:num w:numId="20" w16cid:durableId="86731628">
    <w:abstractNumId w:val="5"/>
  </w:num>
  <w:num w:numId="21" w16cid:durableId="1420180367">
    <w:abstractNumId w:val="13"/>
  </w:num>
  <w:num w:numId="22" w16cid:durableId="972369589">
    <w:abstractNumId w:val="14"/>
  </w:num>
  <w:num w:numId="23" w16cid:durableId="1020275494">
    <w:abstractNumId w:val="16"/>
  </w:num>
  <w:num w:numId="24" w16cid:durableId="196785341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4A"/>
    <w:rsid w:val="0000044C"/>
    <w:rsid w:val="000044AC"/>
    <w:rsid w:val="000062C3"/>
    <w:rsid w:val="000271EB"/>
    <w:rsid w:val="00095AF3"/>
    <w:rsid w:val="000B0803"/>
    <w:rsid w:val="000B7061"/>
    <w:rsid w:val="000C7E4A"/>
    <w:rsid w:val="000D35F3"/>
    <w:rsid w:val="000D7FD6"/>
    <w:rsid w:val="0010711E"/>
    <w:rsid w:val="00107CC8"/>
    <w:rsid w:val="00113833"/>
    <w:rsid w:val="00123B64"/>
    <w:rsid w:val="001617B2"/>
    <w:rsid w:val="00164399"/>
    <w:rsid w:val="001C24E9"/>
    <w:rsid w:val="002360AE"/>
    <w:rsid w:val="002572E8"/>
    <w:rsid w:val="002772AF"/>
    <w:rsid w:val="00280A64"/>
    <w:rsid w:val="002A5B9C"/>
    <w:rsid w:val="002F234F"/>
    <w:rsid w:val="00304C02"/>
    <w:rsid w:val="003061CE"/>
    <w:rsid w:val="00333B41"/>
    <w:rsid w:val="0038225E"/>
    <w:rsid w:val="003A4EFE"/>
    <w:rsid w:val="003B3EC1"/>
    <w:rsid w:val="003C467D"/>
    <w:rsid w:val="003F5BE3"/>
    <w:rsid w:val="0040634C"/>
    <w:rsid w:val="004130C0"/>
    <w:rsid w:val="00417C1F"/>
    <w:rsid w:val="00473EF4"/>
    <w:rsid w:val="00494A42"/>
    <w:rsid w:val="004C2E3C"/>
    <w:rsid w:val="00502B24"/>
    <w:rsid w:val="0050478B"/>
    <w:rsid w:val="00535479"/>
    <w:rsid w:val="00551B8A"/>
    <w:rsid w:val="00583E46"/>
    <w:rsid w:val="00584702"/>
    <w:rsid w:val="005A0528"/>
    <w:rsid w:val="005E32EA"/>
    <w:rsid w:val="00677164"/>
    <w:rsid w:val="00705DE1"/>
    <w:rsid w:val="00715862"/>
    <w:rsid w:val="00722C74"/>
    <w:rsid w:val="00744E74"/>
    <w:rsid w:val="00764F88"/>
    <w:rsid w:val="007C40DD"/>
    <w:rsid w:val="007C6CA0"/>
    <w:rsid w:val="007F5810"/>
    <w:rsid w:val="007F5BFA"/>
    <w:rsid w:val="00825695"/>
    <w:rsid w:val="00825C45"/>
    <w:rsid w:val="008542E3"/>
    <w:rsid w:val="00864896"/>
    <w:rsid w:val="008923B8"/>
    <w:rsid w:val="0089763A"/>
    <w:rsid w:val="008B179F"/>
    <w:rsid w:val="008B2935"/>
    <w:rsid w:val="008D7512"/>
    <w:rsid w:val="008D77FC"/>
    <w:rsid w:val="008F28B4"/>
    <w:rsid w:val="00915AE1"/>
    <w:rsid w:val="009253F8"/>
    <w:rsid w:val="00927089"/>
    <w:rsid w:val="0094549D"/>
    <w:rsid w:val="00956D27"/>
    <w:rsid w:val="009871F2"/>
    <w:rsid w:val="0098752D"/>
    <w:rsid w:val="009A731A"/>
    <w:rsid w:val="00A13104"/>
    <w:rsid w:val="00A30FF1"/>
    <w:rsid w:val="00A4231D"/>
    <w:rsid w:val="00A92466"/>
    <w:rsid w:val="00A966DD"/>
    <w:rsid w:val="00A966DE"/>
    <w:rsid w:val="00AA63A5"/>
    <w:rsid w:val="00AB0DA8"/>
    <w:rsid w:val="00AB2536"/>
    <w:rsid w:val="00AB271E"/>
    <w:rsid w:val="00AD31D1"/>
    <w:rsid w:val="00AF53FD"/>
    <w:rsid w:val="00AF58D7"/>
    <w:rsid w:val="00B11D1C"/>
    <w:rsid w:val="00B17DBC"/>
    <w:rsid w:val="00B241D1"/>
    <w:rsid w:val="00B3332C"/>
    <w:rsid w:val="00B344B6"/>
    <w:rsid w:val="00B54146"/>
    <w:rsid w:val="00B64441"/>
    <w:rsid w:val="00BC344A"/>
    <w:rsid w:val="00BD189C"/>
    <w:rsid w:val="00BF1DD2"/>
    <w:rsid w:val="00C00E3A"/>
    <w:rsid w:val="00C37A62"/>
    <w:rsid w:val="00C43F9C"/>
    <w:rsid w:val="00C50B39"/>
    <w:rsid w:val="00C6325F"/>
    <w:rsid w:val="00C920B4"/>
    <w:rsid w:val="00C958B7"/>
    <w:rsid w:val="00C95D1D"/>
    <w:rsid w:val="00CD79D9"/>
    <w:rsid w:val="00D1499A"/>
    <w:rsid w:val="00D44A76"/>
    <w:rsid w:val="00D75789"/>
    <w:rsid w:val="00D96C5D"/>
    <w:rsid w:val="00DB4404"/>
    <w:rsid w:val="00DC1844"/>
    <w:rsid w:val="00E11A1A"/>
    <w:rsid w:val="00E142B1"/>
    <w:rsid w:val="00E14C7D"/>
    <w:rsid w:val="00E34AFC"/>
    <w:rsid w:val="00E438C4"/>
    <w:rsid w:val="00E44EB7"/>
    <w:rsid w:val="00E5750E"/>
    <w:rsid w:val="00E76ABD"/>
    <w:rsid w:val="00EA4E2B"/>
    <w:rsid w:val="00EC5A04"/>
    <w:rsid w:val="00EC7135"/>
    <w:rsid w:val="00ED34ED"/>
    <w:rsid w:val="00ED417A"/>
    <w:rsid w:val="00EE23BC"/>
    <w:rsid w:val="00EE75B6"/>
    <w:rsid w:val="00EF6910"/>
    <w:rsid w:val="00F01131"/>
    <w:rsid w:val="00F01A50"/>
    <w:rsid w:val="00F123BF"/>
    <w:rsid w:val="00F32744"/>
    <w:rsid w:val="00F36A34"/>
    <w:rsid w:val="00F43118"/>
    <w:rsid w:val="00F60410"/>
    <w:rsid w:val="00F61B74"/>
    <w:rsid w:val="00F72D78"/>
    <w:rsid w:val="00F81E71"/>
    <w:rsid w:val="00FA1C8F"/>
    <w:rsid w:val="00FA7BB7"/>
    <w:rsid w:val="00FD1978"/>
    <w:rsid w:val="00FD61B3"/>
    <w:rsid w:val="00FD6AB7"/>
    <w:rsid w:val="00FD6CF6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A75"/>
  <w15:chartTrackingRefBased/>
  <w15:docId w15:val="{CCA63C38-B2CD-4C8A-B57E-51BDE58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E46"/>
  </w:style>
  <w:style w:type="paragraph" w:styleId="Nadpis1">
    <w:name w:val="heading 1"/>
    <w:basedOn w:val="Normln"/>
    <w:next w:val="Normln"/>
    <w:link w:val="Nadpis1Char"/>
    <w:uiPriority w:val="9"/>
    <w:qFormat/>
    <w:rsid w:val="002572E8"/>
    <w:pPr>
      <w:keepNext/>
      <w:spacing w:before="100" w:beforeAutospacing="1" w:after="100" w:afterAutospacing="1" w:line="240" w:lineRule="auto"/>
      <w:ind w:left="431" w:hanging="431"/>
      <w:contextualSpacing/>
      <w:jc w:val="both"/>
      <w:outlineLvl w:val="0"/>
    </w:pPr>
    <w:rPr>
      <w:rFonts w:eastAsia="Times New Roman" w:cstheme="minorHAnsi"/>
      <w:b/>
      <w:smallCaps/>
      <w:color w:val="000000" w:themeColor="text1"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52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0DA8"/>
    <w:pPr>
      <w:keepNext/>
      <w:keepLines/>
      <w:spacing w:before="120" w:after="60"/>
      <w:outlineLvl w:val="2"/>
    </w:pPr>
    <w:rPr>
      <w:rFonts w:eastAsiaTheme="majorEastAsia" w:cstheme="majorBidi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0410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7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0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0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08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27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23BF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2572E8"/>
    <w:rPr>
      <w:rFonts w:eastAsia="Times New Roman" w:cstheme="minorHAnsi"/>
      <w:b/>
      <w:smallCaps/>
      <w:color w:val="000000" w:themeColor="text1"/>
      <w:sz w:val="28"/>
      <w:lang w:eastAsia="cs-CZ"/>
    </w:rPr>
  </w:style>
  <w:style w:type="paragraph" w:styleId="Bezmezer">
    <w:name w:val="No Spacing"/>
    <w:uiPriority w:val="1"/>
    <w:qFormat/>
    <w:rsid w:val="00FA1C8F"/>
    <w:pPr>
      <w:spacing w:after="12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C7135"/>
    <w:pPr>
      <w:spacing w:after="120" w:line="240" w:lineRule="auto"/>
      <w:contextualSpacing/>
    </w:pPr>
    <w:rPr>
      <w:rFonts w:eastAsiaTheme="majorEastAsia" w:cstheme="minorHAnsi"/>
      <w:b/>
      <w:spacing w:val="-10"/>
      <w:kern w:val="28"/>
      <w:sz w:val="40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C7135"/>
    <w:rPr>
      <w:rFonts w:eastAsiaTheme="majorEastAsia" w:cstheme="minorHAnsi"/>
      <w:b/>
      <w:spacing w:val="-10"/>
      <w:kern w:val="28"/>
      <w:sz w:val="40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98752D"/>
    <w:rPr>
      <w:rFonts w:eastAsiaTheme="majorEastAsia" w:cstheme="majorBidi"/>
      <w:b/>
      <w:sz w:val="24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53F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AF53FD"/>
    <w:rPr>
      <w:rFonts w:eastAsiaTheme="minorEastAsia"/>
      <w:color w:val="5A5A5A" w:themeColor="text1" w:themeTint="A5"/>
      <w:spacing w:val="15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B0DA8"/>
    <w:rPr>
      <w:rFonts w:eastAsiaTheme="majorEastAsia" w:cstheme="majorBidi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60410"/>
    <w:rPr>
      <w:rFonts w:eastAsiaTheme="majorEastAsia" w:cstheme="majorBidi"/>
      <w:i/>
      <w:iCs/>
    </w:rPr>
  </w:style>
  <w:style w:type="table" w:styleId="Mkatabulky">
    <w:name w:val="Table Grid"/>
    <w:basedOn w:val="Normlntabulka"/>
    <w:uiPriority w:val="39"/>
    <w:rsid w:val="0058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Rodstavec">
    <w:name w:val="IPR odstavec"/>
    <w:basedOn w:val="Normln"/>
    <w:link w:val="IPRodstavecChar"/>
    <w:qFormat/>
    <w:rsid w:val="008923B8"/>
    <w:pPr>
      <w:spacing w:before="40" w:after="40" w:line="264" w:lineRule="auto"/>
    </w:pPr>
    <w:rPr>
      <w:rFonts w:ascii="UnitPro" w:eastAsia="MS Mincho" w:hAnsi="UnitPro" w:cs="UnitPro"/>
      <w:sz w:val="18"/>
      <w:szCs w:val="20"/>
      <w:lang w:eastAsia="ja-JP"/>
    </w:rPr>
  </w:style>
  <w:style w:type="character" w:customStyle="1" w:styleId="IPRodstavecChar">
    <w:name w:val="IPR odstavec Char"/>
    <w:basedOn w:val="Standardnpsmoodstavce"/>
    <w:link w:val="IPRodstavec"/>
    <w:rsid w:val="008923B8"/>
    <w:rPr>
      <w:rFonts w:ascii="UnitPro" w:eastAsia="MS Mincho" w:hAnsi="UnitPro" w:cs="UnitPro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FC22-CBE2-4F60-B338-9C00E622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Bartošek Michal Ing. arch. (SRM/KRČ)</dc:creator>
  <cp:keywords/>
  <dc:description/>
  <cp:lastModifiedBy>Mgr. Miroslav Staněk</cp:lastModifiedBy>
  <cp:revision>13</cp:revision>
  <cp:lastPrinted>2023-11-01T10:08:00Z</cp:lastPrinted>
  <dcterms:created xsi:type="dcterms:W3CDTF">2023-10-19T14:01:00Z</dcterms:created>
  <dcterms:modified xsi:type="dcterms:W3CDTF">2023-11-01T11:36:00Z</dcterms:modified>
</cp:coreProperties>
</file>