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53.4pt;margin-top:54.15pt;width:498.5pt;height:0;z-index:-251658240;mso-position-horizontal-relative:page;mso-position-vertical-relative:page">
            <v:stroke weight="0.7pt"/>
          </v:shape>
        </w:pict>
      </w:r>
    </w:p>
    <w:p>
      <w:pPr>
        <w:pStyle w:val="Style2"/>
        <w:framePr w:wrap="none" w:vAnchor="page" w:hAnchor="page" w:x="1055" w:y="74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SMLOUVA O PILOTNÍM PROVOZU UŽÍVÁNÍ SYSTÉMU BECK-ONLINE Č.</w:t>
      </w:r>
    </w:p>
    <w:p>
      <w:pPr>
        <w:pStyle w:val="Style2"/>
        <w:framePr w:wrap="none" w:vAnchor="page" w:hAnchor="page" w:x="8850" w:y="79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SML 101609 20240101</w:t>
      </w:r>
    </w:p>
    <w:p>
      <w:pPr>
        <w:pStyle w:val="Style4"/>
        <w:framePr w:w="10008" w:h="1613" w:hRule="exact" w:wrap="none" w:vAnchor="page" w:hAnchor="page" w:x="1050" w:y="121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5080" w:firstLine="0"/>
      </w:pPr>
      <w:bookmarkStart w:id="0" w:name="bookmark0"/>
      <w:r>
        <w:rPr>
          <w:lang w:val="cs-CZ" w:eastAsia="cs-CZ" w:bidi="cs-CZ"/>
          <w:w w:val="100"/>
          <w:spacing w:val="0"/>
          <w:color w:val="000000"/>
          <w:position w:val="0"/>
        </w:rPr>
        <w:t>PŘÍLOHA: Rozsah licence v průběhu pilotního provozu A. Specifikace obsahu a počtu licenci</w:t>
      </w:r>
      <w:bookmarkEnd w:id="0"/>
    </w:p>
    <w:p>
      <w:pPr>
        <w:pStyle w:val="Style6"/>
        <w:framePr w:w="10008" w:h="1613" w:hRule="exact" w:wrap="none" w:vAnchor="page" w:hAnchor="page" w:x="1050" w:y="1215"/>
        <w:widowControl w:val="0"/>
        <w:keepNext w:val="0"/>
        <w:keepLines w:val="0"/>
        <w:shd w:val="clear" w:color="auto" w:fill="auto"/>
        <w:bidi w:val="0"/>
        <w:spacing w:before="0" w:after="0"/>
        <w:ind w:left="4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Prostřednictvím uživatelského účtu bude uživatel oprávněn přistupovat a užívat výlučně následující databáze (moduly) Beck-online v uvedeném počtu osob:</w:t>
      </w:r>
    </w:p>
    <w:p>
      <w:pPr>
        <w:pStyle w:val="Style8"/>
        <w:framePr w:wrap="none" w:vAnchor="page" w:hAnchor="page" w:x="1367" w:y="353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Modul</w:t>
      </w:r>
    </w:p>
    <w:p>
      <w:pPr>
        <w:pStyle w:val="Style4"/>
        <w:framePr w:wrap="none" w:vAnchor="page" w:hAnchor="page" w:x="1050" w:y="3535"/>
        <w:widowControl w:val="0"/>
        <w:keepNext w:val="0"/>
        <w:keepLines w:val="0"/>
        <w:shd w:val="clear" w:color="auto" w:fill="auto"/>
        <w:bidi w:val="0"/>
        <w:jc w:val="left"/>
        <w:spacing w:before="0" w:after="0" w:line="212" w:lineRule="exact"/>
        <w:ind w:left="5122" w:right="0" w:firstLine="0"/>
      </w:pPr>
      <w:bookmarkStart w:id="1" w:name="bookmark1"/>
      <w:r>
        <w:rPr>
          <w:lang w:val="cs-CZ" w:eastAsia="cs-CZ" w:bidi="cs-CZ"/>
          <w:w w:val="100"/>
          <w:spacing w:val="0"/>
          <w:color w:val="000000"/>
          <w:position w:val="0"/>
        </w:rPr>
        <w:t>Počet licencí</w:t>
      </w:r>
      <w:bookmarkEnd w:id="1"/>
    </w:p>
    <w:p>
      <w:pPr>
        <w:pStyle w:val="Style6"/>
        <w:framePr w:w="10008" w:h="3806" w:hRule="exact" w:wrap="none" w:vAnchor="page" w:hAnchor="page" w:x="1050" w:y="3763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340" w:right="126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Beck-online PRO</w:t>
        <w:br/>
        <w:t>Daňové právo</w:t>
        <w:br/>
        <w:t>Duševní vlastnictví</w:t>
        <w:br/>
        <w:t>Finanční právo</w:t>
      </w:r>
    </w:p>
    <w:p>
      <w:pPr>
        <w:pStyle w:val="Style6"/>
        <w:framePr w:w="10008" w:h="3806" w:hRule="exact" w:wrap="none" w:vAnchor="page" w:hAnchor="page" w:x="1050" w:y="3763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3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Justiční a procesní právo PLUS</w:t>
        <w:br/>
        <w:t>Občanské právo PLUS</w:t>
        <w:br/>
        <w:t>Obchodní korporace PLUS</w:t>
        <w:br/>
        <w:t>Pracovní a sociální právo PLUS</w:t>
        <w:br/>
        <w:t>Soutěžní právo</w:t>
        <w:br/>
        <w:t>Správní a ústavní právo</w:t>
        <w:br/>
        <w:t>Správní právo - obce a kraje</w:t>
        <w:br/>
        <w:t>Správní právo - stavební právo</w:t>
        <w:br/>
        <w:t>Správní právo - zvláštní předpisy</w:t>
        <w:br/>
        <w:t>Trestní právo PLUS</w:t>
      </w:r>
    </w:p>
    <w:p>
      <w:pPr>
        <w:pStyle w:val="Style6"/>
        <w:framePr w:w="269" w:h="3761" w:hRule="exact" w:wrap="none" w:vAnchor="page" w:hAnchor="page" w:x="6162" w:y="3808"/>
        <w:widowControl w:val="0"/>
        <w:keepNext w:val="0"/>
        <w:keepLines w:val="0"/>
        <w:shd w:val="clear" w:color="auto" w:fill="auto"/>
        <w:bidi w:val="0"/>
        <w:jc w:val="left"/>
        <w:spacing w:before="0" w:after="0" w:line="212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75</w:t>
      </w:r>
    </w:p>
    <w:p>
      <w:pPr>
        <w:pStyle w:val="Style6"/>
        <w:framePr w:w="269" w:h="3761" w:hRule="exact" w:wrap="none" w:vAnchor="page" w:hAnchor="page" w:x="6162" w:y="3808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75</w:t>
      </w:r>
    </w:p>
    <w:p>
      <w:pPr>
        <w:pStyle w:val="Style6"/>
        <w:framePr w:w="269" w:h="3761" w:hRule="exact" w:wrap="none" w:vAnchor="page" w:hAnchor="page" w:x="6162" w:y="3808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75</w:t>
      </w:r>
    </w:p>
    <w:p>
      <w:pPr>
        <w:pStyle w:val="Style6"/>
        <w:framePr w:w="269" w:h="3761" w:hRule="exact" w:wrap="none" w:vAnchor="page" w:hAnchor="page" w:x="6162" w:y="3808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75</w:t>
      </w:r>
    </w:p>
    <w:p>
      <w:pPr>
        <w:pStyle w:val="Style6"/>
        <w:framePr w:w="269" w:h="3761" w:hRule="exact" w:wrap="none" w:vAnchor="page" w:hAnchor="page" w:x="6162" w:y="3808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75</w:t>
      </w:r>
    </w:p>
    <w:p>
      <w:pPr>
        <w:pStyle w:val="Style6"/>
        <w:framePr w:w="269" w:h="3761" w:hRule="exact" w:wrap="none" w:vAnchor="page" w:hAnchor="page" w:x="6162" w:y="3808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75</w:t>
      </w:r>
    </w:p>
    <w:p>
      <w:pPr>
        <w:pStyle w:val="Style6"/>
        <w:framePr w:w="269" w:h="3761" w:hRule="exact" w:wrap="none" w:vAnchor="page" w:hAnchor="page" w:x="6162" w:y="3808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75</w:t>
      </w:r>
    </w:p>
    <w:p>
      <w:pPr>
        <w:pStyle w:val="Style6"/>
        <w:framePr w:w="269" w:h="3761" w:hRule="exact" w:wrap="none" w:vAnchor="page" w:hAnchor="page" w:x="6162" w:y="3808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75</w:t>
      </w:r>
    </w:p>
    <w:p>
      <w:pPr>
        <w:pStyle w:val="Style6"/>
        <w:framePr w:w="269" w:h="3761" w:hRule="exact" w:wrap="none" w:vAnchor="page" w:hAnchor="page" w:x="6162" w:y="3808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75</w:t>
      </w:r>
    </w:p>
    <w:p>
      <w:pPr>
        <w:pStyle w:val="Style6"/>
        <w:framePr w:w="269" w:h="3761" w:hRule="exact" w:wrap="none" w:vAnchor="page" w:hAnchor="page" w:x="6162" w:y="3808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75</w:t>
      </w:r>
    </w:p>
    <w:p>
      <w:pPr>
        <w:pStyle w:val="Style6"/>
        <w:framePr w:w="269" w:h="3761" w:hRule="exact" w:wrap="none" w:vAnchor="page" w:hAnchor="page" w:x="6162" w:y="3808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75</w:t>
      </w:r>
    </w:p>
    <w:p>
      <w:pPr>
        <w:pStyle w:val="Style6"/>
        <w:framePr w:w="269" w:h="3761" w:hRule="exact" w:wrap="none" w:vAnchor="page" w:hAnchor="page" w:x="6162" w:y="3808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75</w:t>
      </w:r>
    </w:p>
    <w:p>
      <w:pPr>
        <w:pStyle w:val="Style6"/>
        <w:framePr w:w="269" w:h="3761" w:hRule="exact" w:wrap="none" w:vAnchor="page" w:hAnchor="page" w:x="6162" w:y="3808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75</w:t>
      </w:r>
    </w:p>
    <w:p>
      <w:pPr>
        <w:pStyle w:val="Style6"/>
        <w:framePr w:w="269" w:h="3761" w:hRule="exact" w:wrap="none" w:vAnchor="page" w:hAnchor="page" w:x="6162" w:y="3808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75</w:t>
      </w:r>
    </w:p>
    <w:p>
      <w:pPr>
        <w:pStyle w:val="Style6"/>
        <w:framePr w:wrap="none" w:vAnchor="page" w:hAnchor="page" w:x="1050" w:y="8441"/>
        <w:widowControl w:val="0"/>
        <w:keepNext w:val="0"/>
        <w:keepLines w:val="0"/>
        <w:shd w:val="clear" w:color="auto" w:fill="auto"/>
        <w:bidi w:val="0"/>
        <w:spacing w:before="0" w:after="0" w:line="212" w:lineRule="exact"/>
        <w:ind w:left="4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Užívající osoby jsou součástí společnosti uživatele viz bod 3.2. VOP.</w:t>
      </w:r>
    </w:p>
    <w:p>
      <w:pPr>
        <w:pStyle w:val="Style4"/>
        <w:framePr w:w="10008" w:h="1930" w:hRule="exact" w:wrap="none" w:vAnchor="page" w:hAnchor="page" w:x="1050" w:y="9418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bookmarkStart w:id="2" w:name="bookmark2"/>
      <w:r>
        <w:rPr>
          <w:lang w:val="cs-CZ" w:eastAsia="cs-CZ" w:bidi="cs-CZ"/>
          <w:w w:val="100"/>
          <w:spacing w:val="0"/>
          <w:color w:val="000000"/>
          <w:position w:val="0"/>
        </w:rPr>
        <w:t>B. Předplatné období a odměna</w:t>
      </w:r>
      <w:bookmarkEnd w:id="2"/>
    </w:p>
    <w:p>
      <w:pPr>
        <w:pStyle w:val="Style6"/>
        <w:framePr w:w="10008" w:h="1930" w:hRule="exact" w:wrap="none" w:vAnchor="page" w:hAnchor="page" w:x="1050" w:y="9418"/>
        <w:widowControl w:val="0"/>
        <w:keepNext w:val="0"/>
        <w:keepLines w:val="0"/>
        <w:shd w:val="clear" w:color="auto" w:fill="auto"/>
        <w:bidi w:val="0"/>
        <w:spacing w:before="0" w:after="0" w:line="264" w:lineRule="exact"/>
        <w:ind w:left="4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Odměna se sjednává za celé období pilotního provozu od </w:t>
      </w:r>
      <w:r>
        <w:rPr>
          <w:rStyle w:val="CharStyle10"/>
        </w:rPr>
        <w:t xml:space="preserve">1.1. 2024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do </w:t>
      </w:r>
      <w:r>
        <w:rPr>
          <w:rStyle w:val="CharStyle10"/>
        </w:rPr>
        <w:t>31.12. 2024.</w:t>
      </w:r>
    </w:p>
    <w:p>
      <w:pPr>
        <w:pStyle w:val="Style6"/>
        <w:framePr w:w="10008" w:h="1930" w:hRule="exact" w:wrap="none" w:vAnchor="page" w:hAnchor="page" w:x="1050" w:y="9418"/>
        <w:widowControl w:val="0"/>
        <w:keepNext w:val="0"/>
        <w:keepLines w:val="0"/>
        <w:shd w:val="clear" w:color="auto" w:fill="auto"/>
        <w:bidi w:val="0"/>
        <w:spacing w:before="0" w:after="0" w:line="264" w:lineRule="exact"/>
        <w:ind w:left="4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Odměna v průběhu pilotního provozu činí </w:t>
      </w:r>
      <w:r>
        <w:rPr>
          <w:rStyle w:val="CharStyle10"/>
        </w:rPr>
        <w:t xml:space="preserve">50 000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Kč </w:t>
      </w:r>
      <w:r>
        <w:rPr>
          <w:rStyle w:val="CharStyle10"/>
        </w:rPr>
        <w:t xml:space="preserve">bez DPH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(dále jen </w:t>
      </w:r>
      <w:r>
        <w:rPr>
          <w:rStyle w:val="CharStyle10"/>
        </w:rPr>
        <w:t xml:space="preserve">„odměna"). </w:t>
      </w:r>
      <w:r>
        <w:rPr>
          <w:lang w:val="cs-CZ" w:eastAsia="cs-CZ" w:bidi="cs-CZ"/>
          <w:w w:val="100"/>
          <w:spacing w:val="0"/>
          <w:color w:val="000000"/>
          <w:position w:val="0"/>
        </w:rPr>
        <w:t>Uživatel se zavazuje zároveň s odměnou uhradit DPH v zákonné výši.</w:t>
      </w:r>
    </w:p>
    <w:p>
      <w:pPr>
        <w:pStyle w:val="Style6"/>
        <w:framePr w:w="10008" w:h="1930" w:hRule="exact" w:wrap="none" w:vAnchor="page" w:hAnchor="page" w:x="1050" w:y="9418"/>
        <w:widowControl w:val="0"/>
        <w:keepNext w:val="0"/>
        <w:keepLines w:val="0"/>
        <w:shd w:val="clear" w:color="auto" w:fill="auto"/>
        <w:bidi w:val="0"/>
        <w:spacing w:before="0" w:after="0" w:line="264" w:lineRule="exact"/>
        <w:ind w:left="4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Poskytovatel poskytne uživateli bezplatný přístup do Beck-online ve shora uvedeném rozsahu již před začátkem výše sjednaného období, a to předáním přihlašovacích údajů do Beck-online. Ostatní podmínky užívání Beck-online v období do 31.12. 2023 se řídí přiměřeně touto smlouvou.</w:t>
      </w:r>
    </w:p>
    <w:p>
      <w:pPr>
        <w:pStyle w:val="Style6"/>
        <w:framePr w:w="10008" w:h="270" w:hRule="exact" w:wrap="none" w:vAnchor="page" w:hAnchor="page" w:x="1050" w:y="16019"/>
        <w:widowControl w:val="0"/>
        <w:keepNext w:val="0"/>
        <w:keepLines w:val="0"/>
        <w:shd w:val="clear" w:color="auto" w:fill="auto"/>
        <w:bidi w:val="0"/>
        <w:jc w:val="center"/>
        <w:spacing w:before="0" w:after="0" w:line="212" w:lineRule="exact"/>
        <w:ind w:left="1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3/3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">
    <w:name w:val="Header or footer|1_"/>
    <w:basedOn w:val="DefaultParagraphFont"/>
    <w:link w:val="Style2"/>
    <w:rPr>
      <w:b w:val="0"/>
      <w:bCs w:val="0"/>
      <w:i w:val="0"/>
      <w:iCs w:val="0"/>
      <w:u w:val="none"/>
      <w:strike w:val="0"/>
      <w:smallCaps w:val="0"/>
      <w:sz w:val="18"/>
      <w:szCs w:val="18"/>
      <w:rFonts w:ascii="Arial" w:eastAsia="Arial" w:hAnsi="Arial" w:cs="Arial"/>
    </w:rPr>
  </w:style>
  <w:style w:type="character" w:customStyle="1" w:styleId="CharStyle5">
    <w:name w:val="Heading #1|1_"/>
    <w:basedOn w:val="DefaultParagraphFont"/>
    <w:link w:val="Style4"/>
    <w:rPr>
      <w:b/>
      <w:bCs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character" w:customStyle="1" w:styleId="CharStyle7">
    <w:name w:val="Body text|2_"/>
    <w:basedOn w:val="DefaultParagraphFont"/>
    <w:link w:val="Style6"/>
    <w:rPr>
      <w:b w:val="0"/>
      <w:bCs w:val="0"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character" w:customStyle="1" w:styleId="CharStyle9">
    <w:name w:val="Body text|3_"/>
    <w:basedOn w:val="DefaultParagraphFont"/>
    <w:link w:val="Style8"/>
    <w:rPr>
      <w:b/>
      <w:bCs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character" w:customStyle="1" w:styleId="CharStyle10">
    <w:name w:val="Body text|2 + Bold"/>
    <w:basedOn w:val="CharStyle7"/>
    <w:rPr>
      <w:lang w:val="cs-CZ" w:eastAsia="cs-CZ" w:bidi="cs-CZ"/>
      <w:b/>
      <w:bCs/>
      <w:w w:val="100"/>
      <w:spacing w:val="0"/>
      <w:color w:val="000000"/>
      <w:position w:val="0"/>
    </w:rPr>
  </w:style>
  <w:style w:type="paragraph" w:customStyle="1" w:styleId="Style2">
    <w:name w:val="Header or footer|1"/>
    <w:basedOn w:val="Normal"/>
    <w:link w:val="CharStyle3"/>
    <w:pPr>
      <w:widowControl w:val="0"/>
      <w:shd w:val="clear" w:color="auto" w:fill="FFFFFF"/>
      <w:spacing w:line="200" w:lineRule="exact"/>
    </w:pPr>
    <w:rPr>
      <w:b w:val="0"/>
      <w:bCs w:val="0"/>
      <w:i w:val="0"/>
      <w:iCs w:val="0"/>
      <w:u w:val="none"/>
      <w:strike w:val="0"/>
      <w:smallCaps w:val="0"/>
      <w:sz w:val="18"/>
      <w:szCs w:val="18"/>
      <w:rFonts w:ascii="Arial" w:eastAsia="Arial" w:hAnsi="Arial" w:cs="Arial"/>
    </w:rPr>
  </w:style>
  <w:style w:type="paragraph" w:customStyle="1" w:styleId="Style4">
    <w:name w:val="Heading #1|1"/>
    <w:basedOn w:val="Normal"/>
    <w:link w:val="CharStyle5"/>
    <w:pPr>
      <w:widowControl w:val="0"/>
      <w:shd w:val="clear" w:color="auto" w:fill="FFFFFF"/>
      <w:outlineLvl w:val="0"/>
      <w:spacing w:line="533" w:lineRule="exact"/>
    </w:pPr>
    <w:rPr>
      <w:b/>
      <w:bCs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paragraph" w:customStyle="1" w:styleId="Style6">
    <w:name w:val="Body text|2"/>
    <w:basedOn w:val="Normal"/>
    <w:link w:val="CharStyle7"/>
    <w:pPr>
      <w:widowControl w:val="0"/>
      <w:shd w:val="clear" w:color="auto" w:fill="FFFFFF"/>
      <w:jc w:val="both"/>
      <w:spacing w:after="720" w:line="269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paragraph" w:customStyle="1" w:styleId="Style8">
    <w:name w:val="Body text|3"/>
    <w:basedOn w:val="Normal"/>
    <w:link w:val="CharStyle9"/>
    <w:pPr>
      <w:widowControl w:val="0"/>
      <w:shd w:val="clear" w:color="auto" w:fill="FFFFFF"/>
      <w:spacing w:line="212" w:lineRule="exact"/>
    </w:pPr>
    <w:rPr>
      <w:b/>
      <w:bCs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