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3.4pt;margin-top:54.15pt;width:498.5pt;height:0;z-index:-251658240;mso-position-horizontal-relative:page;mso-position-vertical-relative:page">
            <v:stroke weight="0.7pt"/>
          </v:shape>
        </w:pict>
      </w:r>
    </w:p>
    <w:p>
      <w:pPr>
        <w:pStyle w:val="Style2"/>
        <w:framePr w:wrap="none" w:vAnchor="page" w:hAnchor="page" w:x="1055" w:y="7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PILOTNÍM PROVOZU UŽÍVÁNÍ SYSTÉMU BECK-ONLINE Č.</w:t>
      </w:r>
    </w:p>
    <w:p>
      <w:pPr>
        <w:pStyle w:val="Style2"/>
        <w:framePr w:wrap="none" w:vAnchor="page" w:hAnchor="page" w:x="8850" w:y="7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 101609 20240101</w:t>
      </w:r>
    </w:p>
    <w:p>
      <w:pPr>
        <w:pStyle w:val="Style4"/>
        <w:framePr w:w="10008" w:h="1613" w:hRule="exact" w:wrap="none" w:vAnchor="page" w:hAnchor="page" w:x="1050" w:y="12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08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PŘÍLOHA: Rozsah licence v průběhu pilotního provozu A. Specifikace obsahu a počtu licenci</w:t>
      </w:r>
      <w:bookmarkEnd w:id="0"/>
    </w:p>
    <w:p>
      <w:pPr>
        <w:pStyle w:val="Style6"/>
        <w:framePr w:w="10008" w:h="1613" w:hRule="exact" w:wrap="none" w:vAnchor="page" w:hAnchor="page" w:x="1050" w:y="1215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Prostřednictvím uživatelského účtu bude uživatel oprávněn přistupovat a užívat výlučně následující databáze (moduly) Beck-online v uvedeném počtu osob:</w:t>
      </w:r>
    </w:p>
    <w:p>
      <w:pPr>
        <w:pStyle w:val="Style8"/>
        <w:framePr w:wrap="none" w:vAnchor="page" w:hAnchor="page" w:x="1367" w:y="35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Modul</w:t>
      </w:r>
    </w:p>
    <w:p>
      <w:pPr>
        <w:pStyle w:val="Style4"/>
        <w:framePr w:wrap="none" w:vAnchor="page" w:hAnchor="page" w:x="1050" w:y="3535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5122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Počet licencí</w:t>
      </w:r>
      <w:bookmarkEnd w:id="1"/>
    </w:p>
    <w:p>
      <w:pPr>
        <w:pStyle w:val="Style6"/>
        <w:framePr w:w="10008" w:h="3806" w:hRule="exact" w:wrap="none" w:vAnchor="page" w:hAnchor="page" w:x="1050" w:y="376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340" w:right="1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Beck-online PRO</w:t>
        <w:br/>
        <w:t>Daňové právo</w:t>
        <w:br/>
        <w:t>Duševní vlastnictví</w:t>
        <w:br/>
        <w:t>Finanční právo</w:t>
      </w:r>
    </w:p>
    <w:p>
      <w:pPr>
        <w:pStyle w:val="Style6"/>
        <w:framePr w:w="10008" w:h="3806" w:hRule="exact" w:wrap="none" w:vAnchor="page" w:hAnchor="page" w:x="1050" w:y="376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Justiční a procesní právo PLUS</w:t>
        <w:br/>
        <w:t>Občanské právo PLUS</w:t>
        <w:br/>
        <w:t>Obchodní korporace PLUS</w:t>
        <w:br/>
        <w:t>Pracovní a sociální právo PLUS</w:t>
        <w:br/>
        <w:t>Soutěžní právo</w:t>
        <w:br/>
        <w:t>Správní a ústavní právo</w:t>
        <w:br/>
        <w:t>Správní právo - obce a kraje</w:t>
        <w:br/>
        <w:t>Správní právo - stavební právo</w:t>
        <w:br/>
        <w:t>Správní právo - zvláštní předpisy</w:t>
        <w:br/>
        <w:t>Trestní právo PLUS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="269" w:h="3761" w:hRule="exact" w:wrap="none" w:vAnchor="page" w:hAnchor="page" w:x="6162" w:y="380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75</w:t>
      </w:r>
    </w:p>
    <w:p>
      <w:pPr>
        <w:pStyle w:val="Style6"/>
        <w:framePr w:wrap="none" w:vAnchor="page" w:hAnchor="page" w:x="1050" w:y="8441"/>
        <w:widowControl w:val="0"/>
        <w:keepNext w:val="0"/>
        <w:keepLines w:val="0"/>
        <w:shd w:val="clear" w:color="auto" w:fill="auto"/>
        <w:bidi w:val="0"/>
        <w:spacing w:before="0" w:after="0" w:line="212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Užívající osoby jsou součástí společnosti uživatele viz bod 3.2. VOP.</w:t>
      </w:r>
    </w:p>
    <w:p>
      <w:pPr>
        <w:pStyle w:val="Style4"/>
        <w:framePr w:w="10008" w:h="1930" w:hRule="exact" w:wrap="none" w:vAnchor="page" w:hAnchor="page" w:x="1050" w:y="941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B. Předplatné období a odměna</w:t>
      </w:r>
      <w:bookmarkEnd w:id="2"/>
    </w:p>
    <w:p>
      <w:pPr>
        <w:pStyle w:val="Style6"/>
        <w:framePr w:w="10008" w:h="1930" w:hRule="exact" w:wrap="none" w:vAnchor="page" w:hAnchor="page" w:x="1050" w:y="9418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Odměna se sjednává za celé období pilotního provozu od </w:t>
      </w:r>
      <w:r>
        <w:rPr>
          <w:rStyle w:val="CharStyle10"/>
        </w:rPr>
        <w:t xml:space="preserve">1.1. 2024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 </w:t>
      </w:r>
      <w:r>
        <w:rPr>
          <w:rStyle w:val="CharStyle10"/>
        </w:rPr>
        <w:t>31.12. 2024.</w:t>
      </w:r>
    </w:p>
    <w:p>
      <w:pPr>
        <w:pStyle w:val="Style6"/>
        <w:framePr w:w="10008" w:h="1930" w:hRule="exact" w:wrap="none" w:vAnchor="page" w:hAnchor="page" w:x="1050" w:y="9418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Odměna v průběhu pilotního provozu činí </w:t>
      </w:r>
      <w:r>
        <w:rPr>
          <w:rStyle w:val="CharStyle10"/>
        </w:rPr>
        <w:t xml:space="preserve">50 000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</w:t>
      </w:r>
      <w:r>
        <w:rPr>
          <w:rStyle w:val="CharStyle10"/>
        </w:rPr>
        <w:t xml:space="preserve">bez DPH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10"/>
        </w:rPr>
        <w:t xml:space="preserve">„odměna").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Uživatel se zavazuje zároveň s odměnou uhradit DPH v zákonné výši.</w:t>
      </w:r>
    </w:p>
    <w:p>
      <w:pPr>
        <w:pStyle w:val="Style6"/>
        <w:framePr w:w="10008" w:h="1930" w:hRule="exact" w:wrap="none" w:vAnchor="page" w:hAnchor="page" w:x="1050" w:y="9418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poskytne uživateli bezplatný přístup do Beck-online ve shora uvedeném rozsahu již před začátkem výše sjednaného období, a to předáním přihlašovacích údajů do Beck-online. Ostatní podmínky užívání Beck-online v období do 31.12. 2023 se řídí přiměřeně touto smlouvou.</w:t>
      </w:r>
    </w:p>
    <w:p>
      <w:pPr>
        <w:pStyle w:val="Style6"/>
        <w:framePr w:w="10008" w:h="270" w:hRule="exact" w:wrap="none" w:vAnchor="page" w:hAnchor="page" w:x="1050" w:y="16019"/>
        <w:widowControl w:val="0"/>
        <w:keepNext w:val="0"/>
        <w:keepLines w:val="0"/>
        <w:shd w:val="clear" w:color="auto" w:fill="auto"/>
        <w:bidi w:val="0"/>
        <w:jc w:val="center"/>
        <w:spacing w:before="0" w:after="0" w:line="212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3/3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9">
    <w:name w:val="Body text|3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Body text|2 + 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Header or footer|1"/>
    <w:basedOn w:val="Normal"/>
    <w:link w:val="CharStyle3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outlineLvl w:val="0"/>
      <w:spacing w:line="533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FFFFFF"/>
      <w:jc w:val="both"/>
      <w:spacing w:after="720" w:line="26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