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688" w:rsidRDefault="00C14688" w:rsidP="00C14688">
      <w:pPr>
        <w:rPr>
          <w:rFonts w:ascii="Arial" w:hAnsi="Arial" w:cs="Arial"/>
          <w:sz w:val="72"/>
          <w:szCs w:val="72"/>
        </w:rPr>
      </w:pPr>
      <w:r>
        <w:rPr>
          <w:rFonts w:ascii="Code 128 Notext" w:hAnsi="Code 128 Notext" w:cs="Arial" w:hint="eastAsia"/>
          <w:noProof/>
          <w:sz w:val="72"/>
          <w:szCs w:val="72"/>
        </w:rPr>
        <w:drawing>
          <wp:inline distT="0" distB="0" distL="0" distR="0" wp14:anchorId="714A08C0" wp14:editId="403E9C1F">
            <wp:extent cx="3253740" cy="306705"/>
            <wp:effectExtent l="0" t="0" r="0" b="0"/>
            <wp:docPr id="10000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191306" name=""/>
                    <pic:cNvPicPr>
                      <a:picLocks noChangeAspect="1"/>
                    </pic:cNvPicPr>
                  </pic:nvPicPr>
                  <pic:blipFill>
                    <a:blip r:embed="rId5"/>
                    <a:stretch>
                      <a:fillRect/>
                    </a:stretch>
                  </pic:blipFill>
                  <pic:spPr>
                    <a:xfrm>
                      <a:off x="0" y="0"/>
                      <a:ext cx="3253740" cy="306705"/>
                    </a:xfrm>
                    <a:prstGeom prst="rect">
                      <a:avLst/>
                    </a:prstGeom>
                  </pic:spPr>
                </pic:pic>
              </a:graphicData>
            </a:graphic>
          </wp:inline>
        </w:drawing>
      </w:r>
    </w:p>
    <w:p w:rsidR="00C14688" w:rsidRPr="008E2E34" w:rsidRDefault="00C14688" w:rsidP="00C14688">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Pr>
          <w:rFonts w:ascii="Arial" w:hAnsi="Arial" w:cs="Arial"/>
          <w:sz w:val="18"/>
          <w:szCs w:val="18"/>
        </w:rPr>
        <w:t>40201/P/2023-HSPH</w:t>
      </w:r>
      <w:r w:rsidRPr="008E2E34">
        <w:rPr>
          <w:rFonts w:ascii="Arial" w:hAnsi="Arial" w:cs="Arial"/>
          <w:sz w:val="18"/>
          <w:szCs w:val="18"/>
        </w:rPr>
        <w:fldChar w:fldCharType="end"/>
      </w:r>
      <w:r w:rsidRPr="008E2E34">
        <w:rPr>
          <w:rFonts w:ascii="Arial" w:hAnsi="Arial" w:cs="Arial"/>
          <w:sz w:val="18"/>
          <w:szCs w:val="18"/>
        </w:rPr>
        <w:t xml:space="preserve"> </w:t>
      </w:r>
    </w:p>
    <w:p w:rsidR="00C14688" w:rsidRPr="008E2E34" w:rsidRDefault="00C14688" w:rsidP="00C14688">
      <w:pPr>
        <w:pStyle w:val="Bezmezer"/>
        <w:rPr>
          <w:rFonts w:ascii="Arial" w:hAnsi="Arial" w:cs="Arial"/>
          <w:sz w:val="18"/>
          <w:szCs w:val="18"/>
        </w:rPr>
      </w:pPr>
      <w:r w:rsidRPr="008E2E34">
        <w:rPr>
          <w:rFonts w:ascii="Arial" w:hAnsi="Arial" w:cs="Arial"/>
          <w:sz w:val="18"/>
          <w:szCs w:val="18"/>
        </w:rPr>
        <w:t xml:space="preserve">Čj.: </w:t>
      </w:r>
      <w:r w:rsidRPr="008E2E34">
        <w:rPr>
          <w:rFonts w:ascii="Arial" w:hAnsi="Arial" w:cs="Arial"/>
          <w:sz w:val="18"/>
          <w:szCs w:val="18"/>
        </w:rPr>
        <w:fldChar w:fldCharType="begin"/>
      </w:r>
      <w:r w:rsidRPr="008E2E34">
        <w:rPr>
          <w:rFonts w:ascii="Arial" w:hAnsi="Arial" w:cs="Arial"/>
          <w:sz w:val="18"/>
          <w:szCs w:val="18"/>
        </w:rPr>
        <w:instrText xml:space="preserve"> DOCPROPERTY  KOD.KOD_CJ  \* MERGEFORMAT </w:instrText>
      </w:r>
      <w:r w:rsidRPr="008E2E34">
        <w:rPr>
          <w:rFonts w:ascii="Arial" w:hAnsi="Arial" w:cs="Arial"/>
          <w:sz w:val="18"/>
          <w:szCs w:val="18"/>
        </w:rPr>
        <w:fldChar w:fldCharType="separate"/>
      </w:r>
      <w:r w:rsidRPr="008E2E34">
        <w:rPr>
          <w:rFonts w:ascii="Arial" w:hAnsi="Arial" w:cs="Arial"/>
          <w:sz w:val="18"/>
          <w:szCs w:val="18"/>
        </w:rPr>
        <w:t>UZSVM/P/28384/2023-HSPH</w:t>
      </w:r>
      <w:r w:rsidRPr="008E2E34">
        <w:rPr>
          <w:rFonts w:ascii="Arial" w:hAnsi="Arial" w:cs="Arial"/>
          <w:sz w:val="18"/>
          <w:szCs w:val="18"/>
        </w:rPr>
        <w:fldChar w:fldCharType="end"/>
      </w:r>
    </w:p>
    <w:p w:rsidR="00C14688" w:rsidRDefault="00C14688" w:rsidP="00C14688">
      <w:pPr>
        <w:pStyle w:val="Default"/>
        <w:jc w:val="center"/>
        <w:rPr>
          <w:b/>
          <w:bCs/>
          <w:color w:val="auto"/>
          <w:sz w:val="28"/>
          <w:szCs w:val="28"/>
        </w:rPr>
      </w:pPr>
    </w:p>
    <w:p w:rsidR="00C14688" w:rsidRDefault="00C14688" w:rsidP="00C14688">
      <w:pPr>
        <w:pStyle w:val="Default"/>
        <w:jc w:val="center"/>
        <w:rPr>
          <w:b/>
          <w:bCs/>
          <w:color w:val="auto"/>
          <w:sz w:val="28"/>
          <w:szCs w:val="28"/>
        </w:rPr>
      </w:pPr>
      <w:r>
        <w:rPr>
          <w:b/>
          <w:bCs/>
          <w:color w:val="auto"/>
          <w:sz w:val="28"/>
          <w:szCs w:val="28"/>
        </w:rPr>
        <w:t xml:space="preserve">RÁMCOVÁ DOHODA </w:t>
      </w:r>
    </w:p>
    <w:p w:rsidR="00C14688" w:rsidRDefault="00C14688" w:rsidP="00C14688">
      <w:pPr>
        <w:pStyle w:val="Default"/>
        <w:spacing w:before="120"/>
        <w:jc w:val="center"/>
        <w:rPr>
          <w:b/>
          <w:bCs/>
          <w:color w:val="auto"/>
          <w:sz w:val="28"/>
          <w:szCs w:val="28"/>
        </w:rPr>
      </w:pPr>
      <w:r>
        <w:rPr>
          <w:b/>
          <w:bCs/>
          <w:color w:val="auto"/>
          <w:sz w:val="28"/>
          <w:szCs w:val="28"/>
        </w:rPr>
        <w:t xml:space="preserve">O ZPRACOVÁNÍ PRŮKAZU ENERGETICKÉ NÁROČNOSTI </w:t>
      </w:r>
    </w:p>
    <w:p w:rsidR="00C14688" w:rsidRPr="00132DDA" w:rsidRDefault="00C14688" w:rsidP="00C14688">
      <w:pPr>
        <w:pStyle w:val="Default"/>
        <w:spacing w:before="120"/>
        <w:jc w:val="center"/>
        <w:rPr>
          <w:color w:val="auto"/>
          <w:sz w:val="28"/>
          <w:szCs w:val="28"/>
        </w:rPr>
      </w:pPr>
      <w:r>
        <w:rPr>
          <w:b/>
          <w:bCs/>
          <w:color w:val="auto"/>
          <w:sz w:val="28"/>
          <w:szCs w:val="28"/>
        </w:rPr>
        <w:t xml:space="preserve">ÚZSVM ÚP Plzeň č. </w:t>
      </w:r>
      <w:r w:rsidRPr="00132DDA">
        <w:rPr>
          <w:b/>
          <w:bCs/>
          <w:color w:val="auto"/>
          <w:sz w:val="28"/>
          <w:szCs w:val="28"/>
        </w:rPr>
        <w:t>197/2023</w:t>
      </w:r>
    </w:p>
    <w:p w:rsidR="00C14688" w:rsidRPr="003A6BCA" w:rsidRDefault="00C14688" w:rsidP="00C14688">
      <w:pPr>
        <w:pStyle w:val="Default"/>
        <w:spacing w:before="120"/>
        <w:jc w:val="both"/>
        <w:rPr>
          <w:bCs/>
          <w:color w:val="auto"/>
          <w:sz w:val="22"/>
          <w:szCs w:val="22"/>
          <w:highlight w:val="yellow"/>
        </w:rPr>
      </w:pPr>
      <w:r w:rsidRPr="003A6BCA">
        <w:rPr>
          <w:bCs/>
          <w:color w:val="auto"/>
          <w:sz w:val="22"/>
          <w:szCs w:val="22"/>
        </w:rPr>
        <w:t>uzavřená dle ustanovení § 1746 odstavce 2 zákona č. 89/2012 Sb., občanský zákoník, ve znění pozdějších předpisů (dále jen „občanský zákoník“)</w:t>
      </w:r>
      <w:r w:rsidRPr="003A6BCA">
        <w:rPr>
          <w:color w:val="auto"/>
          <w:sz w:val="22"/>
          <w:szCs w:val="22"/>
        </w:rPr>
        <w:t xml:space="preserve"> na veřejnou zakázku s názvem </w:t>
      </w:r>
      <w:r w:rsidRPr="003A6BCA">
        <w:rPr>
          <w:b/>
          <w:color w:val="auto"/>
          <w:sz w:val="22"/>
          <w:szCs w:val="22"/>
        </w:rPr>
        <w:t>„Zpracování průkazu energetické náročnosti budov“</w:t>
      </w:r>
      <w:r w:rsidRPr="003A6BCA">
        <w:rPr>
          <w:color w:val="auto"/>
          <w:sz w:val="22"/>
          <w:szCs w:val="22"/>
        </w:rPr>
        <w:t xml:space="preserve"> (dále jen „veřejná zakázka“)</w:t>
      </w:r>
    </w:p>
    <w:p w:rsidR="00C14688" w:rsidRPr="003A6BCA" w:rsidRDefault="00C14688" w:rsidP="00C14688">
      <w:pPr>
        <w:keepNext/>
        <w:ind w:right="-57"/>
        <w:rPr>
          <w:rFonts w:ascii="Arial" w:hAnsi="Arial" w:cs="Arial"/>
          <w:b/>
          <w:sz w:val="22"/>
          <w:szCs w:val="22"/>
        </w:rPr>
      </w:pPr>
    </w:p>
    <w:p w:rsidR="00C14688" w:rsidRPr="003A6BCA" w:rsidRDefault="00C14688" w:rsidP="00C14688">
      <w:pPr>
        <w:keepNext/>
        <w:ind w:right="-57"/>
        <w:rPr>
          <w:rFonts w:ascii="Arial" w:hAnsi="Arial" w:cs="Arial"/>
          <w:b/>
          <w:sz w:val="22"/>
          <w:szCs w:val="22"/>
        </w:rPr>
      </w:pPr>
      <w:r w:rsidRPr="003A6BCA">
        <w:rPr>
          <w:rFonts w:ascii="Arial" w:hAnsi="Arial" w:cs="Arial"/>
          <w:b/>
          <w:sz w:val="22"/>
          <w:szCs w:val="22"/>
        </w:rPr>
        <w:t>Účastníci dohody:</w:t>
      </w:r>
    </w:p>
    <w:p w:rsidR="00C14688" w:rsidRPr="003A6BCA" w:rsidRDefault="00C14688" w:rsidP="00C14688">
      <w:pPr>
        <w:pStyle w:val="Default"/>
        <w:spacing w:before="120"/>
        <w:jc w:val="both"/>
        <w:rPr>
          <w:b/>
          <w:bCs/>
          <w:color w:val="auto"/>
          <w:sz w:val="22"/>
          <w:szCs w:val="22"/>
        </w:rPr>
      </w:pPr>
      <w:r w:rsidRPr="003A6BCA">
        <w:rPr>
          <w:b/>
          <w:bCs/>
          <w:color w:val="auto"/>
          <w:sz w:val="22"/>
          <w:szCs w:val="22"/>
        </w:rPr>
        <w:t>Zadavatel:</w:t>
      </w:r>
      <w:r w:rsidRPr="003A6BCA">
        <w:rPr>
          <w:b/>
          <w:bCs/>
          <w:color w:val="auto"/>
          <w:sz w:val="22"/>
          <w:szCs w:val="22"/>
        </w:rPr>
        <w:tab/>
      </w:r>
      <w:r w:rsidRPr="003A6BCA">
        <w:rPr>
          <w:b/>
          <w:bCs/>
          <w:color w:val="auto"/>
          <w:sz w:val="22"/>
          <w:szCs w:val="22"/>
        </w:rPr>
        <w:tab/>
      </w:r>
      <w:r w:rsidRPr="003A6BCA">
        <w:rPr>
          <w:b/>
          <w:bCs/>
          <w:color w:val="auto"/>
          <w:sz w:val="22"/>
          <w:szCs w:val="22"/>
        </w:rPr>
        <w:tab/>
        <w:t xml:space="preserve">Česká republika </w:t>
      </w:r>
    </w:p>
    <w:p w:rsidR="00C14688" w:rsidRPr="003A6BCA" w:rsidRDefault="00C14688" w:rsidP="00C14688">
      <w:pPr>
        <w:pStyle w:val="Default"/>
        <w:spacing w:before="120"/>
        <w:ind w:left="2126" w:firstLine="709"/>
        <w:contextualSpacing/>
        <w:jc w:val="both"/>
        <w:rPr>
          <w:color w:val="auto"/>
          <w:sz w:val="22"/>
          <w:szCs w:val="22"/>
        </w:rPr>
      </w:pPr>
      <w:r w:rsidRPr="003A6BCA">
        <w:rPr>
          <w:b/>
          <w:bCs/>
          <w:color w:val="auto"/>
          <w:sz w:val="22"/>
          <w:szCs w:val="22"/>
        </w:rPr>
        <w:t xml:space="preserve">– Úřad pro zastupování státu ve věcech majetkových </w:t>
      </w:r>
    </w:p>
    <w:p w:rsidR="00C14688" w:rsidRPr="003A6BCA" w:rsidRDefault="00C14688" w:rsidP="00C14688">
      <w:pPr>
        <w:widowControl w:val="0"/>
        <w:autoSpaceDE w:val="0"/>
        <w:autoSpaceDN w:val="0"/>
        <w:adjustRightInd w:val="0"/>
        <w:ind w:left="2832"/>
        <w:jc w:val="both"/>
        <w:rPr>
          <w:rFonts w:ascii="Arial" w:hAnsi="Arial" w:cs="Arial"/>
          <w:b/>
          <w:bCs/>
          <w:sz w:val="22"/>
          <w:szCs w:val="22"/>
        </w:rPr>
      </w:pPr>
      <w:r w:rsidRPr="003A6BCA">
        <w:rPr>
          <w:rFonts w:ascii="Arial" w:hAnsi="Arial" w:cs="Arial"/>
          <w:sz w:val="22"/>
          <w:szCs w:val="22"/>
        </w:rPr>
        <w:t xml:space="preserve">organizační složka státu zřízená zákonem č. 201/2002 Sb., </w:t>
      </w:r>
      <w:r w:rsidRPr="003A6BCA">
        <w:rPr>
          <w:rFonts w:ascii="Arial" w:hAnsi="Arial" w:cs="Arial"/>
          <w:bCs/>
          <w:sz w:val="22"/>
          <w:szCs w:val="22"/>
        </w:rPr>
        <w:t>o Úřadu pro zastupování státu ve věcech majetkových,</w:t>
      </w:r>
      <w:r w:rsidRPr="003A6BCA">
        <w:rPr>
          <w:rFonts w:ascii="Arial" w:eastAsia="Calibri" w:hAnsi="Arial" w:cs="Arial"/>
          <w:bCs/>
          <w:sz w:val="22"/>
          <w:szCs w:val="22"/>
        </w:rPr>
        <w:t xml:space="preserve"> ve znění pozdějších předpisů</w:t>
      </w:r>
    </w:p>
    <w:p w:rsidR="00C14688" w:rsidRPr="003A6BCA" w:rsidRDefault="00C14688" w:rsidP="00C14688">
      <w:pPr>
        <w:pStyle w:val="Default"/>
        <w:spacing w:before="120"/>
        <w:jc w:val="both"/>
        <w:rPr>
          <w:color w:val="auto"/>
          <w:sz w:val="22"/>
          <w:szCs w:val="22"/>
        </w:rPr>
      </w:pPr>
      <w:r w:rsidRPr="003A6BCA">
        <w:rPr>
          <w:color w:val="auto"/>
          <w:sz w:val="22"/>
          <w:szCs w:val="22"/>
        </w:rPr>
        <w:t>se sídlem:</w:t>
      </w:r>
      <w:r w:rsidRPr="003A6BCA">
        <w:rPr>
          <w:color w:val="auto"/>
          <w:sz w:val="22"/>
          <w:szCs w:val="22"/>
        </w:rPr>
        <w:tab/>
      </w:r>
      <w:r w:rsidRPr="003A6BCA">
        <w:rPr>
          <w:color w:val="auto"/>
          <w:sz w:val="22"/>
          <w:szCs w:val="22"/>
        </w:rPr>
        <w:tab/>
      </w:r>
      <w:r w:rsidRPr="003A6BCA">
        <w:rPr>
          <w:color w:val="auto"/>
          <w:sz w:val="22"/>
          <w:szCs w:val="22"/>
        </w:rPr>
        <w:tab/>
        <w:t>Rašínovo nábřeží 390/42, Nové Město, 128 00 Praha 2</w:t>
      </w:r>
    </w:p>
    <w:p w:rsidR="00C14688" w:rsidRPr="003A6BCA" w:rsidRDefault="00C14688" w:rsidP="00C14688">
      <w:pPr>
        <w:pStyle w:val="Default"/>
        <w:spacing w:before="120"/>
        <w:contextualSpacing/>
        <w:jc w:val="both"/>
        <w:rPr>
          <w:color w:val="auto"/>
          <w:sz w:val="22"/>
          <w:szCs w:val="22"/>
        </w:rPr>
      </w:pPr>
      <w:r w:rsidRPr="003A6BCA">
        <w:rPr>
          <w:color w:val="auto"/>
          <w:sz w:val="22"/>
          <w:szCs w:val="22"/>
        </w:rPr>
        <w:t>za kterého právně jedná:</w:t>
      </w:r>
      <w:r w:rsidRPr="003A6BCA">
        <w:rPr>
          <w:color w:val="auto"/>
          <w:sz w:val="22"/>
          <w:szCs w:val="22"/>
        </w:rPr>
        <w:tab/>
        <w:t>Mgr. Ing. Ladislav Nový, ředitel Územního pracoviště Plzeň</w:t>
      </w:r>
    </w:p>
    <w:p w:rsidR="00C14688" w:rsidRPr="003A6BCA" w:rsidRDefault="00C14688" w:rsidP="00C14688">
      <w:pPr>
        <w:pStyle w:val="Default"/>
        <w:spacing w:before="120"/>
        <w:contextualSpacing/>
        <w:jc w:val="both"/>
        <w:rPr>
          <w:color w:val="auto"/>
          <w:sz w:val="22"/>
          <w:szCs w:val="22"/>
        </w:rPr>
      </w:pPr>
      <w:r w:rsidRPr="003A6BCA">
        <w:rPr>
          <w:color w:val="auto"/>
          <w:sz w:val="22"/>
          <w:szCs w:val="22"/>
        </w:rPr>
        <w:t xml:space="preserve">IČO: </w:t>
      </w:r>
      <w:r w:rsidRPr="003A6BCA">
        <w:rPr>
          <w:color w:val="auto"/>
          <w:sz w:val="22"/>
          <w:szCs w:val="22"/>
        </w:rPr>
        <w:tab/>
      </w:r>
      <w:r w:rsidRPr="003A6BCA">
        <w:rPr>
          <w:color w:val="auto"/>
          <w:sz w:val="22"/>
          <w:szCs w:val="22"/>
        </w:rPr>
        <w:tab/>
      </w:r>
      <w:r w:rsidRPr="003A6BCA">
        <w:rPr>
          <w:color w:val="auto"/>
          <w:sz w:val="22"/>
          <w:szCs w:val="22"/>
        </w:rPr>
        <w:tab/>
      </w:r>
      <w:r w:rsidRPr="003A6BCA">
        <w:rPr>
          <w:color w:val="auto"/>
          <w:sz w:val="22"/>
          <w:szCs w:val="22"/>
        </w:rPr>
        <w:tab/>
        <w:t xml:space="preserve">69797111 </w:t>
      </w:r>
    </w:p>
    <w:p w:rsidR="00C14688" w:rsidRPr="003A6BCA" w:rsidRDefault="00C14688" w:rsidP="00C14688">
      <w:pPr>
        <w:pStyle w:val="Default"/>
        <w:spacing w:before="120"/>
        <w:contextualSpacing/>
        <w:jc w:val="both"/>
        <w:rPr>
          <w:color w:val="auto"/>
          <w:sz w:val="22"/>
          <w:szCs w:val="22"/>
        </w:rPr>
      </w:pPr>
      <w:r w:rsidRPr="003A6BCA">
        <w:rPr>
          <w:color w:val="auto"/>
          <w:sz w:val="22"/>
          <w:szCs w:val="22"/>
        </w:rPr>
        <w:t xml:space="preserve">DIČ: </w:t>
      </w:r>
      <w:r w:rsidRPr="003A6BCA">
        <w:rPr>
          <w:color w:val="auto"/>
          <w:sz w:val="22"/>
          <w:szCs w:val="22"/>
        </w:rPr>
        <w:tab/>
      </w:r>
      <w:r w:rsidRPr="003A6BCA">
        <w:rPr>
          <w:color w:val="auto"/>
          <w:sz w:val="22"/>
          <w:szCs w:val="22"/>
        </w:rPr>
        <w:tab/>
      </w:r>
      <w:r w:rsidR="00273744">
        <w:rPr>
          <w:color w:val="auto"/>
          <w:sz w:val="22"/>
          <w:szCs w:val="22"/>
        </w:rPr>
        <w:t xml:space="preserve">                       XXXXX</w:t>
      </w:r>
    </w:p>
    <w:p w:rsidR="00C14688" w:rsidRPr="003A6BCA" w:rsidRDefault="00C14688" w:rsidP="00C14688">
      <w:pPr>
        <w:pStyle w:val="Default"/>
        <w:spacing w:before="120"/>
        <w:ind w:left="1416" w:hanging="1416"/>
        <w:contextualSpacing/>
        <w:jc w:val="both"/>
        <w:rPr>
          <w:color w:val="auto"/>
          <w:sz w:val="22"/>
          <w:szCs w:val="22"/>
        </w:rPr>
      </w:pPr>
      <w:r w:rsidRPr="003A6BCA">
        <w:rPr>
          <w:color w:val="auto"/>
          <w:sz w:val="22"/>
          <w:szCs w:val="22"/>
        </w:rPr>
        <w:t>bankovní spojení:</w:t>
      </w:r>
      <w:r w:rsidRPr="003A6BCA">
        <w:rPr>
          <w:color w:val="auto"/>
          <w:sz w:val="22"/>
          <w:szCs w:val="22"/>
        </w:rPr>
        <w:tab/>
      </w:r>
      <w:r w:rsidRPr="003A6BCA">
        <w:rPr>
          <w:color w:val="auto"/>
          <w:sz w:val="22"/>
          <w:szCs w:val="22"/>
        </w:rPr>
        <w:tab/>
      </w:r>
      <w:r w:rsidR="00273744">
        <w:rPr>
          <w:color w:val="auto"/>
          <w:sz w:val="22"/>
          <w:szCs w:val="22"/>
        </w:rPr>
        <w:t>XXXXX</w:t>
      </w:r>
    </w:p>
    <w:p w:rsidR="00C14688" w:rsidRPr="003A6BCA" w:rsidRDefault="00C14688" w:rsidP="00C14688">
      <w:pPr>
        <w:pStyle w:val="Default"/>
        <w:spacing w:before="120"/>
        <w:jc w:val="both"/>
        <w:rPr>
          <w:color w:val="auto"/>
          <w:sz w:val="22"/>
          <w:szCs w:val="22"/>
        </w:rPr>
      </w:pPr>
      <w:r w:rsidRPr="003A6BCA">
        <w:rPr>
          <w:color w:val="auto"/>
          <w:sz w:val="22"/>
          <w:szCs w:val="22"/>
        </w:rPr>
        <w:t xml:space="preserve"> (dále jen „zadavatel“) </w:t>
      </w:r>
    </w:p>
    <w:p w:rsidR="00C14688" w:rsidRPr="007628D7" w:rsidRDefault="00C14688" w:rsidP="00C14688">
      <w:pPr>
        <w:pStyle w:val="Default"/>
        <w:spacing w:before="240"/>
        <w:jc w:val="both"/>
        <w:rPr>
          <w:color w:val="auto"/>
          <w:sz w:val="22"/>
          <w:szCs w:val="22"/>
        </w:rPr>
      </w:pPr>
      <w:r w:rsidRPr="003A6BCA">
        <w:rPr>
          <w:bCs/>
          <w:color w:val="auto"/>
          <w:sz w:val="22"/>
          <w:szCs w:val="22"/>
        </w:rPr>
        <w:t xml:space="preserve">a </w:t>
      </w:r>
    </w:p>
    <w:p w:rsidR="00C14688" w:rsidRPr="007628D7" w:rsidRDefault="00C14688" w:rsidP="00C14688">
      <w:pPr>
        <w:keepNext/>
        <w:spacing w:before="240"/>
        <w:rPr>
          <w:rFonts w:ascii="Arial" w:hAnsi="Arial" w:cs="Arial"/>
          <w:sz w:val="22"/>
          <w:szCs w:val="22"/>
        </w:rPr>
      </w:pPr>
      <w:r w:rsidRPr="007628D7">
        <w:rPr>
          <w:rFonts w:ascii="Arial" w:hAnsi="Arial" w:cs="Arial"/>
          <w:b/>
          <w:bCs/>
          <w:sz w:val="22"/>
          <w:szCs w:val="22"/>
        </w:rPr>
        <w:t>Dodavatel:</w:t>
      </w:r>
      <w:r w:rsidRPr="007628D7">
        <w:rPr>
          <w:rFonts w:ascii="Arial" w:hAnsi="Arial" w:cs="Arial"/>
          <w:b/>
          <w:bCs/>
          <w:sz w:val="22"/>
          <w:szCs w:val="22"/>
        </w:rPr>
        <w:tab/>
      </w:r>
      <w:r w:rsidRPr="007628D7">
        <w:rPr>
          <w:rFonts w:ascii="Arial" w:hAnsi="Arial" w:cs="Arial"/>
          <w:b/>
          <w:bCs/>
          <w:sz w:val="22"/>
          <w:szCs w:val="22"/>
        </w:rPr>
        <w:tab/>
      </w:r>
      <w:r w:rsidRPr="007628D7">
        <w:rPr>
          <w:rFonts w:ascii="Arial" w:hAnsi="Arial" w:cs="Arial"/>
          <w:b/>
          <w:bCs/>
          <w:sz w:val="22"/>
          <w:szCs w:val="22"/>
        </w:rPr>
        <w:tab/>
      </w:r>
    </w:p>
    <w:p w:rsidR="00C14688" w:rsidRPr="007628D7" w:rsidRDefault="00C14688" w:rsidP="00C14688">
      <w:pPr>
        <w:pStyle w:val="Default"/>
        <w:jc w:val="both"/>
        <w:rPr>
          <w:color w:val="auto"/>
          <w:sz w:val="22"/>
          <w:szCs w:val="22"/>
        </w:rPr>
      </w:pPr>
      <w:r w:rsidRPr="007628D7">
        <w:rPr>
          <w:color w:val="auto"/>
          <w:sz w:val="22"/>
          <w:szCs w:val="22"/>
        </w:rPr>
        <w:t xml:space="preserve">(pro Plzeňský a </w:t>
      </w:r>
      <w:r w:rsidRPr="007628D7">
        <w:rPr>
          <w:bCs/>
          <w:color w:val="auto"/>
          <w:sz w:val="22"/>
          <w:szCs w:val="22"/>
        </w:rPr>
        <w:t>Karlovarský</w:t>
      </w:r>
      <w:r w:rsidRPr="007628D7">
        <w:rPr>
          <w:color w:val="auto"/>
          <w:sz w:val="22"/>
          <w:szCs w:val="22"/>
        </w:rPr>
        <w:t xml:space="preserve"> kraj)</w:t>
      </w:r>
      <w:r>
        <w:rPr>
          <w:color w:val="auto"/>
          <w:sz w:val="22"/>
          <w:szCs w:val="22"/>
        </w:rPr>
        <w:t xml:space="preserve">: </w:t>
      </w:r>
      <w:proofErr w:type="spellStart"/>
      <w:r>
        <w:rPr>
          <w:color w:val="auto"/>
          <w:sz w:val="22"/>
          <w:szCs w:val="22"/>
        </w:rPr>
        <w:t>oekoplan</w:t>
      </w:r>
      <w:proofErr w:type="spellEnd"/>
      <w:r>
        <w:rPr>
          <w:color w:val="auto"/>
          <w:sz w:val="22"/>
          <w:szCs w:val="22"/>
        </w:rPr>
        <w:t xml:space="preserve"> Czech Republic s.r.o.</w:t>
      </w:r>
    </w:p>
    <w:p w:rsidR="00C14688" w:rsidRPr="007628D7" w:rsidRDefault="00C14688" w:rsidP="00C14688">
      <w:pPr>
        <w:pStyle w:val="Default"/>
        <w:spacing w:before="120"/>
        <w:jc w:val="both"/>
        <w:rPr>
          <w:bCs/>
          <w:color w:val="auto"/>
          <w:sz w:val="22"/>
          <w:szCs w:val="22"/>
        </w:rPr>
      </w:pPr>
      <w:r w:rsidRPr="007628D7">
        <w:rPr>
          <w:color w:val="auto"/>
          <w:sz w:val="22"/>
          <w:szCs w:val="22"/>
        </w:rPr>
        <w:t>se sídlem:</w:t>
      </w:r>
      <w:r w:rsidRPr="007628D7">
        <w:rPr>
          <w:color w:val="auto"/>
          <w:sz w:val="22"/>
          <w:szCs w:val="22"/>
        </w:rPr>
        <w:tab/>
      </w:r>
      <w:r>
        <w:rPr>
          <w:color w:val="auto"/>
          <w:sz w:val="22"/>
          <w:szCs w:val="22"/>
        </w:rPr>
        <w:t xml:space="preserve">                                Rašínova 103/2, 602 00 Brno</w:t>
      </w:r>
      <w:r w:rsidRPr="007628D7">
        <w:rPr>
          <w:color w:val="auto"/>
          <w:sz w:val="22"/>
          <w:szCs w:val="22"/>
        </w:rPr>
        <w:tab/>
      </w:r>
      <w:r w:rsidRPr="007628D7">
        <w:rPr>
          <w:color w:val="auto"/>
          <w:sz w:val="22"/>
          <w:szCs w:val="22"/>
        </w:rPr>
        <w:tab/>
      </w:r>
    </w:p>
    <w:p w:rsidR="00C14688" w:rsidRPr="007628D7" w:rsidRDefault="00C14688" w:rsidP="00C14688">
      <w:pPr>
        <w:pStyle w:val="Default"/>
        <w:jc w:val="both"/>
        <w:rPr>
          <w:color w:val="auto"/>
          <w:sz w:val="22"/>
          <w:szCs w:val="22"/>
        </w:rPr>
      </w:pPr>
      <w:r w:rsidRPr="007628D7">
        <w:rPr>
          <w:color w:val="auto"/>
          <w:sz w:val="22"/>
          <w:szCs w:val="22"/>
        </w:rPr>
        <w:t>zastoupený:</w:t>
      </w:r>
      <w:r w:rsidRPr="007628D7">
        <w:rPr>
          <w:color w:val="auto"/>
          <w:sz w:val="22"/>
          <w:szCs w:val="22"/>
        </w:rPr>
        <w:tab/>
      </w:r>
      <w:r>
        <w:rPr>
          <w:color w:val="auto"/>
          <w:sz w:val="22"/>
          <w:szCs w:val="22"/>
        </w:rPr>
        <w:t xml:space="preserve">                                Ing. Bruno </w:t>
      </w:r>
      <w:proofErr w:type="spellStart"/>
      <w:r>
        <w:rPr>
          <w:color w:val="auto"/>
          <w:sz w:val="22"/>
          <w:szCs w:val="22"/>
        </w:rPr>
        <w:t>Vallance</w:t>
      </w:r>
      <w:proofErr w:type="spellEnd"/>
      <w:r>
        <w:rPr>
          <w:color w:val="auto"/>
          <w:sz w:val="22"/>
          <w:szCs w:val="22"/>
        </w:rPr>
        <w:t xml:space="preserve">, ředitel a jednatel </w:t>
      </w:r>
      <w:r w:rsidRPr="007628D7">
        <w:rPr>
          <w:color w:val="auto"/>
          <w:sz w:val="22"/>
          <w:szCs w:val="22"/>
        </w:rPr>
        <w:tab/>
      </w:r>
      <w:r w:rsidRPr="007628D7">
        <w:rPr>
          <w:color w:val="auto"/>
          <w:sz w:val="22"/>
          <w:szCs w:val="22"/>
        </w:rPr>
        <w:tab/>
      </w:r>
    </w:p>
    <w:p w:rsidR="00C14688" w:rsidRPr="007628D7" w:rsidRDefault="00C14688" w:rsidP="00C14688">
      <w:pPr>
        <w:pStyle w:val="Default"/>
        <w:jc w:val="both"/>
        <w:rPr>
          <w:color w:val="auto"/>
          <w:sz w:val="22"/>
          <w:szCs w:val="22"/>
        </w:rPr>
      </w:pPr>
      <w:proofErr w:type="gramStart"/>
      <w:r w:rsidRPr="007628D7">
        <w:rPr>
          <w:color w:val="auto"/>
          <w:sz w:val="22"/>
          <w:szCs w:val="22"/>
        </w:rPr>
        <w:t xml:space="preserve">IČO: </w:t>
      </w:r>
      <w:r>
        <w:rPr>
          <w:color w:val="auto"/>
          <w:sz w:val="22"/>
          <w:szCs w:val="22"/>
        </w:rPr>
        <w:t xml:space="preserve">  </w:t>
      </w:r>
      <w:proofErr w:type="gramEnd"/>
      <w:r>
        <w:rPr>
          <w:color w:val="auto"/>
          <w:sz w:val="22"/>
          <w:szCs w:val="22"/>
        </w:rPr>
        <w:t xml:space="preserve">                                             253 31 299</w:t>
      </w:r>
      <w:r w:rsidRPr="007628D7">
        <w:rPr>
          <w:color w:val="auto"/>
          <w:sz w:val="22"/>
          <w:szCs w:val="22"/>
        </w:rPr>
        <w:tab/>
      </w:r>
      <w:r w:rsidRPr="007628D7">
        <w:rPr>
          <w:color w:val="auto"/>
          <w:sz w:val="22"/>
          <w:szCs w:val="22"/>
        </w:rPr>
        <w:tab/>
      </w:r>
      <w:r w:rsidRPr="007628D7">
        <w:rPr>
          <w:color w:val="auto"/>
          <w:sz w:val="22"/>
          <w:szCs w:val="22"/>
        </w:rPr>
        <w:tab/>
      </w:r>
    </w:p>
    <w:p w:rsidR="00C14688" w:rsidRPr="007628D7" w:rsidRDefault="00C14688" w:rsidP="00C14688">
      <w:pPr>
        <w:pStyle w:val="Default"/>
        <w:jc w:val="both"/>
        <w:rPr>
          <w:color w:val="auto"/>
          <w:sz w:val="22"/>
          <w:szCs w:val="22"/>
        </w:rPr>
      </w:pPr>
      <w:r w:rsidRPr="007628D7">
        <w:rPr>
          <w:color w:val="auto"/>
          <w:sz w:val="22"/>
          <w:szCs w:val="22"/>
        </w:rPr>
        <w:t xml:space="preserve">DIČ: </w:t>
      </w:r>
      <w:r w:rsidRPr="007628D7">
        <w:rPr>
          <w:color w:val="auto"/>
          <w:sz w:val="22"/>
          <w:szCs w:val="22"/>
        </w:rPr>
        <w:tab/>
      </w:r>
      <w:r>
        <w:rPr>
          <w:color w:val="auto"/>
          <w:sz w:val="22"/>
          <w:szCs w:val="22"/>
        </w:rPr>
        <w:t xml:space="preserve">                                            </w:t>
      </w:r>
      <w:r w:rsidR="00273744">
        <w:rPr>
          <w:color w:val="auto"/>
          <w:sz w:val="22"/>
          <w:szCs w:val="22"/>
        </w:rPr>
        <w:t>XXXXX</w:t>
      </w:r>
      <w:r w:rsidRPr="007628D7">
        <w:rPr>
          <w:color w:val="auto"/>
          <w:sz w:val="22"/>
          <w:szCs w:val="22"/>
        </w:rPr>
        <w:tab/>
      </w:r>
      <w:r w:rsidRPr="007628D7">
        <w:rPr>
          <w:color w:val="auto"/>
          <w:sz w:val="22"/>
          <w:szCs w:val="22"/>
        </w:rPr>
        <w:tab/>
      </w:r>
    </w:p>
    <w:p w:rsidR="00C14688" w:rsidRPr="007628D7" w:rsidRDefault="00C14688" w:rsidP="00C14688">
      <w:pPr>
        <w:pStyle w:val="Default"/>
        <w:jc w:val="both"/>
        <w:rPr>
          <w:rStyle w:val="Siln"/>
          <w:b w:val="0"/>
          <w:color w:val="auto"/>
          <w:sz w:val="22"/>
          <w:szCs w:val="22"/>
        </w:rPr>
      </w:pPr>
      <w:r w:rsidRPr="007628D7">
        <w:rPr>
          <w:color w:val="auto"/>
          <w:sz w:val="22"/>
          <w:szCs w:val="22"/>
        </w:rPr>
        <w:t>bankovní spojení:</w:t>
      </w:r>
      <w:r>
        <w:rPr>
          <w:color w:val="auto"/>
          <w:sz w:val="22"/>
          <w:szCs w:val="22"/>
        </w:rPr>
        <w:t xml:space="preserve"> </w:t>
      </w:r>
      <w:proofErr w:type="spellStart"/>
      <w:r>
        <w:rPr>
          <w:color w:val="auto"/>
          <w:sz w:val="22"/>
          <w:szCs w:val="22"/>
        </w:rPr>
        <w:t>Fio</w:t>
      </w:r>
      <w:proofErr w:type="spellEnd"/>
      <w:r>
        <w:rPr>
          <w:color w:val="auto"/>
          <w:sz w:val="22"/>
          <w:szCs w:val="22"/>
        </w:rPr>
        <w:t xml:space="preserve"> banka, a.s., č. účtu: </w:t>
      </w:r>
      <w:r w:rsidR="00273744">
        <w:rPr>
          <w:color w:val="auto"/>
          <w:sz w:val="22"/>
          <w:szCs w:val="22"/>
        </w:rPr>
        <w:t>XXXXX</w:t>
      </w:r>
      <w:r w:rsidRPr="007628D7">
        <w:rPr>
          <w:color w:val="auto"/>
          <w:sz w:val="22"/>
          <w:szCs w:val="22"/>
        </w:rPr>
        <w:tab/>
      </w:r>
      <w:r w:rsidRPr="007628D7">
        <w:rPr>
          <w:color w:val="auto"/>
          <w:sz w:val="22"/>
          <w:szCs w:val="22"/>
        </w:rPr>
        <w:tab/>
      </w:r>
    </w:p>
    <w:p w:rsidR="00C14688" w:rsidRPr="0063219F" w:rsidRDefault="00C14688" w:rsidP="00C14688">
      <w:pPr>
        <w:pStyle w:val="Default"/>
        <w:jc w:val="both"/>
        <w:rPr>
          <w:b/>
          <w:bCs/>
          <w:color w:val="auto"/>
          <w:sz w:val="22"/>
          <w:szCs w:val="22"/>
        </w:rPr>
      </w:pPr>
      <w:r>
        <w:rPr>
          <w:color w:val="auto"/>
          <w:sz w:val="22"/>
          <w:szCs w:val="22"/>
        </w:rPr>
        <w:t>zapsán v obchodním rejstříku, vedeném Krajským soudem v Brně, oddíl C, vložka 26493</w:t>
      </w:r>
    </w:p>
    <w:p w:rsidR="00C14688" w:rsidRPr="003A6BCA" w:rsidRDefault="00C14688" w:rsidP="00C14688">
      <w:pPr>
        <w:pStyle w:val="Default"/>
        <w:spacing w:before="120"/>
        <w:ind w:firstLine="708"/>
        <w:jc w:val="both"/>
        <w:rPr>
          <w:i/>
          <w:color w:val="auto"/>
          <w:sz w:val="22"/>
          <w:szCs w:val="22"/>
        </w:rPr>
      </w:pPr>
      <w:r w:rsidRPr="003A6BCA">
        <w:rPr>
          <w:bCs/>
          <w:i/>
          <w:color w:val="auto"/>
          <w:sz w:val="22"/>
          <w:szCs w:val="22"/>
        </w:rPr>
        <w:t>adresa pro zadávání objednávek:</w:t>
      </w:r>
      <w:r>
        <w:rPr>
          <w:bCs/>
          <w:i/>
          <w:color w:val="auto"/>
          <w:sz w:val="22"/>
          <w:szCs w:val="22"/>
        </w:rPr>
        <w:t xml:space="preserve"> </w:t>
      </w:r>
      <w:r w:rsidR="00273744">
        <w:rPr>
          <w:bCs/>
          <w:i/>
          <w:color w:val="auto"/>
          <w:sz w:val="22"/>
          <w:szCs w:val="22"/>
        </w:rPr>
        <w:t>XXXXX</w:t>
      </w:r>
      <w:bookmarkStart w:id="0" w:name="_GoBack"/>
      <w:bookmarkEnd w:id="0"/>
      <w:r w:rsidRPr="003A6BCA">
        <w:rPr>
          <w:bCs/>
          <w:i/>
          <w:color w:val="auto"/>
          <w:sz w:val="22"/>
          <w:szCs w:val="22"/>
        </w:rPr>
        <w:tab/>
      </w:r>
    </w:p>
    <w:p w:rsidR="00C14688" w:rsidRPr="003A6BCA" w:rsidRDefault="00C14688" w:rsidP="00C14688">
      <w:pPr>
        <w:shd w:val="clear" w:color="auto" w:fill="FFFFFF"/>
        <w:ind w:firstLine="708"/>
        <w:rPr>
          <w:rFonts w:ascii="Arial" w:hAnsi="Arial" w:cs="Arial"/>
          <w:i/>
          <w:sz w:val="22"/>
          <w:szCs w:val="22"/>
        </w:rPr>
      </w:pPr>
      <w:r w:rsidRPr="003A6BCA">
        <w:rPr>
          <w:rFonts w:ascii="Arial" w:hAnsi="Arial" w:cs="Arial"/>
          <w:bCs/>
          <w:i/>
          <w:sz w:val="22"/>
          <w:szCs w:val="22"/>
        </w:rPr>
        <w:t>e-mail pro zadávání objednávek:</w:t>
      </w:r>
      <w:r>
        <w:rPr>
          <w:rFonts w:ascii="Arial" w:hAnsi="Arial" w:cs="Arial"/>
          <w:bCs/>
          <w:i/>
          <w:sz w:val="22"/>
          <w:szCs w:val="22"/>
        </w:rPr>
        <w:t xml:space="preserve"> </w:t>
      </w:r>
      <w:r w:rsidR="00273744">
        <w:rPr>
          <w:rFonts w:ascii="Arial" w:hAnsi="Arial" w:cs="Arial"/>
          <w:bCs/>
          <w:i/>
          <w:sz w:val="22"/>
          <w:szCs w:val="22"/>
        </w:rPr>
        <w:t>XXXXXX</w:t>
      </w:r>
      <w:r w:rsidRPr="003A6BCA">
        <w:rPr>
          <w:rFonts w:ascii="Arial" w:hAnsi="Arial" w:cs="Arial"/>
          <w:bCs/>
          <w:i/>
          <w:sz w:val="22"/>
          <w:szCs w:val="22"/>
        </w:rPr>
        <w:tab/>
      </w:r>
    </w:p>
    <w:p w:rsidR="00C14688" w:rsidRPr="003A6BCA" w:rsidRDefault="00C14688" w:rsidP="00C14688">
      <w:pPr>
        <w:shd w:val="clear" w:color="auto" w:fill="FFFFFF"/>
        <w:ind w:firstLine="708"/>
        <w:rPr>
          <w:rFonts w:ascii="Arial" w:hAnsi="Arial" w:cs="Arial"/>
          <w:i/>
          <w:sz w:val="22"/>
          <w:szCs w:val="22"/>
        </w:rPr>
      </w:pPr>
      <w:r w:rsidRPr="003A6BCA">
        <w:rPr>
          <w:rFonts w:ascii="Arial" w:hAnsi="Arial" w:cs="Arial"/>
          <w:bCs/>
          <w:i/>
          <w:sz w:val="22"/>
          <w:szCs w:val="22"/>
        </w:rPr>
        <w:t>kontaktní osoba ve věci plnění rámcové dohody:</w:t>
      </w:r>
      <w:r>
        <w:rPr>
          <w:rFonts w:ascii="Arial" w:hAnsi="Arial" w:cs="Arial"/>
          <w:bCs/>
          <w:i/>
          <w:sz w:val="22"/>
          <w:szCs w:val="22"/>
        </w:rPr>
        <w:t xml:space="preserve"> </w:t>
      </w:r>
      <w:r w:rsidR="00273744">
        <w:rPr>
          <w:rFonts w:ascii="Arial" w:hAnsi="Arial" w:cs="Arial"/>
          <w:bCs/>
          <w:i/>
          <w:sz w:val="22"/>
          <w:szCs w:val="22"/>
        </w:rPr>
        <w:t>XXXXX</w:t>
      </w:r>
      <w:r w:rsidRPr="003A6BCA">
        <w:rPr>
          <w:rFonts w:ascii="Arial" w:hAnsi="Arial" w:cs="Arial"/>
          <w:bCs/>
          <w:i/>
          <w:sz w:val="22"/>
          <w:szCs w:val="22"/>
        </w:rPr>
        <w:tab/>
      </w:r>
    </w:p>
    <w:p w:rsidR="00C14688" w:rsidRPr="003A6BCA" w:rsidRDefault="00C14688" w:rsidP="00C14688">
      <w:pPr>
        <w:shd w:val="clear" w:color="auto" w:fill="FFFFFF"/>
        <w:ind w:left="4248" w:firstLine="708"/>
        <w:rPr>
          <w:rFonts w:ascii="Arial" w:hAnsi="Arial" w:cs="Arial"/>
          <w:i/>
          <w:sz w:val="22"/>
          <w:szCs w:val="22"/>
        </w:rPr>
      </w:pPr>
      <w:r w:rsidRPr="003A6BCA">
        <w:rPr>
          <w:rFonts w:ascii="Arial" w:hAnsi="Arial" w:cs="Arial"/>
          <w:bCs/>
          <w:i/>
          <w:sz w:val="22"/>
          <w:szCs w:val="22"/>
        </w:rPr>
        <w:t xml:space="preserve">e-mail: </w:t>
      </w:r>
      <w:r w:rsidR="00273744">
        <w:rPr>
          <w:rFonts w:ascii="Arial" w:hAnsi="Arial" w:cs="Arial"/>
          <w:bCs/>
          <w:i/>
          <w:sz w:val="22"/>
          <w:szCs w:val="22"/>
        </w:rPr>
        <w:t>XXXXX</w:t>
      </w:r>
    </w:p>
    <w:p w:rsidR="00C14688" w:rsidRPr="003A6BCA" w:rsidRDefault="00C14688" w:rsidP="00C14688">
      <w:pPr>
        <w:shd w:val="clear" w:color="auto" w:fill="FFFFFF"/>
        <w:tabs>
          <w:tab w:val="left" w:pos="4253"/>
        </w:tabs>
        <w:ind w:left="2832"/>
        <w:rPr>
          <w:rFonts w:ascii="Arial" w:hAnsi="Arial" w:cs="Arial"/>
          <w:bCs/>
          <w:i/>
          <w:sz w:val="22"/>
          <w:szCs w:val="22"/>
        </w:rPr>
      </w:pPr>
      <w:r w:rsidRPr="003A6BCA">
        <w:rPr>
          <w:rFonts w:ascii="Arial" w:hAnsi="Arial" w:cs="Arial"/>
          <w:bCs/>
          <w:i/>
          <w:sz w:val="22"/>
          <w:szCs w:val="22"/>
        </w:rPr>
        <w:tab/>
      </w:r>
      <w:r w:rsidRPr="003A6BCA">
        <w:rPr>
          <w:rFonts w:ascii="Arial" w:hAnsi="Arial" w:cs="Arial"/>
          <w:bCs/>
          <w:i/>
          <w:sz w:val="22"/>
          <w:szCs w:val="22"/>
        </w:rPr>
        <w:tab/>
        <w:t xml:space="preserve">tel.: </w:t>
      </w:r>
      <w:r w:rsidR="00273744">
        <w:rPr>
          <w:rFonts w:ascii="Arial" w:hAnsi="Arial" w:cs="Arial"/>
          <w:bCs/>
          <w:i/>
          <w:sz w:val="22"/>
          <w:szCs w:val="22"/>
        </w:rPr>
        <w:t>XXXXX</w:t>
      </w:r>
    </w:p>
    <w:p w:rsidR="00C14688" w:rsidRPr="003A6BCA" w:rsidRDefault="00C14688" w:rsidP="00C14688">
      <w:pPr>
        <w:pStyle w:val="Default"/>
        <w:spacing w:before="120"/>
        <w:jc w:val="both"/>
        <w:rPr>
          <w:color w:val="auto"/>
          <w:sz w:val="22"/>
          <w:szCs w:val="22"/>
        </w:rPr>
      </w:pPr>
      <w:r>
        <w:rPr>
          <w:color w:val="auto"/>
          <w:sz w:val="22"/>
          <w:szCs w:val="22"/>
        </w:rPr>
        <w:t xml:space="preserve"> (zadavatel a dodavatel</w:t>
      </w:r>
      <w:r w:rsidRPr="003A6BCA">
        <w:rPr>
          <w:color w:val="auto"/>
          <w:sz w:val="22"/>
          <w:szCs w:val="22"/>
        </w:rPr>
        <w:t xml:space="preserve"> dále společně také jako „</w:t>
      </w:r>
      <w:r w:rsidRPr="003A6BCA">
        <w:rPr>
          <w:bCs/>
          <w:color w:val="auto"/>
          <w:sz w:val="22"/>
          <w:szCs w:val="22"/>
        </w:rPr>
        <w:t>účastníci dohody</w:t>
      </w:r>
      <w:r w:rsidRPr="003A6BCA">
        <w:rPr>
          <w:color w:val="auto"/>
          <w:sz w:val="22"/>
          <w:szCs w:val="22"/>
        </w:rPr>
        <w:t>“)</w:t>
      </w:r>
    </w:p>
    <w:p w:rsidR="00C14688" w:rsidRPr="003A6BCA" w:rsidRDefault="00C14688" w:rsidP="00C14688">
      <w:pPr>
        <w:pStyle w:val="Default"/>
        <w:jc w:val="both"/>
        <w:rPr>
          <w:color w:val="auto"/>
          <w:sz w:val="22"/>
          <w:szCs w:val="22"/>
        </w:rPr>
      </w:pPr>
    </w:p>
    <w:p w:rsidR="00C14688" w:rsidRPr="007628D7" w:rsidRDefault="00C14688" w:rsidP="00C14688">
      <w:pPr>
        <w:pStyle w:val="Default"/>
        <w:spacing w:before="120"/>
        <w:jc w:val="both"/>
        <w:rPr>
          <w:bCs/>
          <w:color w:val="auto"/>
          <w:sz w:val="22"/>
          <w:szCs w:val="22"/>
        </w:rPr>
      </w:pPr>
      <w:r w:rsidRPr="003A6BCA">
        <w:rPr>
          <w:color w:val="auto"/>
          <w:sz w:val="22"/>
          <w:szCs w:val="22"/>
        </w:rPr>
        <w:t xml:space="preserve">uzavírají níže uvedeného dne, měsíce a roku Rámcovou dohodu o zpracování průkazu energetické náročnosti ÚZSVM </w:t>
      </w:r>
      <w:r w:rsidRPr="003A6BCA">
        <w:rPr>
          <w:bCs/>
          <w:color w:val="auto"/>
          <w:sz w:val="22"/>
          <w:szCs w:val="22"/>
        </w:rPr>
        <w:t xml:space="preserve">ÚP </w:t>
      </w:r>
      <w:r w:rsidRPr="00A95AF7">
        <w:rPr>
          <w:bCs/>
          <w:color w:val="auto"/>
          <w:sz w:val="22"/>
          <w:szCs w:val="22"/>
        </w:rPr>
        <w:t xml:space="preserve">Plzeň č. 197/2023 </w:t>
      </w:r>
      <w:r w:rsidRPr="00A95AF7">
        <w:rPr>
          <w:color w:val="auto"/>
          <w:sz w:val="22"/>
          <w:szCs w:val="22"/>
        </w:rPr>
        <w:t>(</w:t>
      </w:r>
      <w:r w:rsidRPr="003A6BCA">
        <w:rPr>
          <w:color w:val="auto"/>
          <w:sz w:val="22"/>
          <w:szCs w:val="22"/>
        </w:rPr>
        <w:t>dále jen „rámcová dohoda“ nebo jen „dohoda“)</w:t>
      </w:r>
      <w:r>
        <w:rPr>
          <w:color w:val="auto"/>
          <w:sz w:val="22"/>
          <w:szCs w:val="22"/>
        </w:rPr>
        <w:t>,</w:t>
      </w:r>
      <w:r w:rsidRPr="003A6BCA">
        <w:rPr>
          <w:color w:val="auto"/>
          <w:sz w:val="22"/>
          <w:szCs w:val="22"/>
        </w:rPr>
        <w:t xml:space="preserve"> tohoto znění: </w:t>
      </w:r>
    </w:p>
    <w:p w:rsidR="00C14688" w:rsidRDefault="00C14688" w:rsidP="00C14688">
      <w:pPr>
        <w:pStyle w:val="Default"/>
        <w:tabs>
          <w:tab w:val="center" w:pos="4748"/>
          <w:tab w:val="left" w:pos="5355"/>
        </w:tabs>
        <w:spacing w:before="360"/>
        <w:jc w:val="center"/>
        <w:rPr>
          <w:b/>
          <w:bCs/>
          <w:color w:val="auto"/>
          <w:sz w:val="22"/>
          <w:szCs w:val="22"/>
        </w:rPr>
      </w:pPr>
    </w:p>
    <w:p w:rsidR="00C14688" w:rsidRDefault="00C14688" w:rsidP="00C14688">
      <w:pPr>
        <w:pStyle w:val="Default"/>
        <w:tabs>
          <w:tab w:val="center" w:pos="4748"/>
          <w:tab w:val="left" w:pos="5355"/>
        </w:tabs>
        <w:spacing w:before="360"/>
        <w:jc w:val="center"/>
        <w:rPr>
          <w:b/>
          <w:bCs/>
          <w:color w:val="auto"/>
          <w:sz w:val="22"/>
          <w:szCs w:val="22"/>
        </w:rPr>
      </w:pPr>
    </w:p>
    <w:p w:rsidR="00C14688" w:rsidRDefault="00C14688" w:rsidP="00C14688">
      <w:pPr>
        <w:pStyle w:val="Default"/>
        <w:tabs>
          <w:tab w:val="center" w:pos="4748"/>
          <w:tab w:val="left" w:pos="5355"/>
        </w:tabs>
        <w:spacing w:before="360"/>
        <w:jc w:val="center"/>
        <w:rPr>
          <w:b/>
          <w:bCs/>
          <w:color w:val="auto"/>
          <w:sz w:val="22"/>
          <w:szCs w:val="22"/>
        </w:rPr>
      </w:pPr>
    </w:p>
    <w:p w:rsidR="00C14688" w:rsidRPr="003A6BCA" w:rsidRDefault="00C14688" w:rsidP="00C14688">
      <w:pPr>
        <w:pStyle w:val="Default"/>
        <w:tabs>
          <w:tab w:val="center" w:pos="4748"/>
          <w:tab w:val="left" w:pos="5355"/>
        </w:tabs>
        <w:spacing w:before="360"/>
        <w:jc w:val="center"/>
        <w:rPr>
          <w:color w:val="auto"/>
          <w:sz w:val="22"/>
          <w:szCs w:val="22"/>
        </w:rPr>
      </w:pPr>
      <w:r w:rsidRPr="003A6BCA">
        <w:rPr>
          <w:b/>
          <w:bCs/>
          <w:color w:val="auto"/>
          <w:sz w:val="22"/>
          <w:szCs w:val="22"/>
        </w:rPr>
        <w:lastRenderedPageBreak/>
        <w:t xml:space="preserve">Čl. </w:t>
      </w:r>
      <w:r>
        <w:rPr>
          <w:b/>
          <w:bCs/>
          <w:color w:val="auto"/>
          <w:sz w:val="22"/>
          <w:szCs w:val="22"/>
        </w:rPr>
        <w:t>I.</w:t>
      </w:r>
    </w:p>
    <w:p w:rsidR="00C14688" w:rsidRPr="003A6BCA" w:rsidRDefault="00C14688" w:rsidP="00C14688">
      <w:pPr>
        <w:pStyle w:val="Default"/>
        <w:spacing w:after="240"/>
        <w:jc w:val="center"/>
        <w:rPr>
          <w:color w:val="auto"/>
          <w:sz w:val="22"/>
          <w:szCs w:val="22"/>
        </w:rPr>
      </w:pPr>
      <w:r w:rsidRPr="003A6BCA">
        <w:rPr>
          <w:b/>
          <w:bCs/>
          <w:color w:val="auto"/>
          <w:sz w:val="22"/>
          <w:szCs w:val="22"/>
        </w:rPr>
        <w:t>Úvodní ustanovení</w:t>
      </w:r>
    </w:p>
    <w:p w:rsidR="00C14688" w:rsidRPr="003A6BCA" w:rsidRDefault="00C14688" w:rsidP="00C14688">
      <w:pPr>
        <w:pStyle w:val="Default"/>
        <w:numPr>
          <w:ilvl w:val="1"/>
          <w:numId w:val="6"/>
        </w:numPr>
        <w:ind w:left="425" w:hanging="567"/>
        <w:jc w:val="both"/>
        <w:rPr>
          <w:bCs/>
          <w:color w:val="auto"/>
          <w:sz w:val="22"/>
          <w:szCs w:val="22"/>
        </w:rPr>
      </w:pPr>
      <w:r w:rsidRPr="003A6BCA">
        <w:rPr>
          <w:color w:val="auto"/>
          <w:sz w:val="22"/>
          <w:szCs w:val="22"/>
        </w:rPr>
        <w:t xml:space="preserve">Účastníci dohody prohlašují, že pokud rámcová dohoda nestanoví jinak, bude postupováno v souladu s příslušnými ustanoveními občanského zákoníku a v souladu s dalšími právními předpisy, které se vztahují na předmět rámcové dohody. </w:t>
      </w:r>
    </w:p>
    <w:p w:rsidR="00C14688" w:rsidRPr="003A6BCA" w:rsidRDefault="00C14688" w:rsidP="00C14688">
      <w:pPr>
        <w:pStyle w:val="Default"/>
        <w:numPr>
          <w:ilvl w:val="1"/>
          <w:numId w:val="6"/>
        </w:numPr>
        <w:spacing w:before="120"/>
        <w:ind w:left="425" w:hanging="567"/>
        <w:jc w:val="both"/>
        <w:rPr>
          <w:color w:val="auto"/>
          <w:sz w:val="22"/>
          <w:szCs w:val="22"/>
        </w:rPr>
      </w:pPr>
      <w:r>
        <w:rPr>
          <w:color w:val="auto"/>
          <w:sz w:val="22"/>
          <w:szCs w:val="22"/>
        </w:rPr>
        <w:t>Dodavatel</w:t>
      </w:r>
      <w:r w:rsidRPr="003A6BCA">
        <w:rPr>
          <w:color w:val="auto"/>
          <w:sz w:val="22"/>
          <w:szCs w:val="22"/>
        </w:rPr>
        <w:t xml:space="preserve"> prohlašuj</w:t>
      </w:r>
      <w:r>
        <w:rPr>
          <w:color w:val="auto"/>
          <w:sz w:val="22"/>
          <w:szCs w:val="22"/>
        </w:rPr>
        <w:t>e, že splňuje</w:t>
      </w:r>
      <w:r w:rsidRPr="003A6BCA">
        <w:rPr>
          <w:color w:val="auto"/>
          <w:sz w:val="22"/>
          <w:szCs w:val="22"/>
        </w:rPr>
        <w:t xml:space="preserve"> veškeré podmínky stanovené právními předpisy k plnění předmětu rámcové dohody a veškeré podmínky a požadavky v této</w:t>
      </w:r>
      <w:r>
        <w:rPr>
          <w:color w:val="auto"/>
          <w:sz w:val="22"/>
          <w:szCs w:val="22"/>
        </w:rPr>
        <w:t xml:space="preserve"> rámcové dohodě stanovené a je oprávněn</w:t>
      </w:r>
      <w:r w:rsidRPr="003A6BCA">
        <w:rPr>
          <w:color w:val="auto"/>
          <w:sz w:val="22"/>
          <w:szCs w:val="22"/>
        </w:rPr>
        <w:t xml:space="preserve"> tuto rámcovou dohodu uzavřít a řádně plnit závazky v ní obsažené.</w:t>
      </w:r>
    </w:p>
    <w:p w:rsidR="00C14688" w:rsidRPr="003A6BCA" w:rsidRDefault="00C14688" w:rsidP="00C14688">
      <w:pPr>
        <w:spacing w:before="360"/>
        <w:jc w:val="center"/>
        <w:rPr>
          <w:rFonts w:ascii="Arial" w:hAnsi="Arial" w:cs="Arial"/>
          <w:b/>
          <w:sz w:val="22"/>
          <w:szCs w:val="22"/>
        </w:rPr>
      </w:pPr>
      <w:r w:rsidRPr="003A6BCA">
        <w:rPr>
          <w:rFonts w:ascii="Arial" w:hAnsi="Arial" w:cs="Arial"/>
          <w:b/>
          <w:sz w:val="22"/>
          <w:szCs w:val="22"/>
        </w:rPr>
        <w:t xml:space="preserve">Čl. </w:t>
      </w:r>
      <w:r>
        <w:rPr>
          <w:rFonts w:ascii="Arial" w:hAnsi="Arial" w:cs="Arial"/>
          <w:b/>
          <w:sz w:val="22"/>
          <w:szCs w:val="22"/>
        </w:rPr>
        <w:t>II</w:t>
      </w:r>
      <w:r w:rsidRPr="003A6BCA">
        <w:rPr>
          <w:rFonts w:ascii="Arial" w:hAnsi="Arial" w:cs="Arial"/>
          <w:b/>
          <w:sz w:val="22"/>
          <w:szCs w:val="22"/>
        </w:rPr>
        <w:t>.</w:t>
      </w:r>
    </w:p>
    <w:p w:rsidR="00C14688" w:rsidRPr="003A6BCA" w:rsidRDefault="00C14688" w:rsidP="00C14688">
      <w:pPr>
        <w:spacing w:after="240"/>
        <w:jc w:val="center"/>
        <w:rPr>
          <w:rFonts w:ascii="Arial" w:hAnsi="Arial" w:cs="Arial"/>
          <w:b/>
          <w:sz w:val="22"/>
          <w:szCs w:val="22"/>
        </w:rPr>
      </w:pPr>
      <w:r w:rsidRPr="003A6BCA">
        <w:rPr>
          <w:rFonts w:ascii="Arial" w:hAnsi="Arial" w:cs="Arial"/>
          <w:b/>
          <w:sz w:val="22"/>
          <w:szCs w:val="22"/>
        </w:rPr>
        <w:t xml:space="preserve">Předmět rámcové dohody </w:t>
      </w:r>
    </w:p>
    <w:p w:rsidR="00C14688" w:rsidRPr="003A6BCA" w:rsidRDefault="00C14688" w:rsidP="00C14688">
      <w:pPr>
        <w:pStyle w:val="Odstavecseseznamem"/>
        <w:numPr>
          <w:ilvl w:val="1"/>
          <w:numId w:val="7"/>
        </w:numPr>
        <w:tabs>
          <w:tab w:val="left" w:pos="426"/>
        </w:tabs>
        <w:ind w:left="425" w:hanging="567"/>
        <w:jc w:val="both"/>
        <w:rPr>
          <w:rFonts w:ascii="Arial" w:hAnsi="Arial" w:cs="Arial"/>
          <w:sz w:val="22"/>
          <w:szCs w:val="22"/>
        </w:rPr>
      </w:pPr>
      <w:r w:rsidRPr="003A6BCA">
        <w:rPr>
          <w:rFonts w:ascii="Arial" w:hAnsi="Arial" w:cs="Arial"/>
          <w:sz w:val="22"/>
          <w:szCs w:val="22"/>
        </w:rPr>
        <w:t xml:space="preserve">Předmětem plnění rámcové dohody je zpracování průkazu energetické náročnosti (dále jen „PEN“) budov, které jsou podle zákona č. 219/2000 Sb., o majetku České republiky a jejím vystupování v právních vztazích, ve znění pozdějších předpisů (dále jen „zákon č. 219/2000 Sb.“), ve vlastnictví České republiky, s příslušností hospodařit Úřad pro zastupování státu ve věcech majetkových nebo právem obdobným, v rámci působnosti Územního pracoviště Plzeň, a to pro odbor Hospodaření s majetkem státu, odbor </w:t>
      </w:r>
      <w:proofErr w:type="spellStart"/>
      <w:r w:rsidRPr="003A6BCA">
        <w:rPr>
          <w:rFonts w:ascii="Arial" w:hAnsi="Arial" w:cs="Arial"/>
          <w:sz w:val="22"/>
          <w:szCs w:val="22"/>
        </w:rPr>
        <w:t>Hospodářsko</w:t>
      </w:r>
      <w:proofErr w:type="spellEnd"/>
      <w:r w:rsidRPr="003A6BCA">
        <w:rPr>
          <w:rFonts w:ascii="Arial" w:hAnsi="Arial" w:cs="Arial"/>
          <w:sz w:val="22"/>
          <w:szCs w:val="22"/>
        </w:rPr>
        <w:t xml:space="preserve"> správní, odbor Odloučené pracoviště Klatovy, odbor Odloučené pracoviště Domažlice, odbor Odloučené pracoviště Karlovy Vary. </w:t>
      </w:r>
    </w:p>
    <w:p w:rsidR="00C14688" w:rsidRPr="00A3530D" w:rsidRDefault="00C14688" w:rsidP="00C14688">
      <w:pPr>
        <w:pStyle w:val="Odstavecseseznamem"/>
        <w:numPr>
          <w:ilvl w:val="1"/>
          <w:numId w:val="7"/>
        </w:numPr>
        <w:tabs>
          <w:tab w:val="left" w:pos="426"/>
        </w:tabs>
        <w:spacing w:before="120"/>
        <w:ind w:left="425" w:hanging="567"/>
        <w:jc w:val="both"/>
        <w:rPr>
          <w:rFonts w:ascii="Arial" w:hAnsi="Arial" w:cs="Arial"/>
          <w:strike/>
          <w:color w:val="FF0000"/>
          <w:sz w:val="22"/>
          <w:szCs w:val="22"/>
        </w:rPr>
      </w:pPr>
      <w:r w:rsidRPr="003A6BCA">
        <w:rPr>
          <w:rFonts w:ascii="Arial" w:hAnsi="Arial" w:cs="Arial"/>
          <w:sz w:val="22"/>
          <w:szCs w:val="22"/>
        </w:rPr>
        <w:t xml:space="preserve">Tato rámcová dohoda upravuje podmínky zadávání jednotlivých dílčích zakázek na zpracování PEN po dobu platnosti rámcové dohody s tím, že zadavatel bude zadávat jednotlivé dílčí zakázky na základě písemných objednávek (dále jen „objednávka“ nebo „objednávky“) zaslaných dodavateli, kdy přijetím objednávky tímto dodavatelem dojde mezi zadavatelem a dodavatelem k uzavření smlouvy o dílo dle § 2586 a násl. občanského zákoníku (dále jen „smlouva o dílo“ nebo jen „smlouva“). </w:t>
      </w:r>
    </w:p>
    <w:p w:rsidR="00C14688" w:rsidRPr="003A6BCA" w:rsidRDefault="00C14688" w:rsidP="00C14688">
      <w:pPr>
        <w:pStyle w:val="Odstavecseseznamem"/>
        <w:numPr>
          <w:ilvl w:val="1"/>
          <w:numId w:val="7"/>
        </w:numPr>
        <w:tabs>
          <w:tab w:val="left" w:pos="426"/>
        </w:tabs>
        <w:spacing w:before="120"/>
        <w:ind w:left="425" w:hanging="567"/>
        <w:jc w:val="both"/>
        <w:rPr>
          <w:rFonts w:ascii="Arial" w:hAnsi="Arial" w:cs="Arial"/>
          <w:sz w:val="22"/>
          <w:szCs w:val="22"/>
        </w:rPr>
      </w:pPr>
      <w:r>
        <w:rPr>
          <w:rFonts w:ascii="Arial" w:hAnsi="Arial" w:cs="Arial"/>
          <w:sz w:val="22"/>
          <w:szCs w:val="22"/>
        </w:rPr>
        <w:t>Dodavatel</w:t>
      </w:r>
      <w:r w:rsidRPr="003A6BCA">
        <w:rPr>
          <w:rFonts w:ascii="Arial" w:hAnsi="Arial" w:cs="Arial"/>
          <w:sz w:val="22"/>
          <w:szCs w:val="22"/>
        </w:rPr>
        <w:t xml:space="preserve"> se podpisem rámcové dohody zavazuj</w:t>
      </w:r>
      <w:r>
        <w:rPr>
          <w:rFonts w:ascii="Arial" w:hAnsi="Arial" w:cs="Arial"/>
          <w:sz w:val="22"/>
          <w:szCs w:val="22"/>
        </w:rPr>
        <w:t>e</w:t>
      </w:r>
      <w:r w:rsidRPr="003A6BCA">
        <w:rPr>
          <w:rFonts w:ascii="Arial" w:hAnsi="Arial" w:cs="Arial"/>
          <w:sz w:val="22"/>
          <w:szCs w:val="22"/>
        </w:rPr>
        <w:t xml:space="preserve"> zpracovávat PEN, za podmínek stanovených tou</w:t>
      </w:r>
      <w:r>
        <w:rPr>
          <w:rFonts w:ascii="Arial" w:hAnsi="Arial" w:cs="Arial"/>
          <w:sz w:val="22"/>
          <w:szCs w:val="22"/>
        </w:rPr>
        <w:t>to rámcovou dohodou a zejména</w:t>
      </w:r>
      <w:r w:rsidRPr="003A6BCA">
        <w:rPr>
          <w:rFonts w:ascii="Arial" w:hAnsi="Arial" w:cs="Arial"/>
          <w:sz w:val="22"/>
          <w:szCs w:val="22"/>
        </w:rPr>
        <w:t xml:space="preserve"> </w:t>
      </w:r>
      <w:r>
        <w:rPr>
          <w:rFonts w:ascii="Arial" w:hAnsi="Arial" w:cs="Arial"/>
          <w:sz w:val="22"/>
          <w:szCs w:val="22"/>
        </w:rPr>
        <w:t>Č</w:t>
      </w:r>
      <w:r w:rsidRPr="003A6BCA">
        <w:rPr>
          <w:rFonts w:ascii="Arial" w:hAnsi="Arial" w:cs="Arial"/>
          <w:sz w:val="22"/>
          <w:szCs w:val="22"/>
        </w:rPr>
        <w:t xml:space="preserve">l. </w:t>
      </w:r>
      <w:r>
        <w:rPr>
          <w:rFonts w:ascii="Arial" w:hAnsi="Arial" w:cs="Arial"/>
          <w:sz w:val="22"/>
          <w:szCs w:val="22"/>
        </w:rPr>
        <w:t>III</w:t>
      </w:r>
      <w:r w:rsidRPr="003A6BCA">
        <w:rPr>
          <w:rFonts w:ascii="Arial" w:hAnsi="Arial" w:cs="Arial"/>
          <w:sz w:val="22"/>
          <w:szCs w:val="22"/>
        </w:rPr>
        <w:t xml:space="preserve">. rámcové dohody, pro potřeby Úřadu pro zastupování státu ve věcech majetkových – Územního pracoviště Plzeň, a to: </w:t>
      </w:r>
    </w:p>
    <w:p w:rsidR="00C14688" w:rsidRPr="003A6BCA" w:rsidRDefault="00C14688" w:rsidP="00C14688">
      <w:pPr>
        <w:pStyle w:val="Default"/>
        <w:spacing w:before="120"/>
        <w:ind w:firstLine="426"/>
        <w:jc w:val="both"/>
        <w:rPr>
          <w:color w:val="auto"/>
          <w:sz w:val="22"/>
          <w:szCs w:val="22"/>
        </w:rPr>
      </w:pPr>
      <w:r w:rsidRPr="003A6BCA">
        <w:rPr>
          <w:b/>
          <w:color w:val="auto"/>
          <w:sz w:val="22"/>
          <w:szCs w:val="22"/>
          <w:u w:val="single"/>
        </w:rPr>
        <w:t>v Plzeňském kraji</w:t>
      </w:r>
      <w:r w:rsidRPr="003A6BCA">
        <w:rPr>
          <w:color w:val="auto"/>
          <w:sz w:val="22"/>
          <w:szCs w:val="22"/>
          <w:u w:val="single"/>
        </w:rPr>
        <w:t xml:space="preserve"> pro potřeby</w:t>
      </w:r>
      <w:r w:rsidRPr="003A6BCA">
        <w:rPr>
          <w:color w:val="auto"/>
          <w:sz w:val="22"/>
          <w:szCs w:val="22"/>
        </w:rPr>
        <w:t xml:space="preserve">: </w:t>
      </w:r>
    </w:p>
    <w:p w:rsidR="00C14688" w:rsidRPr="003A6BCA" w:rsidRDefault="00C14688" w:rsidP="00C14688">
      <w:pPr>
        <w:pStyle w:val="Default"/>
        <w:numPr>
          <w:ilvl w:val="0"/>
          <w:numId w:val="10"/>
        </w:numPr>
        <w:spacing w:before="120"/>
        <w:ind w:hanging="294"/>
        <w:jc w:val="both"/>
        <w:rPr>
          <w:color w:val="auto"/>
          <w:sz w:val="22"/>
          <w:szCs w:val="22"/>
        </w:rPr>
      </w:pPr>
      <w:r w:rsidRPr="003A6BCA">
        <w:rPr>
          <w:color w:val="auto"/>
          <w:sz w:val="22"/>
          <w:szCs w:val="22"/>
        </w:rPr>
        <w:t xml:space="preserve">Územního pracoviště Plzeň (Radobyčická 1313/14, Jižní Předměstí, 301 00 Plzeň) - pro okres Plzeň-město, Plzeň-jih, Plzeň-sever, Rokycany </w:t>
      </w:r>
    </w:p>
    <w:p w:rsidR="00C14688" w:rsidRPr="003A6BCA" w:rsidRDefault="00C14688" w:rsidP="00C14688">
      <w:pPr>
        <w:pStyle w:val="Default"/>
        <w:numPr>
          <w:ilvl w:val="0"/>
          <w:numId w:val="10"/>
        </w:numPr>
        <w:spacing w:before="120" w:after="120"/>
        <w:ind w:hanging="295"/>
        <w:jc w:val="both"/>
        <w:rPr>
          <w:color w:val="auto"/>
          <w:sz w:val="22"/>
          <w:szCs w:val="22"/>
        </w:rPr>
      </w:pPr>
      <w:r w:rsidRPr="003A6BCA">
        <w:rPr>
          <w:color w:val="auto"/>
          <w:sz w:val="22"/>
          <w:szCs w:val="22"/>
        </w:rPr>
        <w:t>odboru Odloučené pracoviště Klatovy (Randova 167, Klatovy I, 339 01</w:t>
      </w:r>
      <w:r w:rsidRPr="003A6BCA">
        <w:rPr>
          <w:i/>
          <w:color w:val="auto"/>
          <w:sz w:val="22"/>
          <w:szCs w:val="22"/>
        </w:rPr>
        <w:t xml:space="preserve"> </w:t>
      </w:r>
      <w:r w:rsidRPr="003A6BCA">
        <w:rPr>
          <w:color w:val="auto"/>
          <w:sz w:val="22"/>
          <w:szCs w:val="22"/>
        </w:rPr>
        <w:t xml:space="preserve">Klatovy) - </w:t>
      </w:r>
      <w:r w:rsidRPr="00D9571C">
        <w:rPr>
          <w:color w:val="auto"/>
          <w:sz w:val="22"/>
          <w:szCs w:val="22"/>
        </w:rPr>
        <w:t>pro okres</w:t>
      </w:r>
      <w:r w:rsidRPr="003A6BCA">
        <w:rPr>
          <w:color w:val="auto"/>
          <w:sz w:val="22"/>
          <w:szCs w:val="22"/>
        </w:rPr>
        <w:t xml:space="preserve"> Klatovy </w:t>
      </w:r>
    </w:p>
    <w:p w:rsidR="00C14688" w:rsidRPr="003A6BCA" w:rsidRDefault="00C14688" w:rsidP="00C14688">
      <w:pPr>
        <w:pStyle w:val="Default"/>
        <w:numPr>
          <w:ilvl w:val="0"/>
          <w:numId w:val="10"/>
        </w:numPr>
        <w:ind w:hanging="295"/>
        <w:jc w:val="both"/>
        <w:rPr>
          <w:color w:val="auto"/>
          <w:sz w:val="22"/>
          <w:szCs w:val="22"/>
        </w:rPr>
      </w:pPr>
      <w:r w:rsidRPr="003A6BCA">
        <w:rPr>
          <w:color w:val="auto"/>
          <w:sz w:val="22"/>
          <w:szCs w:val="22"/>
        </w:rPr>
        <w:t>odboru Odloučené pracoviště Domažlice (Paroubkova 228, Týnské Předměstí, 344 01</w:t>
      </w:r>
      <w:r w:rsidRPr="003A6BCA">
        <w:rPr>
          <w:i/>
          <w:color w:val="auto"/>
          <w:sz w:val="22"/>
          <w:szCs w:val="22"/>
        </w:rPr>
        <w:t xml:space="preserve"> </w:t>
      </w:r>
      <w:r w:rsidRPr="003A6BCA">
        <w:rPr>
          <w:color w:val="auto"/>
          <w:sz w:val="22"/>
          <w:szCs w:val="22"/>
        </w:rPr>
        <w:t xml:space="preserve">Domažlice) a pracoviště Tachov (T.G. Masaryka 1326, 347 01 Tachov) - pro okres Domažlice a Tachov </w:t>
      </w:r>
    </w:p>
    <w:p w:rsidR="00C14688" w:rsidRDefault="00C14688" w:rsidP="00C14688">
      <w:pPr>
        <w:pStyle w:val="Default"/>
        <w:ind w:firstLine="426"/>
        <w:jc w:val="both"/>
        <w:rPr>
          <w:strike/>
          <w:color w:val="FF0000"/>
          <w:sz w:val="22"/>
          <w:szCs w:val="22"/>
        </w:rPr>
      </w:pPr>
    </w:p>
    <w:p w:rsidR="00C14688" w:rsidRPr="003A6BCA" w:rsidRDefault="00C14688" w:rsidP="00C14688">
      <w:pPr>
        <w:pStyle w:val="Default"/>
        <w:ind w:firstLine="426"/>
        <w:jc w:val="both"/>
        <w:rPr>
          <w:color w:val="auto"/>
          <w:sz w:val="22"/>
          <w:szCs w:val="22"/>
        </w:rPr>
      </w:pPr>
      <w:r w:rsidRPr="003A6BCA">
        <w:rPr>
          <w:b/>
          <w:color w:val="auto"/>
          <w:sz w:val="22"/>
          <w:szCs w:val="22"/>
          <w:u w:val="single"/>
        </w:rPr>
        <w:t>v Karlovarském kraji</w:t>
      </w:r>
      <w:r w:rsidRPr="003A6BCA">
        <w:rPr>
          <w:color w:val="auto"/>
          <w:sz w:val="22"/>
          <w:szCs w:val="22"/>
          <w:u w:val="single"/>
        </w:rPr>
        <w:t xml:space="preserve"> pro potřeby</w:t>
      </w:r>
      <w:r w:rsidRPr="003A6BCA">
        <w:rPr>
          <w:color w:val="auto"/>
          <w:sz w:val="22"/>
          <w:szCs w:val="22"/>
        </w:rPr>
        <w:t>:</w:t>
      </w:r>
    </w:p>
    <w:p w:rsidR="00C14688" w:rsidRPr="003519DC" w:rsidRDefault="00C14688" w:rsidP="00C14688">
      <w:pPr>
        <w:pStyle w:val="Default"/>
        <w:numPr>
          <w:ilvl w:val="0"/>
          <w:numId w:val="10"/>
        </w:numPr>
        <w:spacing w:before="120"/>
        <w:ind w:hanging="294"/>
        <w:jc w:val="both"/>
        <w:rPr>
          <w:color w:val="auto"/>
          <w:sz w:val="22"/>
          <w:szCs w:val="22"/>
        </w:rPr>
      </w:pPr>
      <w:r w:rsidRPr="003A6BCA">
        <w:rPr>
          <w:color w:val="auto"/>
          <w:sz w:val="22"/>
          <w:szCs w:val="22"/>
        </w:rPr>
        <w:t>odboru Odloučené pracoviště Karlovy Vary (Závodu míru 725/16, Stará Role, 360 17</w:t>
      </w:r>
      <w:r w:rsidRPr="003A6BCA">
        <w:rPr>
          <w:i/>
          <w:color w:val="auto"/>
          <w:sz w:val="22"/>
          <w:szCs w:val="22"/>
        </w:rPr>
        <w:t xml:space="preserve"> </w:t>
      </w:r>
      <w:r w:rsidRPr="003A6BCA">
        <w:rPr>
          <w:color w:val="auto"/>
          <w:sz w:val="22"/>
          <w:szCs w:val="22"/>
        </w:rPr>
        <w:t>Karlovy Vary)</w:t>
      </w:r>
      <w:r>
        <w:rPr>
          <w:color w:val="auto"/>
          <w:sz w:val="22"/>
          <w:szCs w:val="22"/>
        </w:rPr>
        <w:t xml:space="preserve"> </w:t>
      </w:r>
      <w:r w:rsidRPr="003519DC">
        <w:rPr>
          <w:color w:val="auto"/>
          <w:sz w:val="22"/>
          <w:szCs w:val="22"/>
        </w:rPr>
        <w:t>a pracoviště Cheb (Evropská ul. 1605/8, 350 11 Cheb) - okres Karlovy Vary, Cheb, Sokolov</w:t>
      </w:r>
    </w:p>
    <w:p w:rsidR="00C14688" w:rsidRPr="003A6BCA" w:rsidRDefault="00C14688" w:rsidP="00C14688">
      <w:pPr>
        <w:pStyle w:val="Odstavecseseznamem"/>
        <w:numPr>
          <w:ilvl w:val="1"/>
          <w:numId w:val="7"/>
        </w:numPr>
        <w:tabs>
          <w:tab w:val="left" w:pos="426"/>
        </w:tabs>
        <w:spacing w:before="120"/>
        <w:ind w:left="426" w:hanging="568"/>
        <w:jc w:val="both"/>
        <w:rPr>
          <w:rFonts w:ascii="Arial" w:hAnsi="Arial" w:cs="Arial"/>
          <w:sz w:val="22"/>
          <w:szCs w:val="22"/>
        </w:rPr>
      </w:pPr>
      <w:r w:rsidRPr="003A6BCA">
        <w:rPr>
          <w:rFonts w:ascii="Arial" w:hAnsi="Arial" w:cs="Arial"/>
          <w:sz w:val="22"/>
          <w:szCs w:val="22"/>
        </w:rPr>
        <w:t>Zadavatel se podpisem rámcové do</w:t>
      </w:r>
      <w:r>
        <w:rPr>
          <w:rFonts w:ascii="Arial" w:hAnsi="Arial" w:cs="Arial"/>
          <w:sz w:val="22"/>
          <w:szCs w:val="22"/>
        </w:rPr>
        <w:t>hody zavazuje platit dodavateli</w:t>
      </w:r>
      <w:r w:rsidRPr="003A6BCA">
        <w:rPr>
          <w:rFonts w:ascii="Arial" w:hAnsi="Arial" w:cs="Arial"/>
          <w:sz w:val="22"/>
          <w:szCs w:val="22"/>
        </w:rPr>
        <w:t xml:space="preserve"> za zpracování PEN cenu v souladu s </w:t>
      </w:r>
      <w:r>
        <w:rPr>
          <w:rFonts w:ascii="Arial" w:hAnsi="Arial" w:cs="Arial"/>
          <w:sz w:val="22"/>
          <w:szCs w:val="22"/>
        </w:rPr>
        <w:t>Č</w:t>
      </w:r>
      <w:r w:rsidRPr="003A6BCA">
        <w:rPr>
          <w:rFonts w:ascii="Arial" w:hAnsi="Arial" w:cs="Arial"/>
          <w:sz w:val="22"/>
          <w:szCs w:val="22"/>
        </w:rPr>
        <w:t xml:space="preserve">l. </w:t>
      </w:r>
      <w:r>
        <w:rPr>
          <w:rFonts w:ascii="Arial" w:hAnsi="Arial" w:cs="Arial"/>
          <w:sz w:val="22"/>
          <w:szCs w:val="22"/>
        </w:rPr>
        <w:t>V</w:t>
      </w:r>
      <w:r w:rsidRPr="003A6BCA">
        <w:rPr>
          <w:rFonts w:ascii="Arial" w:hAnsi="Arial" w:cs="Arial"/>
          <w:sz w:val="22"/>
          <w:szCs w:val="22"/>
        </w:rPr>
        <w:t>. rámcové dohody.</w:t>
      </w:r>
    </w:p>
    <w:p w:rsidR="00C14688" w:rsidRPr="003A6BCA" w:rsidRDefault="00C14688" w:rsidP="00C14688">
      <w:pPr>
        <w:pStyle w:val="Odstavecseseznamem"/>
        <w:numPr>
          <w:ilvl w:val="1"/>
          <w:numId w:val="7"/>
        </w:numPr>
        <w:tabs>
          <w:tab w:val="left" w:pos="426"/>
        </w:tabs>
        <w:spacing w:before="120"/>
        <w:ind w:left="426" w:hanging="568"/>
        <w:jc w:val="both"/>
        <w:rPr>
          <w:rFonts w:ascii="Arial" w:hAnsi="Arial" w:cs="Arial"/>
          <w:sz w:val="22"/>
          <w:szCs w:val="22"/>
        </w:rPr>
      </w:pPr>
      <w:r>
        <w:rPr>
          <w:rFonts w:ascii="Arial" w:hAnsi="Arial" w:cs="Arial"/>
          <w:sz w:val="22"/>
          <w:szCs w:val="22"/>
        </w:rPr>
        <w:t>Dodavatel</w:t>
      </w:r>
      <w:r w:rsidRPr="003A6BCA">
        <w:rPr>
          <w:rFonts w:ascii="Arial" w:hAnsi="Arial" w:cs="Arial"/>
          <w:sz w:val="22"/>
          <w:szCs w:val="22"/>
        </w:rPr>
        <w:t xml:space="preserve"> se zavazuj</w:t>
      </w:r>
      <w:r>
        <w:rPr>
          <w:rFonts w:ascii="Arial" w:hAnsi="Arial" w:cs="Arial"/>
          <w:sz w:val="22"/>
          <w:szCs w:val="22"/>
        </w:rPr>
        <w:t>e</w:t>
      </w:r>
      <w:r w:rsidRPr="003A6BCA">
        <w:rPr>
          <w:rFonts w:ascii="Arial" w:hAnsi="Arial" w:cs="Arial"/>
          <w:sz w:val="22"/>
          <w:szCs w:val="22"/>
        </w:rPr>
        <w:t xml:space="preserve"> mít po celou dobu platnosti rámcové dohody sjednáno pojištění odpovědnosti za škodu způsobenou dodavatelem třetí osobě, a to s limitem pojistného plnění minimálně ve výši 1 mil. Kč a zaplacené pojistné. </w:t>
      </w:r>
    </w:p>
    <w:p w:rsidR="00C14688" w:rsidRDefault="00C14688" w:rsidP="00C14688">
      <w:pPr>
        <w:spacing w:before="360"/>
        <w:ind w:left="709"/>
        <w:jc w:val="center"/>
        <w:rPr>
          <w:rFonts w:ascii="Arial" w:hAnsi="Arial" w:cs="Arial"/>
          <w:b/>
          <w:sz w:val="22"/>
          <w:szCs w:val="22"/>
        </w:rPr>
      </w:pPr>
    </w:p>
    <w:p w:rsidR="00C14688" w:rsidRDefault="00C14688" w:rsidP="00C14688">
      <w:pPr>
        <w:spacing w:before="360"/>
        <w:ind w:left="709"/>
        <w:jc w:val="center"/>
        <w:rPr>
          <w:rFonts w:ascii="Arial" w:hAnsi="Arial" w:cs="Arial"/>
          <w:b/>
          <w:sz w:val="22"/>
          <w:szCs w:val="22"/>
        </w:rPr>
      </w:pPr>
    </w:p>
    <w:p w:rsidR="00C14688" w:rsidRPr="003A6BCA" w:rsidRDefault="00C14688" w:rsidP="00C14688">
      <w:pPr>
        <w:spacing w:before="360"/>
        <w:ind w:left="709"/>
        <w:jc w:val="center"/>
        <w:rPr>
          <w:rFonts w:ascii="Arial" w:hAnsi="Arial" w:cs="Arial"/>
          <w:b/>
          <w:sz w:val="22"/>
          <w:szCs w:val="22"/>
        </w:rPr>
      </w:pPr>
      <w:r w:rsidRPr="003A6BCA">
        <w:rPr>
          <w:rFonts w:ascii="Arial" w:hAnsi="Arial" w:cs="Arial"/>
          <w:b/>
          <w:sz w:val="22"/>
          <w:szCs w:val="22"/>
        </w:rPr>
        <w:lastRenderedPageBreak/>
        <w:t xml:space="preserve">Čl. </w:t>
      </w:r>
      <w:r>
        <w:rPr>
          <w:rFonts w:ascii="Arial" w:hAnsi="Arial" w:cs="Arial"/>
          <w:b/>
          <w:sz w:val="22"/>
          <w:szCs w:val="22"/>
        </w:rPr>
        <w:t>III</w:t>
      </w:r>
      <w:r w:rsidRPr="003A6BCA">
        <w:rPr>
          <w:rFonts w:ascii="Arial" w:hAnsi="Arial" w:cs="Arial"/>
          <w:b/>
          <w:sz w:val="22"/>
          <w:szCs w:val="22"/>
        </w:rPr>
        <w:t>.</w:t>
      </w:r>
    </w:p>
    <w:p w:rsidR="00C14688" w:rsidRPr="003A6BCA" w:rsidRDefault="00C14688" w:rsidP="00C14688">
      <w:pPr>
        <w:spacing w:after="240"/>
        <w:ind w:left="709"/>
        <w:jc w:val="center"/>
        <w:rPr>
          <w:rFonts w:ascii="Arial" w:hAnsi="Arial" w:cs="Arial"/>
          <w:b/>
          <w:sz w:val="22"/>
          <w:szCs w:val="22"/>
        </w:rPr>
      </w:pPr>
      <w:r w:rsidRPr="003A6BCA">
        <w:rPr>
          <w:rFonts w:ascii="Arial" w:hAnsi="Arial" w:cs="Arial"/>
          <w:b/>
          <w:sz w:val="22"/>
          <w:szCs w:val="22"/>
        </w:rPr>
        <w:t>Podmínky plnění předmětu rámcové dohody</w:t>
      </w:r>
    </w:p>
    <w:p w:rsidR="00C14688" w:rsidRPr="003A6BCA" w:rsidRDefault="00C14688" w:rsidP="00C14688">
      <w:pPr>
        <w:pStyle w:val="Odstavecseseznamem"/>
        <w:numPr>
          <w:ilvl w:val="0"/>
          <w:numId w:val="7"/>
        </w:numPr>
        <w:tabs>
          <w:tab w:val="left" w:pos="426"/>
        </w:tabs>
        <w:spacing w:before="120"/>
        <w:jc w:val="both"/>
        <w:rPr>
          <w:rFonts w:ascii="Arial" w:hAnsi="Arial" w:cs="Arial"/>
          <w:vanish/>
          <w:sz w:val="22"/>
          <w:szCs w:val="22"/>
        </w:rPr>
      </w:pPr>
    </w:p>
    <w:p w:rsidR="00C14688" w:rsidRPr="003A6BCA" w:rsidRDefault="00C14688" w:rsidP="00C14688">
      <w:pPr>
        <w:pStyle w:val="Odstavecseseznamem"/>
        <w:numPr>
          <w:ilvl w:val="1"/>
          <w:numId w:val="7"/>
        </w:numPr>
        <w:tabs>
          <w:tab w:val="left" w:pos="426"/>
        </w:tabs>
        <w:ind w:left="426" w:hanging="568"/>
        <w:jc w:val="both"/>
        <w:rPr>
          <w:rFonts w:ascii="Arial" w:hAnsi="Arial" w:cs="Arial"/>
          <w:sz w:val="22"/>
          <w:szCs w:val="22"/>
        </w:rPr>
      </w:pPr>
      <w:r w:rsidRPr="003A6BCA">
        <w:rPr>
          <w:rFonts w:ascii="Arial" w:hAnsi="Arial" w:cs="Arial"/>
          <w:sz w:val="22"/>
          <w:szCs w:val="22"/>
        </w:rPr>
        <w:t>PEN budou zpracovány podle zákona č. 406/2000 Sb., o hospodaření energií, ve znění pozdějších předpisů (dále jen „zákon č. 406/2000 Sb.“) a podle platných prováděcích předpisů a budou zadavateli sloužit ke splnění povinnosti vlastníka budov podle § </w:t>
      </w:r>
      <w:proofErr w:type="gramStart"/>
      <w:r w:rsidRPr="003A6BCA">
        <w:rPr>
          <w:rFonts w:ascii="Arial" w:hAnsi="Arial" w:cs="Arial"/>
          <w:sz w:val="22"/>
          <w:szCs w:val="22"/>
        </w:rPr>
        <w:t>7a</w:t>
      </w:r>
      <w:proofErr w:type="gramEnd"/>
      <w:r w:rsidRPr="003A6BCA">
        <w:rPr>
          <w:rFonts w:ascii="Arial" w:hAnsi="Arial" w:cs="Arial"/>
          <w:sz w:val="22"/>
          <w:szCs w:val="22"/>
        </w:rPr>
        <w:t xml:space="preserve"> odst. 1 písm. b) a </w:t>
      </w:r>
      <w:r w:rsidRPr="003A6BCA">
        <w:rPr>
          <w:rFonts w:ascii="Arial" w:hAnsi="Arial" w:cs="Arial"/>
          <w:bCs/>
          <w:sz w:val="22"/>
          <w:szCs w:val="22"/>
        </w:rPr>
        <w:t> </w:t>
      </w:r>
      <w:r w:rsidRPr="003A6BCA">
        <w:rPr>
          <w:rFonts w:ascii="Arial" w:hAnsi="Arial" w:cs="Arial"/>
          <w:sz w:val="22"/>
          <w:szCs w:val="22"/>
        </w:rPr>
        <w:t xml:space="preserve"> c) zákona č. 406/2000 Sb. (dále jen „budovy k užívání“) a podle § 7a odst. 2 zákona č. 406/2000 Sb. (dále jen „budovy k nakládání“).  </w:t>
      </w:r>
    </w:p>
    <w:p w:rsidR="00C14688" w:rsidRPr="003A6BCA" w:rsidRDefault="00C14688" w:rsidP="00C14688">
      <w:pPr>
        <w:pStyle w:val="Odstavecseseznamem"/>
        <w:numPr>
          <w:ilvl w:val="1"/>
          <w:numId w:val="7"/>
        </w:numPr>
        <w:tabs>
          <w:tab w:val="left" w:pos="426"/>
        </w:tabs>
        <w:spacing w:before="120"/>
        <w:ind w:left="426" w:hanging="568"/>
        <w:jc w:val="both"/>
        <w:rPr>
          <w:rFonts w:ascii="Arial" w:hAnsi="Arial" w:cs="Arial"/>
          <w:sz w:val="22"/>
          <w:szCs w:val="22"/>
        </w:rPr>
      </w:pPr>
      <w:r w:rsidRPr="003A6BCA">
        <w:rPr>
          <w:rFonts w:ascii="Arial" w:hAnsi="Arial" w:cs="Arial"/>
          <w:sz w:val="22"/>
          <w:szCs w:val="22"/>
        </w:rPr>
        <w:t xml:space="preserve">Forma a obsah PEN musí být zpracovány podle příslušných právních předpisů a prováděcích předpisů (vyhlášek) platných v době předání každého PEN zadavateli. </w:t>
      </w:r>
    </w:p>
    <w:p w:rsidR="00C14688" w:rsidRPr="003A6BCA" w:rsidRDefault="00C14688" w:rsidP="00C14688">
      <w:pPr>
        <w:pStyle w:val="Odstavecseseznamem"/>
        <w:numPr>
          <w:ilvl w:val="1"/>
          <w:numId w:val="7"/>
        </w:numPr>
        <w:tabs>
          <w:tab w:val="left" w:pos="426"/>
        </w:tabs>
        <w:spacing w:before="120"/>
        <w:ind w:left="426" w:hanging="568"/>
        <w:jc w:val="both"/>
        <w:rPr>
          <w:rFonts w:ascii="Arial" w:hAnsi="Arial" w:cs="Arial"/>
          <w:sz w:val="22"/>
          <w:szCs w:val="22"/>
        </w:rPr>
      </w:pPr>
      <w:r w:rsidRPr="003A6BCA">
        <w:rPr>
          <w:rFonts w:ascii="Arial" w:hAnsi="Arial" w:cs="Arial"/>
          <w:sz w:val="22"/>
          <w:szCs w:val="22"/>
        </w:rPr>
        <w:t>Za formální a věcně správný obsah každého PEN, podle platné legislativy, je plně odpovědný pouze dodavatel, a tedy podpisem zástupce zadavatele na předávacím protokole nepřechází na zadavatele jakákoliv odpovědnost za formální či věcnou správnost PEN zpracovaného dodavatelem.</w:t>
      </w:r>
    </w:p>
    <w:p w:rsidR="00C14688" w:rsidRPr="003A6BCA" w:rsidRDefault="00C14688" w:rsidP="00C14688">
      <w:pPr>
        <w:pStyle w:val="Odstavecseseznamem"/>
        <w:numPr>
          <w:ilvl w:val="1"/>
          <w:numId w:val="7"/>
        </w:numPr>
        <w:tabs>
          <w:tab w:val="left" w:pos="426"/>
        </w:tabs>
        <w:spacing w:before="120"/>
        <w:ind w:left="426" w:hanging="568"/>
        <w:jc w:val="both"/>
        <w:rPr>
          <w:rFonts w:ascii="Arial" w:hAnsi="Arial" w:cs="Arial"/>
          <w:sz w:val="22"/>
          <w:szCs w:val="22"/>
        </w:rPr>
      </w:pPr>
      <w:r w:rsidRPr="003A6BCA">
        <w:rPr>
          <w:rFonts w:ascii="Arial" w:hAnsi="Arial" w:cs="Arial"/>
          <w:sz w:val="22"/>
          <w:szCs w:val="22"/>
        </w:rPr>
        <w:t>PEN budou zpracovány na budovy, jejichž specifikaci uvede zadavatel v dílčích objednávkách.</w:t>
      </w:r>
    </w:p>
    <w:p w:rsidR="00C14688" w:rsidRPr="003A6BCA" w:rsidRDefault="00C14688" w:rsidP="00C14688">
      <w:pPr>
        <w:pStyle w:val="Odstavecseseznamem"/>
        <w:numPr>
          <w:ilvl w:val="1"/>
          <w:numId w:val="7"/>
        </w:numPr>
        <w:tabs>
          <w:tab w:val="left" w:pos="426"/>
        </w:tabs>
        <w:spacing w:before="120"/>
        <w:ind w:left="426" w:hanging="568"/>
        <w:jc w:val="both"/>
        <w:rPr>
          <w:rFonts w:ascii="Arial" w:hAnsi="Arial" w:cs="Arial"/>
          <w:sz w:val="22"/>
          <w:szCs w:val="22"/>
        </w:rPr>
      </w:pPr>
      <w:r w:rsidRPr="003A6BCA">
        <w:rPr>
          <w:rFonts w:ascii="Arial" w:hAnsi="Arial" w:cs="Arial"/>
          <w:sz w:val="22"/>
          <w:szCs w:val="22"/>
        </w:rPr>
        <w:t>Zadavatel bude zasílat objednávky dodavateli dle svých potřeb, dodavatel se zavazuje prostřednictvím e-mailové zprávy přijmout objednávku zadavatele nejpozději do 3 pracovních dnů ode dne odeslání objednávky e-mailem anebo do 3 pracovních dnů ode dne doručení objednávky poštou.</w:t>
      </w:r>
    </w:p>
    <w:p w:rsidR="00C14688" w:rsidRPr="003A6BCA" w:rsidRDefault="00C14688" w:rsidP="00C14688">
      <w:pPr>
        <w:autoSpaceDE w:val="0"/>
        <w:autoSpaceDN w:val="0"/>
        <w:adjustRightInd w:val="0"/>
        <w:spacing w:before="120"/>
        <w:ind w:left="426"/>
        <w:jc w:val="both"/>
        <w:rPr>
          <w:rFonts w:ascii="Arial" w:hAnsi="Arial" w:cs="Arial"/>
          <w:sz w:val="22"/>
          <w:szCs w:val="22"/>
        </w:rPr>
      </w:pPr>
      <w:r w:rsidRPr="003A6BCA">
        <w:rPr>
          <w:rFonts w:ascii="Arial" w:hAnsi="Arial" w:cs="Arial"/>
          <w:sz w:val="22"/>
          <w:szCs w:val="22"/>
        </w:rPr>
        <w:t>Zadavatel zasílá objednávky poštou na adresu pro zadávání objednávek anebo elektronicky na e-mail pro zadávání objednávek, které jsou uvedeny v úvodu rámcové dohody v části „Účastníci dohody“ u dodavatele.</w:t>
      </w:r>
    </w:p>
    <w:p w:rsidR="00C14688" w:rsidRPr="003A6BCA" w:rsidRDefault="00C14688" w:rsidP="00C14688">
      <w:pPr>
        <w:pStyle w:val="Odstavecseseznamem"/>
        <w:numPr>
          <w:ilvl w:val="1"/>
          <w:numId w:val="7"/>
        </w:numPr>
        <w:tabs>
          <w:tab w:val="left" w:pos="426"/>
        </w:tabs>
        <w:spacing w:before="120"/>
        <w:ind w:left="426" w:hanging="568"/>
        <w:jc w:val="both"/>
        <w:rPr>
          <w:rFonts w:ascii="Arial" w:hAnsi="Arial" w:cs="Arial"/>
          <w:sz w:val="22"/>
          <w:szCs w:val="22"/>
        </w:rPr>
      </w:pPr>
      <w:r w:rsidRPr="003A6BCA">
        <w:rPr>
          <w:rFonts w:ascii="Arial" w:hAnsi="Arial" w:cs="Arial"/>
          <w:sz w:val="22"/>
          <w:szCs w:val="22"/>
        </w:rPr>
        <w:t>Dílčí objednávky budou vystaveny zvlášť na každou jednotlivou budovu. Pouze v případě více budov tvořících jeden funkční celek (např. budova a zateplená garáž) může jedna dílčí objednávka zahrnovat požadavek na zpracování i více než jednoho PEN. V tomto případě bude platit stejná lhůta pro zpracování všech PEN k budovám tvořícím funkční celek jako v případě jednoho PEN.</w:t>
      </w:r>
    </w:p>
    <w:p w:rsidR="00C14688" w:rsidRPr="003A6BCA" w:rsidRDefault="00C14688" w:rsidP="00C14688">
      <w:pPr>
        <w:pStyle w:val="Odstavecseseznamem"/>
        <w:numPr>
          <w:ilvl w:val="1"/>
          <w:numId w:val="7"/>
        </w:numPr>
        <w:tabs>
          <w:tab w:val="left" w:pos="426"/>
        </w:tabs>
        <w:spacing w:before="120"/>
        <w:ind w:left="426" w:hanging="568"/>
        <w:jc w:val="both"/>
        <w:rPr>
          <w:rFonts w:ascii="Arial" w:hAnsi="Arial" w:cs="Arial"/>
          <w:sz w:val="22"/>
          <w:szCs w:val="22"/>
        </w:rPr>
      </w:pPr>
      <w:r w:rsidRPr="003A6BCA">
        <w:rPr>
          <w:rFonts w:ascii="Arial" w:hAnsi="Arial" w:cs="Arial"/>
          <w:sz w:val="22"/>
          <w:szCs w:val="22"/>
        </w:rPr>
        <w:t>Ve specifikaci budovy zadavatel uvede základní informace:</w:t>
      </w:r>
    </w:p>
    <w:p w:rsidR="00C14688" w:rsidRPr="003A6BCA" w:rsidRDefault="00C14688" w:rsidP="00C14688">
      <w:pPr>
        <w:numPr>
          <w:ilvl w:val="1"/>
          <w:numId w:val="1"/>
        </w:numPr>
        <w:shd w:val="clear" w:color="auto" w:fill="FFFFFF"/>
        <w:tabs>
          <w:tab w:val="clear" w:pos="1440"/>
          <w:tab w:val="num" w:pos="993"/>
        </w:tabs>
        <w:spacing w:before="120"/>
        <w:ind w:left="993" w:hanging="284"/>
        <w:jc w:val="both"/>
        <w:rPr>
          <w:rFonts w:ascii="Arial" w:hAnsi="Arial" w:cs="Arial"/>
          <w:sz w:val="22"/>
          <w:szCs w:val="22"/>
        </w:rPr>
      </w:pPr>
      <w:r w:rsidRPr="003A6BCA">
        <w:rPr>
          <w:rFonts w:ascii="Arial" w:hAnsi="Arial" w:cs="Arial"/>
          <w:sz w:val="22"/>
          <w:szCs w:val="22"/>
        </w:rPr>
        <w:t>základní identifikační údaje vedené k předmětné budově v katastru nemovitostí (číslo pozemkové či stavební parcely, číslo listu vlastnictví, katastrální území, obec, část obce, číslo popisné/evidenční, případně číslo orientační);</w:t>
      </w:r>
    </w:p>
    <w:p w:rsidR="00C14688" w:rsidRPr="003A6BCA" w:rsidRDefault="00C14688" w:rsidP="00C14688">
      <w:pPr>
        <w:numPr>
          <w:ilvl w:val="1"/>
          <w:numId w:val="1"/>
        </w:numPr>
        <w:shd w:val="clear" w:color="auto" w:fill="FFFFFF"/>
        <w:tabs>
          <w:tab w:val="clear" w:pos="1440"/>
          <w:tab w:val="num" w:pos="993"/>
        </w:tabs>
        <w:spacing w:before="120"/>
        <w:ind w:left="993" w:hanging="251"/>
        <w:jc w:val="both"/>
        <w:rPr>
          <w:rFonts w:ascii="Arial" w:hAnsi="Arial" w:cs="Arial"/>
          <w:sz w:val="22"/>
          <w:szCs w:val="22"/>
        </w:rPr>
      </w:pPr>
      <w:r w:rsidRPr="003A6BCA">
        <w:rPr>
          <w:rFonts w:ascii="Arial" w:hAnsi="Arial" w:cs="Arial"/>
          <w:sz w:val="22"/>
          <w:szCs w:val="22"/>
        </w:rPr>
        <w:t>adresu předmětné budovy;</w:t>
      </w:r>
    </w:p>
    <w:p w:rsidR="00C14688" w:rsidRPr="003A6BCA" w:rsidRDefault="00C14688" w:rsidP="00C14688">
      <w:pPr>
        <w:numPr>
          <w:ilvl w:val="1"/>
          <w:numId w:val="1"/>
        </w:numPr>
        <w:shd w:val="clear" w:color="auto" w:fill="FFFFFF"/>
        <w:tabs>
          <w:tab w:val="clear" w:pos="1440"/>
          <w:tab w:val="num" w:pos="993"/>
        </w:tabs>
        <w:spacing w:before="120"/>
        <w:ind w:left="993" w:hanging="251"/>
        <w:jc w:val="both"/>
        <w:rPr>
          <w:rFonts w:ascii="Arial" w:hAnsi="Arial" w:cs="Arial"/>
          <w:sz w:val="22"/>
          <w:szCs w:val="22"/>
        </w:rPr>
      </w:pPr>
      <w:r w:rsidRPr="003A6BCA">
        <w:rPr>
          <w:rFonts w:ascii="Arial" w:hAnsi="Arial" w:cs="Arial"/>
          <w:sz w:val="22"/>
          <w:szCs w:val="22"/>
        </w:rPr>
        <w:t>účel budovy;</w:t>
      </w:r>
    </w:p>
    <w:p w:rsidR="00C14688" w:rsidRPr="003A6BCA" w:rsidRDefault="00C14688" w:rsidP="00C14688">
      <w:pPr>
        <w:numPr>
          <w:ilvl w:val="1"/>
          <w:numId w:val="1"/>
        </w:numPr>
        <w:shd w:val="clear" w:color="auto" w:fill="FFFFFF"/>
        <w:tabs>
          <w:tab w:val="clear" w:pos="1440"/>
          <w:tab w:val="num" w:pos="993"/>
        </w:tabs>
        <w:spacing w:before="120"/>
        <w:ind w:left="993" w:hanging="251"/>
        <w:jc w:val="both"/>
        <w:rPr>
          <w:rFonts w:ascii="Arial" w:hAnsi="Arial" w:cs="Arial"/>
          <w:sz w:val="22"/>
          <w:szCs w:val="22"/>
        </w:rPr>
      </w:pPr>
      <w:r w:rsidRPr="003A6BCA">
        <w:rPr>
          <w:rFonts w:ascii="Arial" w:hAnsi="Arial" w:cs="Arial"/>
          <w:sz w:val="22"/>
          <w:szCs w:val="22"/>
        </w:rPr>
        <w:t>popř. další údaje charakterizující budovu zejména pro potřeby PEN.</w:t>
      </w:r>
    </w:p>
    <w:p w:rsidR="00C14688" w:rsidRPr="003A6BCA" w:rsidRDefault="00C14688" w:rsidP="00C14688">
      <w:pPr>
        <w:pStyle w:val="Odstavecseseznamem"/>
        <w:numPr>
          <w:ilvl w:val="1"/>
          <w:numId w:val="7"/>
        </w:numPr>
        <w:tabs>
          <w:tab w:val="left" w:pos="426"/>
        </w:tabs>
        <w:spacing w:before="120"/>
        <w:ind w:left="426" w:hanging="568"/>
        <w:jc w:val="both"/>
        <w:rPr>
          <w:rFonts w:ascii="Arial" w:hAnsi="Arial" w:cs="Arial"/>
          <w:b/>
          <w:sz w:val="22"/>
          <w:szCs w:val="22"/>
          <w:u w:val="single"/>
        </w:rPr>
      </w:pPr>
      <w:r w:rsidRPr="003A6BCA">
        <w:rPr>
          <w:rFonts w:ascii="Arial" w:hAnsi="Arial" w:cs="Arial"/>
          <w:sz w:val="22"/>
          <w:szCs w:val="22"/>
        </w:rPr>
        <w:t xml:space="preserve">Součástí specifikace budovy přiložené k objednávce mohou být i následující další </w:t>
      </w:r>
      <w:proofErr w:type="gramStart"/>
      <w:r w:rsidRPr="003A6BCA">
        <w:rPr>
          <w:rFonts w:ascii="Arial" w:hAnsi="Arial" w:cs="Arial"/>
          <w:sz w:val="22"/>
          <w:szCs w:val="22"/>
        </w:rPr>
        <w:t>informace</w:t>
      </w:r>
      <w:proofErr w:type="gramEnd"/>
      <w:r w:rsidRPr="003A6BCA">
        <w:rPr>
          <w:rFonts w:ascii="Arial" w:hAnsi="Arial" w:cs="Arial"/>
          <w:sz w:val="22"/>
          <w:szCs w:val="22"/>
        </w:rPr>
        <w:t xml:space="preserve"> popř. i stavebně-technická (projektová) dokumentace, pokud jimi zadavatel bude disponovat, zejména:</w:t>
      </w:r>
    </w:p>
    <w:p w:rsidR="00C14688" w:rsidRPr="003A6BCA" w:rsidRDefault="00C14688" w:rsidP="00C14688">
      <w:pPr>
        <w:numPr>
          <w:ilvl w:val="1"/>
          <w:numId w:val="2"/>
        </w:numPr>
        <w:shd w:val="clear" w:color="auto" w:fill="FFFFFF"/>
        <w:tabs>
          <w:tab w:val="clear" w:pos="1440"/>
          <w:tab w:val="num" w:pos="993"/>
        </w:tabs>
        <w:spacing w:before="120"/>
        <w:ind w:left="993" w:hanging="284"/>
        <w:jc w:val="both"/>
        <w:rPr>
          <w:rFonts w:ascii="Arial" w:hAnsi="Arial" w:cs="Arial"/>
          <w:sz w:val="22"/>
          <w:szCs w:val="22"/>
        </w:rPr>
      </w:pPr>
      <w:r w:rsidRPr="003A6BCA">
        <w:rPr>
          <w:rFonts w:ascii="Arial" w:hAnsi="Arial" w:cs="Arial"/>
          <w:sz w:val="22"/>
          <w:szCs w:val="22"/>
        </w:rPr>
        <w:t xml:space="preserve">stávající projektová dokumentace – zejména půdorysy všech podlaží i suterénu či sklepu, řezy objektem a pohledy, technickou zprávu;  </w:t>
      </w:r>
    </w:p>
    <w:p w:rsidR="00C14688" w:rsidRPr="003A6BCA" w:rsidRDefault="00C14688" w:rsidP="00C14688">
      <w:pPr>
        <w:numPr>
          <w:ilvl w:val="1"/>
          <w:numId w:val="2"/>
        </w:numPr>
        <w:shd w:val="clear" w:color="auto" w:fill="FFFFFF"/>
        <w:tabs>
          <w:tab w:val="clear" w:pos="1440"/>
          <w:tab w:val="num" w:pos="993"/>
        </w:tabs>
        <w:spacing w:before="120"/>
        <w:ind w:left="993" w:hanging="284"/>
        <w:jc w:val="both"/>
        <w:rPr>
          <w:rFonts w:ascii="Arial" w:hAnsi="Arial" w:cs="Arial"/>
          <w:sz w:val="22"/>
          <w:szCs w:val="22"/>
        </w:rPr>
      </w:pPr>
      <w:r w:rsidRPr="003A6BCA">
        <w:rPr>
          <w:rFonts w:ascii="Arial" w:hAnsi="Arial" w:cs="Arial"/>
          <w:sz w:val="22"/>
          <w:szCs w:val="22"/>
        </w:rPr>
        <w:t>celková situac</w:t>
      </w:r>
      <w:r>
        <w:rPr>
          <w:rFonts w:ascii="Arial" w:hAnsi="Arial" w:cs="Arial"/>
          <w:sz w:val="22"/>
          <w:szCs w:val="22"/>
        </w:rPr>
        <w:t>e</w:t>
      </w:r>
      <w:r w:rsidRPr="003A6BCA">
        <w:rPr>
          <w:rFonts w:ascii="Arial" w:hAnsi="Arial" w:cs="Arial"/>
          <w:sz w:val="22"/>
          <w:szCs w:val="22"/>
        </w:rPr>
        <w:t xml:space="preserve"> stavby (katastrální, inženýrských sítí), ze které bude patrná orientace ke </w:t>
      </w:r>
      <w:r w:rsidRPr="003A6BCA">
        <w:rPr>
          <w:rFonts w:ascii="Arial" w:hAnsi="Arial" w:cs="Arial"/>
          <w:bCs/>
          <w:sz w:val="22"/>
          <w:szCs w:val="22"/>
        </w:rPr>
        <w:t> </w:t>
      </w:r>
      <w:r w:rsidRPr="003A6BCA">
        <w:rPr>
          <w:rFonts w:ascii="Arial" w:hAnsi="Arial" w:cs="Arial"/>
          <w:sz w:val="22"/>
          <w:szCs w:val="22"/>
        </w:rPr>
        <w:t xml:space="preserve"> světovým stranám; </w:t>
      </w:r>
    </w:p>
    <w:p w:rsidR="00C14688" w:rsidRPr="003A6BCA" w:rsidRDefault="00C14688" w:rsidP="00C14688">
      <w:pPr>
        <w:numPr>
          <w:ilvl w:val="1"/>
          <w:numId w:val="2"/>
        </w:numPr>
        <w:shd w:val="clear" w:color="auto" w:fill="FFFFFF"/>
        <w:tabs>
          <w:tab w:val="clear" w:pos="1440"/>
          <w:tab w:val="num" w:pos="993"/>
        </w:tabs>
        <w:spacing w:before="120"/>
        <w:ind w:left="993" w:hanging="284"/>
        <w:jc w:val="both"/>
        <w:rPr>
          <w:rFonts w:ascii="Arial" w:hAnsi="Arial" w:cs="Arial"/>
          <w:sz w:val="22"/>
          <w:szCs w:val="22"/>
        </w:rPr>
      </w:pPr>
      <w:r w:rsidRPr="003A6BCA">
        <w:rPr>
          <w:rFonts w:ascii="Arial" w:hAnsi="Arial" w:cs="Arial"/>
          <w:sz w:val="22"/>
          <w:szCs w:val="22"/>
        </w:rPr>
        <w:t>popis skladeb konstrukcí budovy – tj. zejména podlah, obvodových stěn, stropů a střech;</w:t>
      </w:r>
    </w:p>
    <w:p w:rsidR="00C14688" w:rsidRPr="003A6BCA" w:rsidRDefault="00C14688" w:rsidP="00C14688">
      <w:pPr>
        <w:numPr>
          <w:ilvl w:val="1"/>
          <w:numId w:val="2"/>
        </w:numPr>
        <w:shd w:val="clear" w:color="auto" w:fill="FFFFFF"/>
        <w:tabs>
          <w:tab w:val="clear" w:pos="1440"/>
          <w:tab w:val="num" w:pos="993"/>
        </w:tabs>
        <w:spacing w:before="120"/>
        <w:ind w:left="993" w:hanging="284"/>
        <w:jc w:val="both"/>
        <w:rPr>
          <w:rFonts w:ascii="Arial" w:hAnsi="Arial" w:cs="Arial"/>
          <w:sz w:val="22"/>
          <w:szCs w:val="22"/>
        </w:rPr>
      </w:pPr>
      <w:r w:rsidRPr="003A6BCA">
        <w:rPr>
          <w:rFonts w:ascii="Arial" w:hAnsi="Arial" w:cs="Arial"/>
          <w:sz w:val="22"/>
          <w:szCs w:val="22"/>
        </w:rPr>
        <w:t>popis stavu oken a dveří (druh – stáří – typ zasklení); v případě již částečných výměn i jejich rozpis;</w:t>
      </w:r>
    </w:p>
    <w:p w:rsidR="00C14688" w:rsidRPr="003A6BCA" w:rsidRDefault="00C14688" w:rsidP="00C14688">
      <w:pPr>
        <w:numPr>
          <w:ilvl w:val="1"/>
          <w:numId w:val="2"/>
        </w:numPr>
        <w:shd w:val="clear" w:color="auto" w:fill="FFFFFF"/>
        <w:tabs>
          <w:tab w:val="clear" w:pos="1440"/>
          <w:tab w:val="num" w:pos="993"/>
        </w:tabs>
        <w:spacing w:before="120"/>
        <w:ind w:left="993" w:hanging="284"/>
        <w:jc w:val="both"/>
        <w:rPr>
          <w:rFonts w:ascii="Arial" w:hAnsi="Arial" w:cs="Arial"/>
          <w:sz w:val="22"/>
          <w:szCs w:val="22"/>
        </w:rPr>
      </w:pPr>
      <w:r w:rsidRPr="003A6BCA">
        <w:rPr>
          <w:rFonts w:ascii="Arial" w:hAnsi="Arial" w:cs="Arial"/>
          <w:sz w:val="22"/>
          <w:szCs w:val="22"/>
        </w:rPr>
        <w:t>typ a výkon instalovaného kotle, včetně popisu ohřevu a zásobníku TUV (použité palivo, výkony a příkony zdroje tepla v kW, objem případných zásobníků v litrech);</w:t>
      </w:r>
    </w:p>
    <w:p w:rsidR="00C14688" w:rsidRPr="003A6BCA" w:rsidRDefault="00C14688" w:rsidP="00C14688">
      <w:pPr>
        <w:numPr>
          <w:ilvl w:val="1"/>
          <w:numId w:val="2"/>
        </w:numPr>
        <w:shd w:val="clear" w:color="auto" w:fill="FFFFFF"/>
        <w:tabs>
          <w:tab w:val="clear" w:pos="1440"/>
          <w:tab w:val="num" w:pos="993"/>
        </w:tabs>
        <w:spacing w:before="120"/>
        <w:ind w:left="993" w:hanging="284"/>
        <w:jc w:val="both"/>
        <w:rPr>
          <w:rFonts w:ascii="Arial" w:hAnsi="Arial" w:cs="Arial"/>
          <w:sz w:val="22"/>
          <w:szCs w:val="22"/>
        </w:rPr>
      </w:pPr>
      <w:r w:rsidRPr="003A6BCA">
        <w:rPr>
          <w:rFonts w:ascii="Arial" w:hAnsi="Arial" w:cs="Arial"/>
          <w:sz w:val="22"/>
          <w:szCs w:val="22"/>
        </w:rPr>
        <w:t xml:space="preserve">popis případných technologií na zisk energie (solární, </w:t>
      </w:r>
      <w:proofErr w:type="spellStart"/>
      <w:r w:rsidRPr="003A6BCA">
        <w:rPr>
          <w:rFonts w:ascii="Arial" w:hAnsi="Arial" w:cs="Arial"/>
          <w:sz w:val="22"/>
          <w:szCs w:val="22"/>
        </w:rPr>
        <w:t>fotovoltaické</w:t>
      </w:r>
      <w:proofErr w:type="spellEnd"/>
      <w:r w:rsidRPr="003A6BCA">
        <w:rPr>
          <w:rFonts w:ascii="Arial" w:hAnsi="Arial" w:cs="Arial"/>
          <w:sz w:val="22"/>
          <w:szCs w:val="22"/>
        </w:rPr>
        <w:t xml:space="preserve"> panely, tepelná čerpadla); </w:t>
      </w:r>
    </w:p>
    <w:p w:rsidR="00C14688" w:rsidRPr="003A6BCA" w:rsidRDefault="00C14688" w:rsidP="00C14688">
      <w:pPr>
        <w:numPr>
          <w:ilvl w:val="1"/>
          <w:numId w:val="2"/>
        </w:numPr>
        <w:shd w:val="clear" w:color="auto" w:fill="FFFFFF"/>
        <w:tabs>
          <w:tab w:val="clear" w:pos="1440"/>
          <w:tab w:val="num" w:pos="993"/>
        </w:tabs>
        <w:spacing w:before="120"/>
        <w:ind w:left="993" w:hanging="284"/>
        <w:jc w:val="both"/>
        <w:rPr>
          <w:rFonts w:ascii="Arial" w:hAnsi="Arial" w:cs="Arial"/>
          <w:sz w:val="22"/>
          <w:szCs w:val="22"/>
        </w:rPr>
      </w:pPr>
      <w:r w:rsidRPr="003A6BCA">
        <w:rPr>
          <w:rFonts w:ascii="Arial" w:hAnsi="Arial" w:cs="Arial"/>
          <w:sz w:val="22"/>
          <w:szCs w:val="22"/>
        </w:rPr>
        <w:lastRenderedPageBreak/>
        <w:t>typ osvětlovací soustavy (žárovkové, zářivkové apod.), celkový elektrický příkon osvětlení budovy, způsob ovládání osvětlovací soustavy (ruční, automatický apod.);</w:t>
      </w:r>
    </w:p>
    <w:p w:rsidR="00C14688" w:rsidRPr="003A6BCA" w:rsidRDefault="00C14688" w:rsidP="00C14688">
      <w:pPr>
        <w:numPr>
          <w:ilvl w:val="1"/>
          <w:numId w:val="2"/>
        </w:numPr>
        <w:shd w:val="clear" w:color="auto" w:fill="FFFFFF"/>
        <w:tabs>
          <w:tab w:val="clear" w:pos="1440"/>
          <w:tab w:val="num" w:pos="993"/>
        </w:tabs>
        <w:spacing w:before="120"/>
        <w:ind w:left="993" w:hanging="284"/>
        <w:jc w:val="both"/>
        <w:rPr>
          <w:rFonts w:ascii="Arial" w:hAnsi="Arial" w:cs="Arial"/>
          <w:sz w:val="22"/>
          <w:szCs w:val="22"/>
        </w:rPr>
      </w:pPr>
      <w:r w:rsidRPr="003A6BCA">
        <w:rPr>
          <w:rFonts w:ascii="Arial" w:hAnsi="Arial" w:cs="Arial"/>
          <w:sz w:val="22"/>
          <w:szCs w:val="22"/>
        </w:rPr>
        <w:t xml:space="preserve">popis vzduchotechnického zařízení – je-li instalováno, vč. hlavních technických parametrů (účinnost rekuperace tepla, použití zemního (příp. </w:t>
      </w:r>
      <w:proofErr w:type="spellStart"/>
      <w:r w:rsidRPr="003A6BCA">
        <w:rPr>
          <w:rFonts w:ascii="Arial" w:hAnsi="Arial" w:cs="Arial"/>
          <w:sz w:val="22"/>
          <w:szCs w:val="22"/>
        </w:rPr>
        <w:t>solankového</w:t>
      </w:r>
      <w:proofErr w:type="spellEnd"/>
      <w:r w:rsidRPr="003A6BCA">
        <w:rPr>
          <w:rFonts w:ascii="Arial" w:hAnsi="Arial" w:cs="Arial"/>
          <w:sz w:val="22"/>
          <w:szCs w:val="22"/>
        </w:rPr>
        <w:t xml:space="preserve">) výměníku   k </w:t>
      </w:r>
      <w:r w:rsidRPr="003A6BCA">
        <w:rPr>
          <w:rFonts w:ascii="Arial" w:hAnsi="Arial" w:cs="Arial"/>
          <w:bCs/>
          <w:sz w:val="22"/>
          <w:szCs w:val="22"/>
        </w:rPr>
        <w:t> </w:t>
      </w:r>
      <w:r w:rsidRPr="003A6BCA">
        <w:rPr>
          <w:rFonts w:ascii="Arial" w:hAnsi="Arial" w:cs="Arial"/>
          <w:sz w:val="22"/>
          <w:szCs w:val="22"/>
        </w:rPr>
        <w:t xml:space="preserve"> předehřevu vzduchu, typ a výkon případného ohřívače vzduchu, typ </w:t>
      </w:r>
      <w:proofErr w:type="spellStart"/>
      <w:r w:rsidRPr="003A6BCA">
        <w:rPr>
          <w:rFonts w:ascii="Arial" w:hAnsi="Arial" w:cs="Arial"/>
          <w:sz w:val="22"/>
          <w:szCs w:val="22"/>
        </w:rPr>
        <w:t>protimrazové</w:t>
      </w:r>
      <w:proofErr w:type="spellEnd"/>
      <w:r w:rsidRPr="003A6BCA">
        <w:rPr>
          <w:rFonts w:ascii="Arial" w:hAnsi="Arial" w:cs="Arial"/>
          <w:sz w:val="22"/>
          <w:szCs w:val="22"/>
        </w:rPr>
        <w:t xml:space="preserve"> ochrany);</w:t>
      </w:r>
    </w:p>
    <w:p w:rsidR="00C14688" w:rsidRDefault="00C14688" w:rsidP="00C14688">
      <w:pPr>
        <w:numPr>
          <w:ilvl w:val="1"/>
          <w:numId w:val="2"/>
        </w:numPr>
        <w:shd w:val="clear" w:color="auto" w:fill="FFFFFF"/>
        <w:tabs>
          <w:tab w:val="clear" w:pos="1440"/>
          <w:tab w:val="num" w:pos="993"/>
        </w:tabs>
        <w:spacing w:before="120"/>
        <w:ind w:left="993" w:hanging="284"/>
        <w:jc w:val="both"/>
        <w:rPr>
          <w:rFonts w:ascii="Arial" w:hAnsi="Arial" w:cs="Arial"/>
          <w:sz w:val="22"/>
          <w:szCs w:val="22"/>
        </w:rPr>
      </w:pPr>
      <w:r w:rsidRPr="003A6BCA">
        <w:rPr>
          <w:rFonts w:ascii="Arial" w:hAnsi="Arial" w:cs="Arial"/>
          <w:sz w:val="22"/>
          <w:szCs w:val="22"/>
        </w:rPr>
        <w:t>popis nuceného větrání – je-li instalováno;</w:t>
      </w:r>
    </w:p>
    <w:p w:rsidR="00C14688" w:rsidRPr="003A6BCA" w:rsidRDefault="00C14688" w:rsidP="00C14688">
      <w:pPr>
        <w:numPr>
          <w:ilvl w:val="1"/>
          <w:numId w:val="2"/>
        </w:numPr>
        <w:shd w:val="clear" w:color="auto" w:fill="FFFFFF"/>
        <w:tabs>
          <w:tab w:val="clear" w:pos="1440"/>
          <w:tab w:val="num" w:pos="993"/>
        </w:tabs>
        <w:spacing w:before="120"/>
        <w:ind w:left="993" w:hanging="284"/>
        <w:jc w:val="both"/>
        <w:rPr>
          <w:rFonts w:ascii="Arial" w:hAnsi="Arial" w:cs="Arial"/>
          <w:sz w:val="22"/>
          <w:szCs w:val="22"/>
        </w:rPr>
      </w:pPr>
      <w:r>
        <w:rPr>
          <w:rFonts w:ascii="Arial" w:hAnsi="Arial" w:cs="Arial"/>
          <w:sz w:val="22"/>
          <w:szCs w:val="22"/>
        </w:rPr>
        <w:t>odhad počtu užívajících osob;</w:t>
      </w:r>
    </w:p>
    <w:p w:rsidR="00C14688" w:rsidRPr="003A6BCA" w:rsidRDefault="00C14688" w:rsidP="00C14688">
      <w:pPr>
        <w:numPr>
          <w:ilvl w:val="1"/>
          <w:numId w:val="2"/>
        </w:numPr>
        <w:shd w:val="clear" w:color="auto" w:fill="FFFFFF"/>
        <w:tabs>
          <w:tab w:val="clear" w:pos="1440"/>
          <w:tab w:val="num" w:pos="993"/>
        </w:tabs>
        <w:spacing w:before="120"/>
        <w:ind w:left="993" w:hanging="284"/>
        <w:jc w:val="both"/>
        <w:rPr>
          <w:rFonts w:ascii="Arial" w:hAnsi="Arial" w:cs="Arial"/>
          <w:sz w:val="22"/>
          <w:szCs w:val="22"/>
        </w:rPr>
      </w:pPr>
      <w:r w:rsidRPr="003A6BCA">
        <w:rPr>
          <w:rFonts w:ascii="Arial" w:hAnsi="Arial" w:cs="Arial"/>
          <w:sz w:val="22"/>
          <w:szCs w:val="22"/>
        </w:rPr>
        <w:t>fotografie objektu ze všech světových stran (postačí v digitální formě);</w:t>
      </w:r>
    </w:p>
    <w:p w:rsidR="00C14688" w:rsidRPr="003A6BCA" w:rsidRDefault="00C14688" w:rsidP="00C14688">
      <w:pPr>
        <w:numPr>
          <w:ilvl w:val="1"/>
          <w:numId w:val="2"/>
        </w:numPr>
        <w:shd w:val="clear" w:color="auto" w:fill="FFFFFF"/>
        <w:tabs>
          <w:tab w:val="clear" w:pos="1440"/>
          <w:tab w:val="num" w:pos="993"/>
        </w:tabs>
        <w:spacing w:before="120"/>
        <w:ind w:left="993" w:hanging="284"/>
        <w:jc w:val="both"/>
        <w:rPr>
          <w:rFonts w:ascii="Arial" w:hAnsi="Arial" w:cs="Arial"/>
          <w:sz w:val="22"/>
          <w:szCs w:val="22"/>
        </w:rPr>
      </w:pPr>
      <w:r w:rsidRPr="003A6BCA">
        <w:rPr>
          <w:rFonts w:ascii="Arial" w:hAnsi="Arial" w:cs="Arial"/>
          <w:sz w:val="22"/>
          <w:szCs w:val="22"/>
        </w:rPr>
        <w:t>kopie energetického auditu.</w:t>
      </w:r>
    </w:p>
    <w:p w:rsidR="00C14688" w:rsidRPr="003A6BCA" w:rsidRDefault="00C14688" w:rsidP="00C14688">
      <w:pPr>
        <w:spacing w:before="120"/>
        <w:ind w:left="426"/>
        <w:jc w:val="both"/>
        <w:rPr>
          <w:rFonts w:ascii="Arial" w:hAnsi="Arial" w:cs="Arial"/>
          <w:sz w:val="22"/>
          <w:szCs w:val="22"/>
        </w:rPr>
      </w:pPr>
      <w:r w:rsidRPr="003A6BCA">
        <w:rPr>
          <w:rFonts w:ascii="Arial" w:hAnsi="Arial" w:cs="Arial"/>
          <w:sz w:val="22"/>
          <w:szCs w:val="22"/>
        </w:rPr>
        <w:t>V případě novějších projektových dokumentací mohou být poskytnuty dokumentace v elektronické podobě.</w:t>
      </w:r>
    </w:p>
    <w:p w:rsidR="00C14688" w:rsidRPr="003A6BCA" w:rsidRDefault="00C14688" w:rsidP="00C14688">
      <w:pPr>
        <w:pStyle w:val="Odstavecseseznamem"/>
        <w:numPr>
          <w:ilvl w:val="1"/>
          <w:numId w:val="7"/>
        </w:numPr>
        <w:tabs>
          <w:tab w:val="left" w:pos="426"/>
        </w:tabs>
        <w:spacing w:before="120"/>
        <w:ind w:left="426" w:hanging="568"/>
        <w:jc w:val="both"/>
        <w:rPr>
          <w:rFonts w:ascii="Arial" w:hAnsi="Arial" w:cs="Arial"/>
          <w:sz w:val="22"/>
          <w:szCs w:val="22"/>
        </w:rPr>
      </w:pPr>
      <w:r w:rsidRPr="003A6BCA">
        <w:rPr>
          <w:rFonts w:ascii="Arial" w:hAnsi="Arial" w:cs="Arial"/>
          <w:sz w:val="22"/>
          <w:szCs w:val="22"/>
        </w:rPr>
        <w:t>Na další informace či dokumentac</w:t>
      </w:r>
      <w:r>
        <w:rPr>
          <w:rFonts w:ascii="Arial" w:hAnsi="Arial" w:cs="Arial"/>
          <w:sz w:val="22"/>
          <w:szCs w:val="22"/>
        </w:rPr>
        <w:t>e</w:t>
      </w:r>
      <w:r w:rsidRPr="003A6BCA">
        <w:rPr>
          <w:rFonts w:ascii="Arial" w:hAnsi="Arial" w:cs="Arial"/>
          <w:sz w:val="22"/>
          <w:szCs w:val="22"/>
        </w:rPr>
        <w:t xml:space="preserve"> podle předchozího odst. 3.8 tohoto článku, nemá dodavatel automaticky nárok. Zadavatel informace nebo dokumentaci uvede (přiloží) v objednávce jen v případě, že je bude mít k dispozici.</w:t>
      </w:r>
    </w:p>
    <w:p w:rsidR="00C14688" w:rsidRPr="003A6BCA" w:rsidRDefault="00C14688" w:rsidP="00C14688">
      <w:pPr>
        <w:pStyle w:val="Odstavecseseznamem"/>
        <w:tabs>
          <w:tab w:val="left" w:pos="426"/>
        </w:tabs>
        <w:spacing w:before="120"/>
        <w:ind w:left="426"/>
        <w:jc w:val="both"/>
        <w:rPr>
          <w:rFonts w:ascii="Arial" w:hAnsi="Arial" w:cs="Arial"/>
          <w:sz w:val="22"/>
          <w:szCs w:val="22"/>
        </w:rPr>
      </w:pPr>
      <w:r w:rsidRPr="003A6BCA">
        <w:rPr>
          <w:rFonts w:ascii="Arial" w:hAnsi="Arial" w:cs="Arial"/>
          <w:sz w:val="22"/>
          <w:szCs w:val="22"/>
        </w:rPr>
        <w:t>Objednávka na zpracování PEN u budov k užívání bude obsahovat kopii energetického auditu podle zákona č. 406/2000 Sb., pokud byl zpracován.</w:t>
      </w:r>
    </w:p>
    <w:p w:rsidR="00C14688" w:rsidRPr="00A1190B" w:rsidRDefault="00C14688" w:rsidP="00C14688">
      <w:pPr>
        <w:pStyle w:val="Odstavecseseznamem"/>
        <w:numPr>
          <w:ilvl w:val="1"/>
          <w:numId w:val="7"/>
        </w:numPr>
        <w:tabs>
          <w:tab w:val="left" w:pos="426"/>
        </w:tabs>
        <w:spacing w:before="120"/>
        <w:ind w:left="426" w:hanging="568"/>
        <w:jc w:val="both"/>
        <w:rPr>
          <w:rFonts w:ascii="Arial" w:hAnsi="Arial" w:cs="Arial"/>
          <w:sz w:val="22"/>
          <w:szCs w:val="22"/>
        </w:rPr>
      </w:pPr>
      <w:r w:rsidRPr="003A6BCA">
        <w:rPr>
          <w:rFonts w:ascii="Arial" w:hAnsi="Arial" w:cs="Arial"/>
          <w:sz w:val="22"/>
          <w:szCs w:val="22"/>
        </w:rPr>
        <w:t>Zadavatel není schopen v době uzavření rámcové dohody určit konkrétní budovy k nakládání, natož jakou dokumentaci či informace k budově bude mít k dispozici v době vystavení objednávky. Zadavatel předpokládá, že většina podkladů předaných v rámci objednávky k PEN bude neúplná pro zpracování PEN bez dalšího měření n</w:t>
      </w:r>
      <w:r>
        <w:rPr>
          <w:rFonts w:ascii="Arial" w:hAnsi="Arial" w:cs="Arial"/>
          <w:sz w:val="22"/>
          <w:szCs w:val="22"/>
        </w:rPr>
        <w:t>ebo zjišťování potřebných údajů</w:t>
      </w:r>
      <w:r w:rsidRPr="00A1190B">
        <w:rPr>
          <w:rFonts w:ascii="Arial" w:hAnsi="Arial" w:cs="Arial"/>
          <w:sz w:val="22"/>
          <w:szCs w:val="22"/>
        </w:rPr>
        <w:t>.</w:t>
      </w:r>
    </w:p>
    <w:p w:rsidR="00C14688" w:rsidRPr="003A6BCA" w:rsidRDefault="00C14688" w:rsidP="00C14688">
      <w:pPr>
        <w:pStyle w:val="Odstavecseseznamem"/>
        <w:numPr>
          <w:ilvl w:val="1"/>
          <w:numId w:val="7"/>
        </w:numPr>
        <w:tabs>
          <w:tab w:val="left" w:pos="426"/>
        </w:tabs>
        <w:spacing w:before="120"/>
        <w:ind w:left="426" w:hanging="568"/>
        <w:jc w:val="both"/>
        <w:rPr>
          <w:rFonts w:ascii="Arial" w:hAnsi="Arial" w:cs="Arial"/>
          <w:sz w:val="22"/>
          <w:szCs w:val="22"/>
        </w:rPr>
      </w:pPr>
      <w:r w:rsidRPr="003A6BCA">
        <w:rPr>
          <w:rFonts w:ascii="Arial" w:hAnsi="Arial" w:cs="Arial"/>
          <w:sz w:val="22"/>
          <w:szCs w:val="22"/>
        </w:rPr>
        <w:t>Od data obdržení objednávky bude počítána požadovaná lhůta na zpracování PEN, popř. sankce v případě nedodržení této lhůty.</w:t>
      </w:r>
    </w:p>
    <w:p w:rsidR="00C14688" w:rsidRPr="003A6BCA" w:rsidRDefault="00C14688" w:rsidP="00C14688">
      <w:pPr>
        <w:pStyle w:val="Odstavecseseznamem"/>
        <w:numPr>
          <w:ilvl w:val="1"/>
          <w:numId w:val="7"/>
        </w:numPr>
        <w:tabs>
          <w:tab w:val="left" w:pos="426"/>
        </w:tabs>
        <w:spacing w:before="120"/>
        <w:ind w:left="426" w:hanging="568"/>
        <w:jc w:val="both"/>
        <w:rPr>
          <w:rFonts w:ascii="Arial" w:hAnsi="Arial" w:cs="Arial"/>
          <w:sz w:val="22"/>
          <w:szCs w:val="22"/>
        </w:rPr>
      </w:pPr>
      <w:r w:rsidRPr="003A6BCA">
        <w:rPr>
          <w:rFonts w:ascii="Arial" w:hAnsi="Arial" w:cs="Arial"/>
          <w:sz w:val="22"/>
          <w:szCs w:val="22"/>
        </w:rPr>
        <w:t>Do 3 pracovních dnů od data obdržení objednávky na zpracování PEN konkrétní budovy, dodavatel požádá zadavatele o stanovení termínu prohlídky předmětné budovy za účelem zjištění stavebně technického stavu budovy a provedení potřebných měření pro zpracování PEN.</w:t>
      </w:r>
    </w:p>
    <w:p w:rsidR="00C14688" w:rsidRPr="003A6BCA" w:rsidRDefault="00C14688" w:rsidP="00C14688">
      <w:pPr>
        <w:pStyle w:val="Odstavecseseznamem"/>
        <w:numPr>
          <w:ilvl w:val="1"/>
          <w:numId w:val="7"/>
        </w:numPr>
        <w:tabs>
          <w:tab w:val="left" w:pos="426"/>
        </w:tabs>
        <w:spacing w:before="120"/>
        <w:ind w:left="426" w:hanging="568"/>
        <w:jc w:val="both"/>
        <w:rPr>
          <w:rFonts w:ascii="Arial" w:hAnsi="Arial" w:cs="Arial"/>
          <w:sz w:val="22"/>
          <w:szCs w:val="22"/>
        </w:rPr>
      </w:pPr>
      <w:r w:rsidRPr="003A6BCA">
        <w:rPr>
          <w:rFonts w:ascii="Arial" w:hAnsi="Arial" w:cs="Arial"/>
          <w:sz w:val="22"/>
          <w:szCs w:val="22"/>
        </w:rPr>
        <w:t>Termín(y) prohlídky, popř. potřebných měření stanoví zadavatel s ohledem na návrhy dodavatele, ale též s ohledem na nenarušení provozu uživatelů budovy (např. mimo pracovní dobu apod.).</w:t>
      </w:r>
    </w:p>
    <w:p w:rsidR="00C14688" w:rsidRPr="003A6BCA" w:rsidRDefault="00C14688" w:rsidP="00C14688">
      <w:pPr>
        <w:pStyle w:val="Odstavecseseznamem"/>
        <w:numPr>
          <w:ilvl w:val="1"/>
          <w:numId w:val="7"/>
        </w:numPr>
        <w:tabs>
          <w:tab w:val="left" w:pos="426"/>
        </w:tabs>
        <w:spacing w:before="120"/>
        <w:ind w:left="426" w:hanging="568"/>
        <w:jc w:val="both"/>
        <w:rPr>
          <w:rFonts w:ascii="Arial" w:hAnsi="Arial" w:cs="Arial"/>
          <w:sz w:val="22"/>
          <w:szCs w:val="22"/>
        </w:rPr>
      </w:pPr>
      <w:r w:rsidRPr="003A6BCA">
        <w:rPr>
          <w:rFonts w:ascii="Arial" w:hAnsi="Arial" w:cs="Arial"/>
          <w:sz w:val="22"/>
          <w:szCs w:val="22"/>
        </w:rPr>
        <w:t xml:space="preserve">V případě, že se nepodaří zadavateli zajistit termín prohlídky budovy do 5 pracovních dnů od požadavku dodavatele, a to z důvodů na straně zadavatele, pak zadavatel prodlouží lhůtu dodání PEN o počet dnů, o který bude posunut termín prohlídky nad uvedenou lhůtu 5 pracovních dnů, </w:t>
      </w:r>
      <w:proofErr w:type="gramStart"/>
      <w:r w:rsidRPr="003A6BCA">
        <w:rPr>
          <w:rFonts w:ascii="Arial" w:hAnsi="Arial" w:cs="Arial"/>
          <w:sz w:val="22"/>
          <w:szCs w:val="22"/>
        </w:rPr>
        <w:t>nebo-</w:t>
      </w:r>
      <w:proofErr w:type="spellStart"/>
      <w:r w:rsidRPr="003A6BCA">
        <w:rPr>
          <w:rFonts w:ascii="Arial" w:hAnsi="Arial" w:cs="Arial"/>
          <w:sz w:val="22"/>
          <w:szCs w:val="22"/>
        </w:rPr>
        <w:t>li</w:t>
      </w:r>
      <w:proofErr w:type="spellEnd"/>
      <w:proofErr w:type="gramEnd"/>
      <w:r w:rsidRPr="003A6BCA">
        <w:rPr>
          <w:rFonts w:ascii="Arial" w:hAnsi="Arial" w:cs="Arial"/>
          <w:sz w:val="22"/>
          <w:szCs w:val="22"/>
        </w:rPr>
        <w:t xml:space="preserve"> nad lhůtu 8 pracovních dnů od přijetí objednávky ze strany dodavatele. Změnu termínu pak účastníci dohody zaznamenají do předávacího protokolu, prostřednictvím kterého dodavatel předá a zadavatel převezme příslušný PEN.</w:t>
      </w:r>
    </w:p>
    <w:p w:rsidR="00C14688" w:rsidRPr="003A6BCA" w:rsidRDefault="00C14688" w:rsidP="00C14688">
      <w:pPr>
        <w:pStyle w:val="Odstavecseseznamem"/>
        <w:numPr>
          <w:ilvl w:val="1"/>
          <w:numId w:val="7"/>
        </w:numPr>
        <w:tabs>
          <w:tab w:val="left" w:pos="426"/>
        </w:tabs>
        <w:spacing w:before="120"/>
        <w:ind w:left="426" w:hanging="568"/>
        <w:jc w:val="both"/>
        <w:rPr>
          <w:rFonts w:ascii="Arial" w:hAnsi="Arial" w:cs="Arial"/>
          <w:sz w:val="22"/>
          <w:szCs w:val="22"/>
        </w:rPr>
      </w:pPr>
      <w:r w:rsidRPr="003A6BCA">
        <w:rPr>
          <w:rFonts w:ascii="Arial" w:hAnsi="Arial" w:cs="Arial"/>
          <w:sz w:val="22"/>
          <w:szCs w:val="22"/>
        </w:rPr>
        <w:t>Dodavatel předá PEN zadavateli v jeho sídle, jako dílčí plnění zakázky, a to v listinné podobě ve třech originálech a v elektronické formě na CD/DVD. Dodavatel zároveň připraví předávací protokol. Zadavatel zkontroluje podklady k PEN a v případě, že neshledá nedostatky, potvrdí dodavateli převzetí PEN na předávacím protokole.</w:t>
      </w:r>
    </w:p>
    <w:p w:rsidR="00C14688" w:rsidRPr="003A6BCA" w:rsidRDefault="00C14688" w:rsidP="00C14688">
      <w:pPr>
        <w:pStyle w:val="Odstavecseseznamem"/>
        <w:numPr>
          <w:ilvl w:val="1"/>
          <w:numId w:val="7"/>
        </w:numPr>
        <w:tabs>
          <w:tab w:val="left" w:pos="426"/>
        </w:tabs>
        <w:spacing w:before="120"/>
        <w:ind w:left="426" w:hanging="568"/>
        <w:jc w:val="both"/>
        <w:rPr>
          <w:rFonts w:ascii="Arial" w:hAnsi="Arial" w:cs="Arial"/>
          <w:sz w:val="22"/>
          <w:szCs w:val="22"/>
        </w:rPr>
      </w:pPr>
      <w:r w:rsidRPr="003A6BCA">
        <w:rPr>
          <w:rFonts w:ascii="Arial" w:hAnsi="Arial" w:cs="Arial"/>
          <w:sz w:val="22"/>
          <w:szCs w:val="22"/>
        </w:rPr>
        <w:t xml:space="preserve">Pokud zadavatel shledá nedostatky v předávaných podkladech PEN, pak je vymezí v předávacím protokole. Dodavatel je povinen zjištěné nedostatky odstranit a znovu vyzvat zadavatele k převzetí PEN. Lhůta ke zpracování a předání PEN končí až dnem potvrzení zadavatel o převzetí „bezvadného“ PEN na předávacím protokole. </w:t>
      </w:r>
    </w:p>
    <w:p w:rsidR="00C14688" w:rsidRDefault="00C14688" w:rsidP="00C14688">
      <w:pPr>
        <w:spacing w:before="360"/>
        <w:jc w:val="center"/>
        <w:rPr>
          <w:rFonts w:ascii="Arial" w:hAnsi="Arial" w:cs="Arial"/>
          <w:b/>
          <w:sz w:val="22"/>
          <w:szCs w:val="22"/>
        </w:rPr>
      </w:pPr>
    </w:p>
    <w:p w:rsidR="00C14688" w:rsidRDefault="00C14688" w:rsidP="00C14688">
      <w:pPr>
        <w:spacing w:before="360"/>
        <w:jc w:val="center"/>
        <w:rPr>
          <w:rFonts w:ascii="Arial" w:hAnsi="Arial" w:cs="Arial"/>
          <w:b/>
          <w:sz w:val="22"/>
          <w:szCs w:val="22"/>
        </w:rPr>
      </w:pPr>
    </w:p>
    <w:p w:rsidR="00C14688" w:rsidRPr="003A6BCA" w:rsidRDefault="00C14688" w:rsidP="00C14688">
      <w:pPr>
        <w:spacing w:before="360"/>
        <w:jc w:val="center"/>
        <w:rPr>
          <w:rFonts w:ascii="Arial" w:hAnsi="Arial" w:cs="Arial"/>
          <w:b/>
          <w:sz w:val="22"/>
          <w:szCs w:val="22"/>
        </w:rPr>
      </w:pPr>
      <w:r w:rsidRPr="003A6BCA">
        <w:rPr>
          <w:rFonts w:ascii="Arial" w:hAnsi="Arial" w:cs="Arial"/>
          <w:b/>
          <w:sz w:val="22"/>
          <w:szCs w:val="22"/>
        </w:rPr>
        <w:lastRenderedPageBreak/>
        <w:t xml:space="preserve">Čl. </w:t>
      </w:r>
      <w:r>
        <w:rPr>
          <w:rFonts w:ascii="Arial" w:hAnsi="Arial" w:cs="Arial"/>
          <w:b/>
          <w:sz w:val="22"/>
          <w:szCs w:val="22"/>
        </w:rPr>
        <w:t>IV</w:t>
      </w:r>
      <w:r w:rsidRPr="003A6BCA">
        <w:rPr>
          <w:rFonts w:ascii="Arial" w:hAnsi="Arial" w:cs="Arial"/>
          <w:b/>
          <w:sz w:val="22"/>
          <w:szCs w:val="22"/>
        </w:rPr>
        <w:t>.</w:t>
      </w:r>
    </w:p>
    <w:p w:rsidR="00C14688" w:rsidRPr="003A6BCA" w:rsidRDefault="00C14688" w:rsidP="00C14688">
      <w:pPr>
        <w:spacing w:after="240"/>
        <w:jc w:val="center"/>
        <w:rPr>
          <w:rFonts w:ascii="Arial" w:hAnsi="Arial" w:cs="Arial"/>
          <w:b/>
          <w:sz w:val="22"/>
          <w:szCs w:val="22"/>
        </w:rPr>
      </w:pPr>
      <w:r w:rsidRPr="003A6BCA">
        <w:rPr>
          <w:rFonts w:ascii="Arial" w:hAnsi="Arial" w:cs="Arial"/>
          <w:b/>
          <w:sz w:val="22"/>
          <w:szCs w:val="22"/>
        </w:rPr>
        <w:t>Místo, doba a lhůty plnění předmětu rámcové dohody</w:t>
      </w:r>
    </w:p>
    <w:p w:rsidR="00C14688" w:rsidRPr="003A6BCA" w:rsidRDefault="00C14688" w:rsidP="00C14688">
      <w:pPr>
        <w:ind w:left="426" w:hanging="568"/>
        <w:jc w:val="both"/>
        <w:rPr>
          <w:rFonts w:ascii="Arial" w:hAnsi="Arial" w:cs="Arial"/>
          <w:sz w:val="22"/>
          <w:szCs w:val="22"/>
        </w:rPr>
      </w:pPr>
      <w:r w:rsidRPr="003A6BCA">
        <w:rPr>
          <w:rStyle w:val="FontStyle16"/>
          <w:sz w:val="22"/>
          <w:szCs w:val="22"/>
        </w:rPr>
        <w:t>4.1</w:t>
      </w:r>
      <w:r w:rsidRPr="003A6BCA">
        <w:rPr>
          <w:rStyle w:val="FontStyle16"/>
          <w:sz w:val="22"/>
          <w:szCs w:val="22"/>
        </w:rPr>
        <w:tab/>
      </w:r>
      <w:r w:rsidRPr="003A6BCA">
        <w:rPr>
          <w:rFonts w:ascii="Arial" w:hAnsi="Arial" w:cs="Arial"/>
          <w:sz w:val="22"/>
          <w:szCs w:val="22"/>
        </w:rPr>
        <w:t>Místem plnění rámcové dohody budou jednotlivé budovy určené zadavatelem v objednávce ke zpracování PEN.</w:t>
      </w:r>
    </w:p>
    <w:p w:rsidR="00C14688" w:rsidRPr="003A6BCA" w:rsidRDefault="00C14688" w:rsidP="00C14688">
      <w:pPr>
        <w:spacing w:before="120"/>
        <w:ind w:left="425" w:hanging="567"/>
        <w:jc w:val="both"/>
        <w:rPr>
          <w:rFonts w:ascii="Arial" w:hAnsi="Arial" w:cs="Arial"/>
          <w:sz w:val="22"/>
          <w:szCs w:val="22"/>
        </w:rPr>
      </w:pPr>
      <w:r w:rsidRPr="003A6BCA">
        <w:rPr>
          <w:rFonts w:ascii="Arial" w:hAnsi="Arial" w:cs="Arial"/>
          <w:sz w:val="22"/>
          <w:szCs w:val="22"/>
        </w:rPr>
        <w:t xml:space="preserve">4.2 </w:t>
      </w:r>
      <w:r w:rsidRPr="003A6BCA">
        <w:rPr>
          <w:rFonts w:ascii="Arial" w:hAnsi="Arial" w:cs="Arial"/>
          <w:sz w:val="22"/>
          <w:szCs w:val="22"/>
        </w:rPr>
        <w:tab/>
        <w:t xml:space="preserve">Místem předání PEN bude sídlo pracoviště zadavatele, které vystavilo objednávku. </w:t>
      </w:r>
    </w:p>
    <w:p w:rsidR="00C14688" w:rsidRPr="003A6BCA" w:rsidRDefault="00C14688" w:rsidP="00C14688">
      <w:pPr>
        <w:spacing w:before="120"/>
        <w:ind w:left="425" w:hanging="567"/>
        <w:jc w:val="both"/>
        <w:rPr>
          <w:rFonts w:ascii="Arial" w:hAnsi="Arial" w:cs="Arial"/>
          <w:sz w:val="22"/>
          <w:szCs w:val="22"/>
        </w:rPr>
      </w:pPr>
      <w:r w:rsidRPr="003A6BCA">
        <w:rPr>
          <w:rFonts w:ascii="Arial" w:hAnsi="Arial" w:cs="Arial"/>
          <w:sz w:val="22"/>
          <w:szCs w:val="22"/>
        </w:rPr>
        <w:t>4.3</w:t>
      </w:r>
      <w:r w:rsidRPr="003A6BCA">
        <w:rPr>
          <w:rFonts w:ascii="Arial" w:hAnsi="Arial" w:cs="Arial"/>
          <w:sz w:val="22"/>
          <w:szCs w:val="22"/>
        </w:rPr>
        <w:tab/>
        <w:t xml:space="preserve">Rámcová dohoda </w:t>
      </w:r>
      <w:r>
        <w:rPr>
          <w:rFonts w:ascii="Arial" w:hAnsi="Arial" w:cs="Arial"/>
          <w:sz w:val="22"/>
          <w:szCs w:val="22"/>
        </w:rPr>
        <w:t xml:space="preserve">se uzavírá </w:t>
      </w:r>
      <w:r w:rsidRPr="003A6BCA">
        <w:rPr>
          <w:rFonts w:ascii="Arial" w:hAnsi="Arial" w:cs="Arial"/>
          <w:sz w:val="22"/>
          <w:szCs w:val="22"/>
        </w:rPr>
        <w:t>na dobu určitou</w:t>
      </w:r>
      <w:r>
        <w:rPr>
          <w:rFonts w:ascii="Arial" w:hAnsi="Arial" w:cs="Arial"/>
          <w:sz w:val="22"/>
          <w:szCs w:val="22"/>
        </w:rPr>
        <w:t xml:space="preserve"> nejpozději </w:t>
      </w:r>
      <w:r w:rsidRPr="00727E0D">
        <w:rPr>
          <w:rFonts w:ascii="Arial" w:hAnsi="Arial" w:cs="Arial"/>
          <w:b/>
          <w:sz w:val="22"/>
          <w:szCs w:val="22"/>
        </w:rPr>
        <w:t>do 31. 12. 2025</w:t>
      </w:r>
      <w:r w:rsidRPr="003A6BCA">
        <w:rPr>
          <w:rFonts w:ascii="Arial" w:hAnsi="Arial" w:cs="Arial"/>
          <w:b/>
          <w:iCs/>
          <w:sz w:val="22"/>
          <w:szCs w:val="22"/>
        </w:rPr>
        <w:t xml:space="preserve"> </w:t>
      </w:r>
      <w:r w:rsidRPr="00FC55A5">
        <w:rPr>
          <w:rFonts w:ascii="Arial" w:hAnsi="Arial" w:cs="Arial"/>
          <w:sz w:val="22"/>
          <w:szCs w:val="22"/>
        </w:rPr>
        <w:t xml:space="preserve">anebo do vyčerpání finančního limitu </w:t>
      </w:r>
      <w:r w:rsidRPr="003A6BCA">
        <w:rPr>
          <w:rFonts w:ascii="Arial" w:hAnsi="Arial" w:cs="Arial"/>
          <w:b/>
          <w:sz w:val="22"/>
          <w:szCs w:val="22"/>
        </w:rPr>
        <w:t xml:space="preserve">ve výši </w:t>
      </w:r>
      <w:r>
        <w:rPr>
          <w:rFonts w:ascii="Arial" w:hAnsi="Arial" w:cs="Arial"/>
          <w:b/>
          <w:sz w:val="22"/>
          <w:szCs w:val="22"/>
        </w:rPr>
        <w:t>4</w:t>
      </w:r>
      <w:r w:rsidRPr="003A6BCA">
        <w:rPr>
          <w:rFonts w:ascii="Arial" w:hAnsi="Arial" w:cs="Arial"/>
          <w:b/>
          <w:sz w:val="22"/>
          <w:szCs w:val="22"/>
        </w:rPr>
        <w:t xml:space="preserve">00 000 Kč bez DPH, tj. </w:t>
      </w:r>
      <w:r>
        <w:rPr>
          <w:rFonts w:ascii="Arial" w:hAnsi="Arial" w:cs="Arial"/>
          <w:b/>
          <w:sz w:val="22"/>
          <w:szCs w:val="22"/>
        </w:rPr>
        <w:t xml:space="preserve">484 </w:t>
      </w:r>
      <w:r w:rsidRPr="003A6BCA">
        <w:rPr>
          <w:rFonts w:ascii="Arial" w:hAnsi="Arial" w:cs="Arial"/>
          <w:b/>
          <w:sz w:val="22"/>
          <w:szCs w:val="22"/>
        </w:rPr>
        <w:t>000 Kč s DPH</w:t>
      </w:r>
      <w:r w:rsidRPr="003A6BCA">
        <w:rPr>
          <w:rFonts w:ascii="Arial" w:hAnsi="Arial" w:cs="Arial"/>
          <w:sz w:val="22"/>
          <w:szCs w:val="22"/>
        </w:rPr>
        <w:t xml:space="preserve"> (dále jen „finanční limit“), a to podle toho, která z těchto skutečností nastane dříve. Do finančního limitu budou započítávány veškeré úhrady za provádění díla na základě rámcové dohody. </w:t>
      </w:r>
    </w:p>
    <w:p w:rsidR="00C14688" w:rsidRPr="003A6BCA" w:rsidRDefault="00C14688" w:rsidP="00C14688">
      <w:pPr>
        <w:spacing w:before="120"/>
        <w:ind w:left="425" w:firstLine="1"/>
        <w:jc w:val="both"/>
        <w:rPr>
          <w:rFonts w:ascii="Arial" w:hAnsi="Arial" w:cs="Arial"/>
          <w:sz w:val="22"/>
          <w:szCs w:val="22"/>
        </w:rPr>
      </w:pPr>
      <w:r w:rsidRPr="003A6BCA">
        <w:rPr>
          <w:rFonts w:ascii="Arial" w:hAnsi="Arial" w:cs="Arial"/>
          <w:sz w:val="22"/>
          <w:szCs w:val="22"/>
        </w:rPr>
        <w:t>Na čerpání finančn</w:t>
      </w:r>
      <w:r>
        <w:rPr>
          <w:rFonts w:ascii="Arial" w:hAnsi="Arial" w:cs="Arial"/>
          <w:sz w:val="22"/>
          <w:szCs w:val="22"/>
        </w:rPr>
        <w:t xml:space="preserve">ího limitu nevzniká dodavateli </w:t>
      </w:r>
      <w:r w:rsidRPr="003A6BCA">
        <w:rPr>
          <w:rFonts w:ascii="Arial" w:hAnsi="Arial" w:cs="Arial"/>
          <w:sz w:val="22"/>
          <w:szCs w:val="22"/>
        </w:rPr>
        <w:t xml:space="preserve">právní nárok. </w:t>
      </w:r>
    </w:p>
    <w:p w:rsidR="00C14688" w:rsidRPr="003A6BCA" w:rsidRDefault="00C14688" w:rsidP="00C14688">
      <w:pPr>
        <w:spacing w:before="120"/>
        <w:ind w:left="425" w:hanging="567"/>
        <w:jc w:val="both"/>
        <w:rPr>
          <w:rFonts w:ascii="Arial" w:hAnsi="Arial" w:cs="Arial"/>
          <w:b/>
          <w:sz w:val="22"/>
          <w:szCs w:val="22"/>
        </w:rPr>
      </w:pPr>
      <w:r w:rsidRPr="003A6BCA">
        <w:rPr>
          <w:rFonts w:ascii="Arial" w:hAnsi="Arial" w:cs="Arial"/>
          <w:sz w:val="22"/>
          <w:szCs w:val="22"/>
        </w:rPr>
        <w:t xml:space="preserve">4.4 </w:t>
      </w:r>
      <w:r w:rsidRPr="003A6BCA">
        <w:rPr>
          <w:rFonts w:ascii="Arial" w:hAnsi="Arial" w:cs="Arial"/>
          <w:sz w:val="22"/>
          <w:szCs w:val="22"/>
        </w:rPr>
        <w:tab/>
        <w:t xml:space="preserve">Lhůta na zpracování a předání jednoho PEN bez vad je stanovena jednotně pro všechny kategorie budov v délce </w:t>
      </w:r>
      <w:r w:rsidRPr="003A6BCA">
        <w:rPr>
          <w:rFonts w:ascii="Arial" w:hAnsi="Arial" w:cs="Arial"/>
          <w:b/>
          <w:sz w:val="22"/>
          <w:szCs w:val="22"/>
        </w:rPr>
        <w:t xml:space="preserve">do </w:t>
      </w:r>
      <w:r>
        <w:rPr>
          <w:rFonts w:ascii="Arial" w:hAnsi="Arial" w:cs="Arial"/>
          <w:b/>
          <w:sz w:val="22"/>
          <w:szCs w:val="22"/>
        </w:rPr>
        <w:t>20</w:t>
      </w:r>
      <w:r w:rsidRPr="003A6BCA">
        <w:rPr>
          <w:rFonts w:ascii="Arial" w:hAnsi="Arial" w:cs="Arial"/>
          <w:b/>
          <w:sz w:val="22"/>
          <w:szCs w:val="22"/>
        </w:rPr>
        <w:t xml:space="preserve"> pracovních dnů</w:t>
      </w:r>
      <w:r w:rsidRPr="003A6BCA">
        <w:rPr>
          <w:rFonts w:ascii="Arial" w:hAnsi="Arial" w:cs="Arial"/>
          <w:sz w:val="22"/>
          <w:szCs w:val="22"/>
        </w:rPr>
        <w:t>. Lhůta začíná běžet den následující po přijmutí objednávky a končí potvrzením zadavatele o „bezvadném“ převzetí PEN na předávacím protokole.</w:t>
      </w:r>
    </w:p>
    <w:p w:rsidR="00C14688" w:rsidRPr="003A6BCA" w:rsidRDefault="00C14688" w:rsidP="00C14688">
      <w:pPr>
        <w:spacing w:before="360"/>
        <w:jc w:val="center"/>
        <w:rPr>
          <w:rFonts w:ascii="Arial" w:hAnsi="Arial" w:cs="Arial"/>
          <w:b/>
          <w:sz w:val="22"/>
          <w:szCs w:val="22"/>
        </w:rPr>
      </w:pPr>
      <w:r w:rsidRPr="003A6BCA">
        <w:rPr>
          <w:rFonts w:ascii="Arial" w:hAnsi="Arial" w:cs="Arial"/>
          <w:b/>
          <w:sz w:val="22"/>
          <w:szCs w:val="22"/>
        </w:rPr>
        <w:t xml:space="preserve">Čl. </w:t>
      </w:r>
      <w:r>
        <w:rPr>
          <w:rFonts w:ascii="Arial" w:hAnsi="Arial" w:cs="Arial"/>
          <w:b/>
          <w:sz w:val="22"/>
          <w:szCs w:val="22"/>
        </w:rPr>
        <w:t>V</w:t>
      </w:r>
      <w:r w:rsidRPr="003A6BCA">
        <w:rPr>
          <w:rFonts w:ascii="Arial" w:hAnsi="Arial" w:cs="Arial"/>
          <w:b/>
          <w:sz w:val="22"/>
          <w:szCs w:val="22"/>
        </w:rPr>
        <w:t>.</w:t>
      </w:r>
    </w:p>
    <w:p w:rsidR="00C14688" w:rsidRPr="003A6BCA" w:rsidRDefault="00C14688" w:rsidP="00C14688">
      <w:pPr>
        <w:spacing w:after="240"/>
        <w:jc w:val="center"/>
        <w:rPr>
          <w:rFonts w:ascii="Arial" w:hAnsi="Arial" w:cs="Arial"/>
          <w:b/>
          <w:sz w:val="22"/>
          <w:szCs w:val="22"/>
        </w:rPr>
      </w:pPr>
      <w:r w:rsidRPr="003A6BCA">
        <w:rPr>
          <w:rFonts w:ascii="Arial" w:hAnsi="Arial" w:cs="Arial"/>
          <w:b/>
          <w:sz w:val="22"/>
          <w:szCs w:val="22"/>
        </w:rPr>
        <w:t>Ceny předmětu rámcové dohody a platební podmínky</w:t>
      </w:r>
    </w:p>
    <w:p w:rsidR="00C14688" w:rsidRPr="003A6BCA" w:rsidRDefault="00C14688" w:rsidP="00C14688">
      <w:pPr>
        <w:pStyle w:val="Odstavecseseznamem"/>
        <w:widowControl w:val="0"/>
        <w:numPr>
          <w:ilvl w:val="1"/>
          <w:numId w:val="13"/>
        </w:numPr>
        <w:tabs>
          <w:tab w:val="left" w:pos="-567"/>
        </w:tabs>
        <w:autoSpaceDE w:val="0"/>
        <w:autoSpaceDN w:val="0"/>
        <w:adjustRightInd w:val="0"/>
        <w:ind w:left="426" w:hanging="568"/>
        <w:jc w:val="both"/>
        <w:rPr>
          <w:rFonts w:ascii="Arial" w:hAnsi="Arial" w:cs="Arial"/>
          <w:sz w:val="22"/>
          <w:szCs w:val="22"/>
        </w:rPr>
      </w:pPr>
      <w:r w:rsidRPr="003A6BCA">
        <w:rPr>
          <w:rFonts w:ascii="Arial" w:hAnsi="Arial" w:cs="Arial"/>
          <w:sz w:val="22"/>
          <w:szCs w:val="22"/>
        </w:rPr>
        <w:t>Smluvní ceny odpo</w:t>
      </w:r>
      <w:r>
        <w:rPr>
          <w:rFonts w:ascii="Arial" w:hAnsi="Arial" w:cs="Arial"/>
          <w:sz w:val="22"/>
          <w:szCs w:val="22"/>
        </w:rPr>
        <w:t>vídají nabídkové ceně dodavatele</w:t>
      </w:r>
      <w:r w:rsidRPr="003A6BCA">
        <w:rPr>
          <w:rFonts w:ascii="Arial" w:hAnsi="Arial" w:cs="Arial"/>
          <w:sz w:val="22"/>
          <w:szCs w:val="22"/>
        </w:rPr>
        <w:t xml:space="preserve"> a jsou uvedeny v příloze č. 1 rámcové dohody.</w:t>
      </w:r>
    </w:p>
    <w:p w:rsidR="00C14688" w:rsidRPr="003A6BCA" w:rsidRDefault="00C14688" w:rsidP="00C14688">
      <w:pPr>
        <w:pStyle w:val="Odstavecseseznamem"/>
        <w:widowControl w:val="0"/>
        <w:numPr>
          <w:ilvl w:val="1"/>
          <w:numId w:val="13"/>
        </w:numPr>
        <w:tabs>
          <w:tab w:val="left" w:pos="-567"/>
        </w:tabs>
        <w:autoSpaceDE w:val="0"/>
        <w:autoSpaceDN w:val="0"/>
        <w:adjustRightInd w:val="0"/>
        <w:spacing w:before="120"/>
        <w:ind w:left="425" w:hanging="567"/>
        <w:jc w:val="both"/>
        <w:rPr>
          <w:rFonts w:ascii="Arial" w:hAnsi="Arial" w:cs="Arial"/>
          <w:bCs/>
          <w:sz w:val="22"/>
          <w:szCs w:val="22"/>
        </w:rPr>
      </w:pPr>
      <w:r w:rsidRPr="003A6BCA">
        <w:rPr>
          <w:rFonts w:ascii="Arial" w:hAnsi="Arial" w:cs="Arial"/>
          <w:sz w:val="22"/>
          <w:szCs w:val="22"/>
        </w:rPr>
        <w:t xml:space="preserve">Ceny za zpracování PEN podle odst. 5.1 tohoto článku této rámcové dohody jsou stanoveny jako ceny konečné a neměnné po dobu platnosti a účinnosti rámcové dohody. </w:t>
      </w:r>
    </w:p>
    <w:p w:rsidR="00C14688" w:rsidRPr="003A6BCA" w:rsidRDefault="00C14688" w:rsidP="00C14688">
      <w:pPr>
        <w:pStyle w:val="Odstavecseseznamem"/>
        <w:widowControl w:val="0"/>
        <w:numPr>
          <w:ilvl w:val="1"/>
          <w:numId w:val="13"/>
        </w:numPr>
        <w:tabs>
          <w:tab w:val="left" w:pos="-567"/>
        </w:tabs>
        <w:autoSpaceDE w:val="0"/>
        <w:autoSpaceDN w:val="0"/>
        <w:adjustRightInd w:val="0"/>
        <w:spacing w:before="120"/>
        <w:ind w:left="425" w:hanging="567"/>
        <w:jc w:val="both"/>
        <w:rPr>
          <w:rFonts w:ascii="Arial" w:hAnsi="Arial" w:cs="Arial"/>
          <w:bCs/>
          <w:sz w:val="22"/>
          <w:szCs w:val="22"/>
        </w:rPr>
      </w:pPr>
      <w:r>
        <w:rPr>
          <w:rFonts w:ascii="Arial" w:hAnsi="Arial" w:cs="Arial"/>
          <w:sz w:val="22"/>
          <w:szCs w:val="22"/>
        </w:rPr>
        <w:t>Dodavatel není oprávněn</w:t>
      </w:r>
      <w:r w:rsidRPr="003A6BCA">
        <w:rPr>
          <w:rFonts w:ascii="Arial" w:hAnsi="Arial" w:cs="Arial"/>
          <w:sz w:val="22"/>
          <w:szCs w:val="22"/>
        </w:rPr>
        <w:t xml:space="preserve"> v průběhu plnění a po dobu platnosti a účinnosti rámcové dohody požadovat jakékoliv úpravy (nabídkových) smluvních cen, a to např. ani z důvodu změny prováděcí vyhlášky, kterou nedojde k zásadní změně obsahu, charakteru či účelu PEN nebo z důvodu, že musí ke každé budově pořizovat ještě další informace potřebné pro zpracování PEN, opakovaně provádět místní měření, </w:t>
      </w:r>
      <w:r w:rsidRPr="003A6BCA">
        <w:rPr>
          <w:rFonts w:ascii="Arial" w:hAnsi="Arial" w:cs="Arial"/>
          <w:bCs/>
          <w:sz w:val="22"/>
          <w:szCs w:val="22"/>
        </w:rPr>
        <w:t>anebo poskytli nekvalitní službu či dodávku, v jejichž důsledku bylo nezbytné poskytnout další plnění pro komplexní a řádné splnění dílčího nebo celého předmětu rámcové dohody.</w:t>
      </w:r>
      <w:r w:rsidRPr="003A6BCA">
        <w:rPr>
          <w:rFonts w:ascii="Arial" w:hAnsi="Arial" w:cs="Arial"/>
          <w:sz w:val="22"/>
          <w:szCs w:val="22"/>
        </w:rPr>
        <w:t xml:space="preserve">  </w:t>
      </w:r>
    </w:p>
    <w:p w:rsidR="00C14688" w:rsidRPr="003A6BCA" w:rsidRDefault="00C14688" w:rsidP="00C14688">
      <w:pPr>
        <w:pStyle w:val="Odstavecseseznamem"/>
        <w:widowControl w:val="0"/>
        <w:numPr>
          <w:ilvl w:val="1"/>
          <w:numId w:val="13"/>
        </w:numPr>
        <w:tabs>
          <w:tab w:val="left" w:pos="-567"/>
        </w:tabs>
        <w:autoSpaceDE w:val="0"/>
        <w:autoSpaceDN w:val="0"/>
        <w:adjustRightInd w:val="0"/>
        <w:spacing w:before="120"/>
        <w:ind w:left="425" w:hanging="567"/>
        <w:jc w:val="both"/>
        <w:rPr>
          <w:rFonts w:ascii="Arial" w:hAnsi="Arial" w:cs="Arial"/>
          <w:sz w:val="22"/>
          <w:szCs w:val="22"/>
        </w:rPr>
      </w:pPr>
      <w:r w:rsidRPr="003A6BCA">
        <w:rPr>
          <w:rFonts w:ascii="Arial" w:hAnsi="Arial" w:cs="Arial"/>
          <w:bCs/>
          <w:sz w:val="22"/>
          <w:szCs w:val="22"/>
        </w:rPr>
        <w:t>Všechny ceny musí být stanoveny jako ceny nejvýše přípustné a konečné. V těchto cenách musí být již započítány veškeré související náklady, poplatky, pojištění, licence, náklady na dopravu, diety, kolky, kopírování podkladů apod.</w:t>
      </w:r>
    </w:p>
    <w:p w:rsidR="00C14688" w:rsidRPr="003A6BCA" w:rsidRDefault="00C14688" w:rsidP="00C14688">
      <w:pPr>
        <w:pStyle w:val="Odstavecseseznamem"/>
        <w:widowControl w:val="0"/>
        <w:numPr>
          <w:ilvl w:val="1"/>
          <w:numId w:val="13"/>
        </w:numPr>
        <w:tabs>
          <w:tab w:val="left" w:pos="-567"/>
        </w:tabs>
        <w:autoSpaceDE w:val="0"/>
        <w:autoSpaceDN w:val="0"/>
        <w:adjustRightInd w:val="0"/>
        <w:spacing w:before="120"/>
        <w:ind w:left="425" w:hanging="567"/>
        <w:jc w:val="both"/>
        <w:rPr>
          <w:rFonts w:ascii="Arial" w:hAnsi="Arial" w:cs="Arial"/>
          <w:bCs/>
          <w:sz w:val="22"/>
          <w:szCs w:val="22"/>
        </w:rPr>
      </w:pPr>
      <w:r w:rsidRPr="003A6BCA">
        <w:rPr>
          <w:rFonts w:ascii="Arial" w:hAnsi="Arial" w:cs="Arial"/>
          <w:sz w:val="22"/>
          <w:szCs w:val="22"/>
        </w:rPr>
        <w:t>Všechny ceny jsou stanoveny jako ceny konečné a platné v nezměněné výši od data nabytí účinnosti nebo platnosti rámcové dohody až do ukončení platnosti a účinnosti rámcové dohody.</w:t>
      </w:r>
    </w:p>
    <w:p w:rsidR="00C14688" w:rsidRPr="003A6BCA" w:rsidRDefault="00C14688" w:rsidP="00C14688">
      <w:pPr>
        <w:pStyle w:val="Odstavecseseznamem"/>
        <w:widowControl w:val="0"/>
        <w:numPr>
          <w:ilvl w:val="1"/>
          <w:numId w:val="13"/>
        </w:numPr>
        <w:tabs>
          <w:tab w:val="left" w:pos="-567"/>
        </w:tabs>
        <w:autoSpaceDE w:val="0"/>
        <w:autoSpaceDN w:val="0"/>
        <w:adjustRightInd w:val="0"/>
        <w:spacing w:before="120"/>
        <w:ind w:left="425" w:hanging="567"/>
        <w:jc w:val="both"/>
        <w:rPr>
          <w:rFonts w:ascii="Arial" w:hAnsi="Arial" w:cs="Arial"/>
          <w:bCs/>
          <w:sz w:val="22"/>
          <w:szCs w:val="22"/>
        </w:rPr>
      </w:pPr>
      <w:r w:rsidRPr="003A6BCA">
        <w:rPr>
          <w:rFonts w:ascii="Arial" w:hAnsi="Arial" w:cs="Arial"/>
          <w:sz w:val="22"/>
          <w:szCs w:val="22"/>
        </w:rPr>
        <w:t xml:space="preserve">Ceny </w:t>
      </w:r>
      <w:r w:rsidRPr="003A6BCA">
        <w:rPr>
          <w:rFonts w:ascii="Arial" w:hAnsi="Arial" w:cs="Arial"/>
          <w:bCs/>
          <w:sz w:val="22"/>
          <w:szCs w:val="22"/>
        </w:rPr>
        <w:t>bude možné upravit pouze v souvislosti se změnou daňových předpisů týkajících se DPH, a to o výši, která bude odpovídat takové legislativní změně.</w:t>
      </w:r>
    </w:p>
    <w:p w:rsidR="00C14688" w:rsidRPr="003A6BCA" w:rsidRDefault="00C14688" w:rsidP="00C14688">
      <w:pPr>
        <w:pStyle w:val="Odstavecseseznamem"/>
        <w:widowControl w:val="0"/>
        <w:numPr>
          <w:ilvl w:val="1"/>
          <w:numId w:val="13"/>
        </w:numPr>
        <w:tabs>
          <w:tab w:val="left" w:pos="-567"/>
        </w:tabs>
        <w:autoSpaceDE w:val="0"/>
        <w:autoSpaceDN w:val="0"/>
        <w:adjustRightInd w:val="0"/>
        <w:spacing w:before="120"/>
        <w:ind w:left="425" w:hanging="567"/>
        <w:jc w:val="both"/>
        <w:rPr>
          <w:rFonts w:ascii="Arial" w:hAnsi="Arial" w:cs="Arial"/>
          <w:bCs/>
          <w:sz w:val="22"/>
          <w:szCs w:val="22"/>
        </w:rPr>
      </w:pPr>
      <w:r w:rsidRPr="003A6BCA">
        <w:rPr>
          <w:rFonts w:ascii="Arial" w:hAnsi="Arial" w:cs="Arial"/>
          <w:bCs/>
          <w:sz w:val="22"/>
          <w:szCs w:val="22"/>
        </w:rPr>
        <w:t xml:space="preserve">Dodavatel je oprávněn fakturu vystavit až po řádném dokončení celého předmětu dílčí objednávky, tj. po </w:t>
      </w:r>
      <w:r w:rsidRPr="003A6BCA">
        <w:rPr>
          <w:rFonts w:ascii="Arial" w:hAnsi="Arial" w:cs="Arial"/>
          <w:sz w:val="22"/>
          <w:szCs w:val="22"/>
        </w:rPr>
        <w:t>potvrzení zadavatel</w:t>
      </w:r>
      <w:r>
        <w:rPr>
          <w:rFonts w:ascii="Arial" w:hAnsi="Arial" w:cs="Arial"/>
          <w:sz w:val="22"/>
          <w:szCs w:val="22"/>
        </w:rPr>
        <w:t>e</w:t>
      </w:r>
      <w:r w:rsidRPr="003A6BCA">
        <w:rPr>
          <w:rFonts w:ascii="Arial" w:hAnsi="Arial" w:cs="Arial"/>
          <w:sz w:val="22"/>
          <w:szCs w:val="22"/>
        </w:rPr>
        <w:t xml:space="preserve"> o převzetí „bezvadného“ PEN na předávacím protokole</w:t>
      </w:r>
      <w:r w:rsidRPr="003A6BCA">
        <w:rPr>
          <w:rFonts w:ascii="Arial" w:hAnsi="Arial" w:cs="Arial"/>
          <w:bCs/>
          <w:sz w:val="22"/>
          <w:szCs w:val="22"/>
        </w:rPr>
        <w:t xml:space="preserve">. Nestanoví-li objednávka jinak, musí být faktura dodavatelem vystavena a předána zadavateli do 10 pracovních dnů od řádného dokončení celého předmětu objednávky. </w:t>
      </w:r>
    </w:p>
    <w:p w:rsidR="00C14688" w:rsidRPr="003A6BCA" w:rsidRDefault="00C14688" w:rsidP="00C14688">
      <w:pPr>
        <w:pStyle w:val="Odstavecseseznamem"/>
        <w:widowControl w:val="0"/>
        <w:numPr>
          <w:ilvl w:val="1"/>
          <w:numId w:val="13"/>
        </w:numPr>
        <w:tabs>
          <w:tab w:val="left" w:pos="-567"/>
        </w:tabs>
        <w:autoSpaceDE w:val="0"/>
        <w:autoSpaceDN w:val="0"/>
        <w:adjustRightInd w:val="0"/>
        <w:spacing w:before="120"/>
        <w:ind w:left="425" w:hanging="567"/>
        <w:jc w:val="both"/>
        <w:rPr>
          <w:rFonts w:ascii="Arial" w:hAnsi="Arial" w:cs="Arial"/>
          <w:bCs/>
          <w:sz w:val="22"/>
          <w:szCs w:val="22"/>
        </w:rPr>
      </w:pPr>
      <w:r w:rsidRPr="003A6BCA">
        <w:rPr>
          <w:rFonts w:ascii="Arial" w:hAnsi="Arial" w:cs="Arial"/>
          <w:bCs/>
          <w:sz w:val="22"/>
          <w:szCs w:val="22"/>
        </w:rPr>
        <w:t>Ve faktuře musí být uvedeno číslo objednávky, příp. i číslo rámcové dohody, slovní popis úkonů provedených vybraným dodavatelem (označení budovy, na kterou byl PEN zpracován).</w:t>
      </w:r>
    </w:p>
    <w:p w:rsidR="00C14688" w:rsidRPr="003A6BCA" w:rsidRDefault="00C14688" w:rsidP="00C14688">
      <w:pPr>
        <w:pStyle w:val="Odstavecseseznamem"/>
        <w:widowControl w:val="0"/>
        <w:numPr>
          <w:ilvl w:val="1"/>
          <w:numId w:val="13"/>
        </w:numPr>
        <w:tabs>
          <w:tab w:val="left" w:pos="-567"/>
        </w:tabs>
        <w:autoSpaceDE w:val="0"/>
        <w:autoSpaceDN w:val="0"/>
        <w:adjustRightInd w:val="0"/>
        <w:spacing w:before="120"/>
        <w:ind w:left="425" w:hanging="567"/>
        <w:jc w:val="both"/>
        <w:rPr>
          <w:rFonts w:ascii="Arial" w:hAnsi="Arial" w:cs="Arial"/>
          <w:bCs/>
          <w:sz w:val="22"/>
          <w:szCs w:val="22"/>
        </w:rPr>
      </w:pPr>
      <w:r w:rsidRPr="003A6BCA">
        <w:rPr>
          <w:rFonts w:ascii="Arial" w:hAnsi="Arial" w:cs="Arial"/>
          <w:bCs/>
          <w:sz w:val="22"/>
          <w:szCs w:val="22"/>
        </w:rPr>
        <w:t xml:space="preserve">Faktura musí být předána osobně nebo doručena zadavateli na adresu: Úřad pro zastupování státu ve věcech majetkových, Územní pracoviště Plzeň, Radobyčická 1313/14, Jižní Předměstí, 301 00 Plzeň. </w:t>
      </w:r>
    </w:p>
    <w:p w:rsidR="00C14688" w:rsidRPr="003A6BCA" w:rsidRDefault="00C14688" w:rsidP="00C14688">
      <w:pPr>
        <w:pStyle w:val="Odstavecseseznamem"/>
        <w:widowControl w:val="0"/>
        <w:numPr>
          <w:ilvl w:val="1"/>
          <w:numId w:val="13"/>
        </w:numPr>
        <w:tabs>
          <w:tab w:val="left" w:pos="-567"/>
        </w:tabs>
        <w:autoSpaceDE w:val="0"/>
        <w:autoSpaceDN w:val="0"/>
        <w:adjustRightInd w:val="0"/>
        <w:spacing w:before="120"/>
        <w:ind w:left="425" w:hanging="567"/>
        <w:jc w:val="both"/>
        <w:rPr>
          <w:rFonts w:ascii="Arial" w:hAnsi="Arial" w:cs="Arial"/>
          <w:bCs/>
          <w:sz w:val="22"/>
          <w:szCs w:val="22"/>
        </w:rPr>
      </w:pPr>
      <w:r w:rsidRPr="003A6BCA">
        <w:rPr>
          <w:rFonts w:ascii="Arial" w:hAnsi="Arial" w:cs="Arial"/>
          <w:bCs/>
          <w:sz w:val="22"/>
          <w:szCs w:val="22"/>
        </w:rPr>
        <w:t>Faktura bude uhrazena bankovním převodem se splatnostní 2</w:t>
      </w:r>
      <w:r>
        <w:rPr>
          <w:rFonts w:ascii="Arial" w:hAnsi="Arial" w:cs="Arial"/>
          <w:bCs/>
          <w:sz w:val="22"/>
          <w:szCs w:val="22"/>
        </w:rPr>
        <w:t>1</w:t>
      </w:r>
      <w:r w:rsidRPr="003A6BCA">
        <w:rPr>
          <w:rFonts w:ascii="Arial" w:hAnsi="Arial" w:cs="Arial"/>
          <w:bCs/>
          <w:sz w:val="22"/>
          <w:szCs w:val="22"/>
        </w:rPr>
        <w:t xml:space="preserve"> kalendářních dnů ode dne, kdy zadavatel prokazatelně převezme fakturu, popř. opravenou fakturu.</w:t>
      </w:r>
    </w:p>
    <w:p w:rsidR="00C14688" w:rsidRPr="003A6BCA" w:rsidRDefault="00C14688" w:rsidP="00C14688">
      <w:pPr>
        <w:pStyle w:val="Odstavecseseznamem"/>
        <w:widowControl w:val="0"/>
        <w:numPr>
          <w:ilvl w:val="1"/>
          <w:numId w:val="13"/>
        </w:numPr>
        <w:tabs>
          <w:tab w:val="left" w:pos="-567"/>
        </w:tabs>
        <w:autoSpaceDE w:val="0"/>
        <w:autoSpaceDN w:val="0"/>
        <w:adjustRightInd w:val="0"/>
        <w:spacing w:before="120"/>
        <w:ind w:left="425" w:hanging="567"/>
        <w:jc w:val="both"/>
        <w:rPr>
          <w:rFonts w:ascii="Arial" w:hAnsi="Arial" w:cs="Arial"/>
          <w:bCs/>
          <w:sz w:val="22"/>
          <w:szCs w:val="22"/>
        </w:rPr>
      </w:pPr>
      <w:r w:rsidRPr="003A6BCA">
        <w:rPr>
          <w:rFonts w:ascii="Arial" w:hAnsi="Arial" w:cs="Arial"/>
          <w:bCs/>
          <w:sz w:val="22"/>
          <w:szCs w:val="22"/>
        </w:rPr>
        <w:t xml:space="preserve">Faktura musí mít náležitosti podle aktuální legislativy. Zadavatel si vyhrazuje právo vrátit fakturu dodavateli k opravě (doplnění), pokud nebude faktura takové náležitosti obsahovat či </w:t>
      </w:r>
      <w:r w:rsidRPr="003A6BCA">
        <w:rPr>
          <w:rFonts w:ascii="Arial" w:hAnsi="Arial" w:cs="Arial"/>
          <w:bCs/>
          <w:sz w:val="22"/>
          <w:szCs w:val="22"/>
        </w:rPr>
        <w:lastRenderedPageBreak/>
        <w:t>přesáhne dohodnutou smluvní cenu. V</w:t>
      </w:r>
      <w:bookmarkStart w:id="1" w:name="_Hlk145077292"/>
      <w:r w:rsidRPr="003A6BCA">
        <w:rPr>
          <w:rFonts w:ascii="Arial" w:hAnsi="Arial" w:cs="Arial"/>
          <w:bCs/>
          <w:sz w:val="22"/>
          <w:szCs w:val="22"/>
        </w:rPr>
        <w:t> </w:t>
      </w:r>
      <w:bookmarkEnd w:id="1"/>
      <w:r w:rsidRPr="003A6BCA">
        <w:rPr>
          <w:rFonts w:ascii="Arial" w:hAnsi="Arial" w:cs="Arial"/>
          <w:bCs/>
          <w:sz w:val="22"/>
          <w:szCs w:val="22"/>
        </w:rPr>
        <w:t>takovém případě bude přerušen běh lhůty splatnosti a nová lhůta splatnosti začne běžet okamžikem doručení opravené (doplněné) faktury zadavateli.</w:t>
      </w:r>
    </w:p>
    <w:p w:rsidR="00C14688" w:rsidRPr="009379E5" w:rsidRDefault="00C14688" w:rsidP="00C14688">
      <w:pPr>
        <w:pStyle w:val="Odstavecseseznamem"/>
        <w:widowControl w:val="0"/>
        <w:numPr>
          <w:ilvl w:val="1"/>
          <w:numId w:val="13"/>
        </w:numPr>
        <w:tabs>
          <w:tab w:val="left" w:pos="-567"/>
        </w:tabs>
        <w:autoSpaceDE w:val="0"/>
        <w:autoSpaceDN w:val="0"/>
        <w:adjustRightInd w:val="0"/>
        <w:spacing w:before="120"/>
        <w:ind w:left="425" w:hanging="567"/>
        <w:jc w:val="both"/>
        <w:rPr>
          <w:rFonts w:ascii="Arial" w:hAnsi="Arial" w:cs="Arial"/>
          <w:sz w:val="22"/>
          <w:szCs w:val="22"/>
        </w:rPr>
      </w:pPr>
      <w:r w:rsidRPr="003A6BCA">
        <w:rPr>
          <w:rFonts w:ascii="Arial" w:hAnsi="Arial" w:cs="Arial"/>
          <w:bCs/>
          <w:sz w:val="22"/>
          <w:szCs w:val="22"/>
        </w:rPr>
        <w:t>Zadavatel</w:t>
      </w:r>
      <w:r w:rsidRPr="003A6BCA">
        <w:rPr>
          <w:rFonts w:ascii="Arial" w:hAnsi="Arial" w:cs="Arial"/>
          <w:sz w:val="22"/>
          <w:szCs w:val="22"/>
        </w:rPr>
        <w:t xml:space="preserve"> neposkytuje zálohy.</w:t>
      </w:r>
    </w:p>
    <w:p w:rsidR="00C14688" w:rsidRPr="003A6BCA" w:rsidRDefault="00C14688" w:rsidP="00C14688">
      <w:pPr>
        <w:pStyle w:val="Default"/>
        <w:spacing w:before="360"/>
        <w:jc w:val="center"/>
        <w:rPr>
          <w:color w:val="auto"/>
          <w:sz w:val="22"/>
          <w:szCs w:val="22"/>
        </w:rPr>
      </w:pPr>
      <w:r w:rsidRPr="003A6BCA">
        <w:rPr>
          <w:b/>
          <w:bCs/>
          <w:color w:val="auto"/>
          <w:sz w:val="22"/>
          <w:szCs w:val="22"/>
        </w:rPr>
        <w:t xml:space="preserve">Čl. </w:t>
      </w:r>
      <w:r>
        <w:rPr>
          <w:b/>
          <w:bCs/>
          <w:color w:val="auto"/>
          <w:sz w:val="22"/>
          <w:szCs w:val="22"/>
        </w:rPr>
        <w:t>VI.</w:t>
      </w:r>
    </w:p>
    <w:p w:rsidR="00C14688" w:rsidRPr="003A6BCA" w:rsidRDefault="00C14688" w:rsidP="00C14688">
      <w:pPr>
        <w:pStyle w:val="Default"/>
        <w:spacing w:after="240"/>
        <w:jc w:val="center"/>
        <w:rPr>
          <w:color w:val="auto"/>
          <w:sz w:val="22"/>
          <w:szCs w:val="22"/>
        </w:rPr>
      </w:pPr>
      <w:r w:rsidRPr="003A6BCA">
        <w:rPr>
          <w:b/>
          <w:bCs/>
          <w:color w:val="auto"/>
          <w:sz w:val="22"/>
          <w:szCs w:val="22"/>
        </w:rPr>
        <w:t>Sankce</w:t>
      </w:r>
    </w:p>
    <w:p w:rsidR="00C14688" w:rsidRPr="003A6BCA" w:rsidRDefault="00C14688" w:rsidP="00C14688">
      <w:pPr>
        <w:pStyle w:val="Bezmezer"/>
        <w:numPr>
          <w:ilvl w:val="1"/>
          <w:numId w:val="8"/>
        </w:numPr>
        <w:ind w:left="426" w:hanging="568"/>
        <w:jc w:val="both"/>
        <w:rPr>
          <w:rFonts w:ascii="Arial" w:hAnsi="Arial" w:cs="Arial"/>
        </w:rPr>
      </w:pPr>
      <w:r>
        <w:rPr>
          <w:rFonts w:ascii="Arial" w:hAnsi="Arial" w:cs="Arial"/>
        </w:rPr>
        <w:t>Dodavatel</w:t>
      </w:r>
      <w:r w:rsidRPr="003A6BCA">
        <w:rPr>
          <w:rFonts w:ascii="Arial" w:hAnsi="Arial" w:cs="Arial"/>
        </w:rPr>
        <w:t xml:space="preserve"> nese plnou odpovědnost za škodu způsobenou zadavateli v souvislosti s plněním předmětu rámcové dohody nebo objednávky a je povinen jakoukoliv škodu zadavateli uhradit. Výše náhrady škody není omezena. </w:t>
      </w:r>
    </w:p>
    <w:p w:rsidR="00C14688" w:rsidRPr="003A6BCA" w:rsidRDefault="00C14688" w:rsidP="00C14688">
      <w:pPr>
        <w:pStyle w:val="Bezmezer"/>
        <w:numPr>
          <w:ilvl w:val="1"/>
          <w:numId w:val="8"/>
        </w:numPr>
        <w:spacing w:before="120"/>
        <w:ind w:left="426" w:hanging="568"/>
        <w:jc w:val="both"/>
        <w:rPr>
          <w:rFonts w:ascii="Arial" w:hAnsi="Arial" w:cs="Arial"/>
        </w:rPr>
      </w:pPr>
      <w:r w:rsidRPr="003A6BCA">
        <w:rPr>
          <w:rFonts w:ascii="Arial" w:hAnsi="Arial" w:cs="Arial"/>
        </w:rPr>
        <w:t xml:space="preserve">V případě </w:t>
      </w:r>
      <w:r w:rsidRPr="003A6BCA">
        <w:rPr>
          <w:rFonts w:ascii="Arial" w:hAnsi="Arial" w:cs="Arial"/>
          <w:bCs/>
        </w:rPr>
        <w:t>prodlení dodavatele se zpracováním PEN a jeho předáním ve lhůtě dle objednávky, se dodavatel zavazuje</w:t>
      </w:r>
      <w:r w:rsidRPr="003A6BCA">
        <w:rPr>
          <w:rFonts w:ascii="Arial" w:hAnsi="Arial" w:cs="Arial"/>
        </w:rPr>
        <w:t xml:space="preserve"> zaplatit zadavatel</w:t>
      </w:r>
      <w:r>
        <w:rPr>
          <w:rFonts w:ascii="Arial" w:hAnsi="Arial" w:cs="Arial"/>
        </w:rPr>
        <w:t xml:space="preserve">i smluvní pokutu ve výši </w:t>
      </w:r>
      <w:r w:rsidRPr="003A6BCA">
        <w:rPr>
          <w:rFonts w:ascii="Arial" w:hAnsi="Arial" w:cs="Arial"/>
        </w:rPr>
        <w:t xml:space="preserve">500 Kč, a to za každý kalendářní den prodlení. </w:t>
      </w:r>
    </w:p>
    <w:p w:rsidR="00C14688" w:rsidRPr="003A6BCA" w:rsidRDefault="00C14688" w:rsidP="00C14688">
      <w:pPr>
        <w:pStyle w:val="Bezmezer"/>
        <w:numPr>
          <w:ilvl w:val="1"/>
          <w:numId w:val="8"/>
        </w:numPr>
        <w:spacing w:before="120"/>
        <w:ind w:left="426" w:hanging="568"/>
        <w:jc w:val="both"/>
        <w:rPr>
          <w:rFonts w:ascii="Arial" w:hAnsi="Arial" w:cs="Arial"/>
        </w:rPr>
      </w:pPr>
      <w:r w:rsidRPr="003A6BCA">
        <w:rPr>
          <w:rFonts w:ascii="Arial" w:hAnsi="Arial" w:cs="Arial"/>
        </w:rPr>
        <w:t>V případě, že dodavatel nebude mít sjednáno pojištění a zaplacené pojistné v souladu s</w:t>
      </w:r>
      <w:r>
        <w:rPr>
          <w:rFonts w:ascii="Arial" w:hAnsi="Arial" w:cs="Arial"/>
        </w:rPr>
        <w:t> Č</w:t>
      </w:r>
      <w:r w:rsidRPr="003A6BCA">
        <w:rPr>
          <w:rFonts w:ascii="Arial" w:hAnsi="Arial" w:cs="Arial"/>
        </w:rPr>
        <w:t>l</w:t>
      </w:r>
      <w:r>
        <w:rPr>
          <w:rFonts w:ascii="Arial" w:hAnsi="Arial" w:cs="Arial"/>
        </w:rPr>
        <w:t>. II</w:t>
      </w:r>
      <w:r w:rsidRPr="003A6BCA">
        <w:rPr>
          <w:rFonts w:ascii="Arial" w:hAnsi="Arial" w:cs="Arial"/>
        </w:rPr>
        <w:t>. odst. 2.5 rámcové dohody, zavazuje se dodavatel uhradit zadavateli smluvní pokutu ve výši 50 tis. Kč.</w:t>
      </w:r>
    </w:p>
    <w:p w:rsidR="00C14688" w:rsidRPr="003A6BCA" w:rsidRDefault="00C14688" w:rsidP="00C14688">
      <w:pPr>
        <w:pStyle w:val="Bezmezer"/>
        <w:numPr>
          <w:ilvl w:val="1"/>
          <w:numId w:val="8"/>
        </w:numPr>
        <w:spacing w:before="120"/>
        <w:ind w:left="426" w:hanging="568"/>
        <w:jc w:val="both"/>
        <w:rPr>
          <w:rFonts w:ascii="Arial" w:hAnsi="Arial" w:cs="Arial"/>
        </w:rPr>
      </w:pPr>
      <w:r w:rsidRPr="003A6BCA">
        <w:rPr>
          <w:rFonts w:ascii="Arial" w:hAnsi="Arial" w:cs="Arial"/>
        </w:rPr>
        <w:t xml:space="preserve">Zadavatel se zavazuje uhradit dodavateli z jakékoliv neoprávněně neuhrazené části faktury dodavatele (včetně DPH) úrok z prodlení ve výši stanovené nařízením vlády č. 351/2013 Sb., </w:t>
      </w:r>
      <w:r w:rsidRPr="003A6BCA">
        <w:rPr>
          <w:rFonts w:ascii="Arial" w:hAnsi="Arial" w:cs="Arial"/>
          <w:iCs/>
        </w:rPr>
        <w:t>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Pr="003A6BCA">
        <w:rPr>
          <w:rFonts w:ascii="Arial" w:hAnsi="Arial" w:cs="Arial"/>
        </w:rPr>
        <w:t xml:space="preserve"> ve znění pozdějších předpisů, a to za každý kalendářní den prodlení vůči dnu splatnosti faktury. </w:t>
      </w:r>
    </w:p>
    <w:p w:rsidR="00C14688" w:rsidRPr="003A6BCA" w:rsidRDefault="00C14688" w:rsidP="00C14688">
      <w:pPr>
        <w:pStyle w:val="Bezmezer"/>
        <w:numPr>
          <w:ilvl w:val="1"/>
          <w:numId w:val="8"/>
        </w:numPr>
        <w:spacing w:before="120"/>
        <w:ind w:left="426" w:hanging="568"/>
        <w:jc w:val="both"/>
        <w:rPr>
          <w:rFonts w:ascii="Arial" w:hAnsi="Arial" w:cs="Arial"/>
        </w:rPr>
      </w:pPr>
      <w:r w:rsidRPr="003A6BCA">
        <w:rPr>
          <w:rFonts w:ascii="Arial" w:hAnsi="Arial" w:cs="Arial"/>
        </w:rPr>
        <w:t xml:space="preserve">Smluvní pokuty, jakož i případné úroky z prodlení, jsou splatné 14. kalendářní den ode dne odeslání příslušné výzvy povinnému účastníku dohody na jeho adresu uvedenou v záhlaví této rámcové dohody anebo do datové schránky. </w:t>
      </w:r>
    </w:p>
    <w:p w:rsidR="00C14688" w:rsidRPr="003C22B3" w:rsidRDefault="00C14688" w:rsidP="00C14688">
      <w:pPr>
        <w:pStyle w:val="Bezmezer"/>
        <w:numPr>
          <w:ilvl w:val="1"/>
          <w:numId w:val="8"/>
        </w:numPr>
        <w:spacing w:before="120"/>
        <w:ind w:left="426" w:hanging="568"/>
        <w:jc w:val="both"/>
        <w:rPr>
          <w:rFonts w:ascii="Arial" w:hAnsi="Arial" w:cs="Arial"/>
        </w:rPr>
      </w:pPr>
      <w:r w:rsidRPr="003A6BCA">
        <w:rPr>
          <w:rFonts w:ascii="Arial" w:hAnsi="Arial" w:cs="Arial"/>
        </w:rPr>
        <w:t>Právo na náhradu škody v plné výši, tedy i ve výši přesahující smluvní pokutu, není výše uvedenými ustanoveními dotčeno</w:t>
      </w:r>
      <w:r>
        <w:rPr>
          <w:rFonts w:ascii="Arial" w:hAnsi="Arial" w:cs="Arial"/>
        </w:rPr>
        <w:t>.</w:t>
      </w:r>
    </w:p>
    <w:p w:rsidR="00C14688" w:rsidRPr="003A6BCA" w:rsidRDefault="00C14688" w:rsidP="00C14688">
      <w:pPr>
        <w:pStyle w:val="Default"/>
        <w:spacing w:before="360"/>
        <w:jc w:val="center"/>
        <w:rPr>
          <w:color w:val="auto"/>
          <w:sz w:val="22"/>
          <w:szCs w:val="22"/>
        </w:rPr>
      </w:pPr>
      <w:r w:rsidRPr="003A6BCA">
        <w:rPr>
          <w:b/>
          <w:bCs/>
          <w:color w:val="auto"/>
          <w:sz w:val="22"/>
          <w:szCs w:val="22"/>
        </w:rPr>
        <w:t xml:space="preserve">Čl. </w:t>
      </w:r>
      <w:r>
        <w:rPr>
          <w:b/>
          <w:bCs/>
          <w:color w:val="auto"/>
          <w:sz w:val="22"/>
          <w:szCs w:val="22"/>
        </w:rPr>
        <w:t>VII</w:t>
      </w:r>
      <w:r w:rsidRPr="003A6BCA">
        <w:rPr>
          <w:b/>
          <w:bCs/>
          <w:color w:val="auto"/>
          <w:sz w:val="22"/>
          <w:szCs w:val="22"/>
        </w:rPr>
        <w:t>.</w:t>
      </w:r>
    </w:p>
    <w:p w:rsidR="00C14688" w:rsidRPr="003A6BCA" w:rsidRDefault="00C14688" w:rsidP="00C14688">
      <w:pPr>
        <w:pStyle w:val="Default"/>
        <w:spacing w:after="240"/>
        <w:jc w:val="center"/>
        <w:rPr>
          <w:color w:val="auto"/>
          <w:sz w:val="22"/>
          <w:szCs w:val="22"/>
        </w:rPr>
      </w:pPr>
      <w:r w:rsidRPr="003A6BCA">
        <w:rPr>
          <w:b/>
          <w:bCs/>
          <w:color w:val="auto"/>
          <w:sz w:val="22"/>
          <w:szCs w:val="22"/>
        </w:rPr>
        <w:t>Povinnost mlčenlivosti</w:t>
      </w:r>
    </w:p>
    <w:p w:rsidR="00C14688" w:rsidRPr="003A6BCA" w:rsidRDefault="00C14688" w:rsidP="00C14688">
      <w:pPr>
        <w:pStyle w:val="Odstavecseseznamem"/>
        <w:numPr>
          <w:ilvl w:val="1"/>
          <w:numId w:val="9"/>
        </w:numPr>
        <w:autoSpaceDE w:val="0"/>
        <w:autoSpaceDN w:val="0"/>
        <w:adjustRightInd w:val="0"/>
        <w:ind w:left="426" w:hanging="568"/>
        <w:contextualSpacing/>
        <w:jc w:val="both"/>
        <w:rPr>
          <w:rFonts w:ascii="Arial" w:hAnsi="Arial" w:cs="Arial"/>
          <w:sz w:val="22"/>
          <w:szCs w:val="22"/>
        </w:rPr>
      </w:pPr>
      <w:r>
        <w:rPr>
          <w:rFonts w:ascii="Arial" w:hAnsi="Arial" w:cs="Arial"/>
          <w:sz w:val="22"/>
          <w:szCs w:val="22"/>
        </w:rPr>
        <w:t>Dodavatel</w:t>
      </w:r>
      <w:r w:rsidRPr="003A6BCA">
        <w:rPr>
          <w:rFonts w:ascii="Arial" w:hAnsi="Arial" w:cs="Arial"/>
          <w:sz w:val="22"/>
          <w:szCs w:val="22"/>
        </w:rPr>
        <w:t xml:space="preserve"> je povinen zachovávat ve vztahu ke třetím osobám mlčenlivost o všech skutečnostech, o kterých se dozvěděl při plnění rámcové dohody, a bez písemného souhlasu zadavatele je nesmí zpřístupnit žádné třetí osobě ani je použít v rozporu s účelem rámcové dohody, jinak odpovídá za škodu tím způsobenou, ledaže se jedná o:</w:t>
      </w:r>
    </w:p>
    <w:p w:rsidR="00C14688" w:rsidRPr="003A6BCA" w:rsidRDefault="00C14688" w:rsidP="00C14688">
      <w:pPr>
        <w:pStyle w:val="Default"/>
        <w:numPr>
          <w:ilvl w:val="0"/>
          <w:numId w:val="10"/>
        </w:numPr>
        <w:spacing w:before="120"/>
        <w:ind w:left="1418" w:hanging="295"/>
        <w:contextualSpacing/>
        <w:jc w:val="both"/>
        <w:rPr>
          <w:color w:val="auto"/>
          <w:sz w:val="22"/>
          <w:szCs w:val="22"/>
        </w:rPr>
      </w:pPr>
      <w:r w:rsidRPr="003A6BCA">
        <w:rPr>
          <w:color w:val="auto"/>
          <w:sz w:val="22"/>
          <w:szCs w:val="22"/>
        </w:rPr>
        <w:t>informace, které jsou veřejně přístupné, nebo</w:t>
      </w:r>
    </w:p>
    <w:p w:rsidR="00C14688" w:rsidRPr="003A6BCA" w:rsidRDefault="00C14688" w:rsidP="00C14688">
      <w:pPr>
        <w:pStyle w:val="Default"/>
        <w:numPr>
          <w:ilvl w:val="0"/>
          <w:numId w:val="10"/>
        </w:numPr>
        <w:spacing w:before="120"/>
        <w:ind w:left="1418" w:hanging="295"/>
        <w:jc w:val="both"/>
        <w:rPr>
          <w:color w:val="auto"/>
          <w:sz w:val="22"/>
          <w:szCs w:val="22"/>
        </w:rPr>
      </w:pPr>
      <w:r w:rsidRPr="003A6BCA">
        <w:rPr>
          <w:color w:val="auto"/>
          <w:sz w:val="22"/>
          <w:szCs w:val="22"/>
        </w:rPr>
        <w:t>případ, kdy je zpřístupnění informace vyžadováno zákonem nebo závazným rozhodnutím oprávněného orgánu.</w:t>
      </w:r>
    </w:p>
    <w:p w:rsidR="00C14688" w:rsidRPr="003A6BCA" w:rsidRDefault="00C14688" w:rsidP="00C14688">
      <w:pPr>
        <w:pStyle w:val="Odstavecseseznamem"/>
        <w:numPr>
          <w:ilvl w:val="1"/>
          <w:numId w:val="9"/>
        </w:numPr>
        <w:autoSpaceDE w:val="0"/>
        <w:autoSpaceDN w:val="0"/>
        <w:adjustRightInd w:val="0"/>
        <w:spacing w:before="120"/>
        <w:ind w:left="426" w:hanging="568"/>
        <w:contextualSpacing/>
        <w:jc w:val="both"/>
        <w:rPr>
          <w:rFonts w:ascii="Arial" w:hAnsi="Arial" w:cs="Arial"/>
          <w:sz w:val="22"/>
          <w:szCs w:val="22"/>
        </w:rPr>
      </w:pPr>
      <w:r>
        <w:rPr>
          <w:rFonts w:ascii="Arial" w:hAnsi="Arial" w:cs="Arial"/>
          <w:sz w:val="22"/>
          <w:szCs w:val="22"/>
        </w:rPr>
        <w:t>Dodavatel</w:t>
      </w:r>
      <w:r w:rsidRPr="003A6BCA">
        <w:rPr>
          <w:rFonts w:ascii="Arial" w:hAnsi="Arial" w:cs="Arial"/>
          <w:sz w:val="22"/>
          <w:szCs w:val="22"/>
        </w:rPr>
        <w:t xml:space="preserve"> je povinen zavázat povinností mlčenlivosti podle odstavce 7.1 rámcové dohody všechny osoby, které se budou podílet na poskytování služeb dle rámcové dohody. </w:t>
      </w:r>
      <w:r>
        <w:rPr>
          <w:rFonts w:ascii="Arial" w:hAnsi="Arial" w:cs="Arial"/>
          <w:sz w:val="22"/>
          <w:szCs w:val="22"/>
        </w:rPr>
        <w:t>Dodavatel,</w:t>
      </w:r>
      <w:r w:rsidRPr="003A6BCA">
        <w:rPr>
          <w:rFonts w:ascii="Arial" w:hAnsi="Arial" w:cs="Arial"/>
          <w:sz w:val="22"/>
          <w:szCs w:val="22"/>
        </w:rPr>
        <w:t xml:space="preserve"> jehož osoby se budou podílet na poskytování služeb dle rámcové dohody, bude odpovídat za porušení povinnosti mlčenlivosti těchto osob, jako by povinnost porušil sám.</w:t>
      </w:r>
    </w:p>
    <w:p w:rsidR="00C14688" w:rsidRPr="003A6BCA" w:rsidRDefault="00C14688" w:rsidP="00C14688">
      <w:pPr>
        <w:pStyle w:val="Odstavecseseznamem"/>
        <w:numPr>
          <w:ilvl w:val="1"/>
          <w:numId w:val="9"/>
        </w:numPr>
        <w:autoSpaceDE w:val="0"/>
        <w:autoSpaceDN w:val="0"/>
        <w:adjustRightInd w:val="0"/>
        <w:spacing w:before="120"/>
        <w:ind w:left="425" w:hanging="567"/>
        <w:jc w:val="both"/>
        <w:rPr>
          <w:rFonts w:ascii="Arial" w:hAnsi="Arial" w:cs="Arial"/>
          <w:sz w:val="22"/>
          <w:szCs w:val="22"/>
        </w:rPr>
      </w:pPr>
      <w:r w:rsidRPr="003A6BCA">
        <w:rPr>
          <w:rFonts w:ascii="Arial" w:hAnsi="Arial" w:cs="Arial"/>
          <w:sz w:val="22"/>
          <w:szCs w:val="22"/>
        </w:rPr>
        <w:t>Povinnost mlčenlivosti dle tohoto článku rámcové dohody trvá i po skončení účinnosti rámcové dohody.</w:t>
      </w:r>
    </w:p>
    <w:p w:rsidR="00C14688" w:rsidRDefault="00C14688" w:rsidP="00C14688">
      <w:pPr>
        <w:pStyle w:val="Default"/>
        <w:spacing w:before="360"/>
        <w:jc w:val="center"/>
        <w:rPr>
          <w:b/>
          <w:bCs/>
          <w:color w:val="auto"/>
          <w:sz w:val="22"/>
          <w:szCs w:val="22"/>
        </w:rPr>
      </w:pPr>
    </w:p>
    <w:p w:rsidR="00C14688" w:rsidRDefault="00C14688" w:rsidP="00C14688">
      <w:pPr>
        <w:pStyle w:val="Default"/>
        <w:spacing w:before="360"/>
        <w:jc w:val="center"/>
        <w:rPr>
          <w:b/>
          <w:bCs/>
          <w:color w:val="auto"/>
          <w:sz w:val="22"/>
          <w:szCs w:val="22"/>
        </w:rPr>
      </w:pPr>
    </w:p>
    <w:p w:rsidR="00C14688" w:rsidRPr="003A6BCA" w:rsidRDefault="00C14688" w:rsidP="00C14688">
      <w:pPr>
        <w:pStyle w:val="Default"/>
        <w:spacing w:before="360"/>
        <w:jc w:val="center"/>
        <w:rPr>
          <w:color w:val="auto"/>
          <w:sz w:val="22"/>
          <w:szCs w:val="22"/>
        </w:rPr>
      </w:pPr>
      <w:r w:rsidRPr="003A6BCA">
        <w:rPr>
          <w:b/>
          <w:bCs/>
          <w:color w:val="auto"/>
          <w:sz w:val="22"/>
          <w:szCs w:val="22"/>
        </w:rPr>
        <w:lastRenderedPageBreak/>
        <w:t xml:space="preserve">Čl. </w:t>
      </w:r>
      <w:r>
        <w:rPr>
          <w:b/>
          <w:bCs/>
          <w:color w:val="auto"/>
          <w:sz w:val="22"/>
          <w:szCs w:val="22"/>
        </w:rPr>
        <w:t>VIII</w:t>
      </w:r>
      <w:r w:rsidRPr="003A6BCA">
        <w:rPr>
          <w:b/>
          <w:bCs/>
          <w:color w:val="auto"/>
          <w:sz w:val="22"/>
          <w:szCs w:val="22"/>
        </w:rPr>
        <w:t>.</w:t>
      </w:r>
    </w:p>
    <w:p w:rsidR="00C14688" w:rsidRPr="003A6BCA" w:rsidRDefault="00C14688" w:rsidP="00C14688">
      <w:pPr>
        <w:autoSpaceDE w:val="0"/>
        <w:autoSpaceDN w:val="0"/>
        <w:adjustRightInd w:val="0"/>
        <w:spacing w:after="240"/>
        <w:jc w:val="center"/>
        <w:rPr>
          <w:rFonts w:ascii="Arial" w:hAnsi="Arial" w:cs="Arial"/>
          <w:b/>
          <w:bCs/>
          <w:sz w:val="22"/>
          <w:szCs w:val="22"/>
        </w:rPr>
      </w:pPr>
      <w:r w:rsidRPr="003A6BCA">
        <w:rPr>
          <w:rFonts w:ascii="Arial" w:hAnsi="Arial" w:cs="Arial"/>
          <w:b/>
          <w:bCs/>
          <w:sz w:val="22"/>
          <w:szCs w:val="22"/>
        </w:rPr>
        <w:t>Odstoupení od smlouvy o dílo, odstoupení od rámcové dohody</w:t>
      </w:r>
    </w:p>
    <w:p w:rsidR="00C14688" w:rsidRPr="003A6BCA" w:rsidRDefault="00C14688" w:rsidP="00C14688">
      <w:pPr>
        <w:pStyle w:val="Bezmezer"/>
        <w:numPr>
          <w:ilvl w:val="1"/>
          <w:numId w:val="11"/>
        </w:numPr>
        <w:ind w:left="567" w:hanging="709"/>
        <w:jc w:val="both"/>
        <w:rPr>
          <w:rFonts w:ascii="Arial" w:hAnsi="Arial" w:cs="Arial"/>
        </w:rPr>
      </w:pPr>
      <w:r w:rsidRPr="003A6BCA">
        <w:rPr>
          <w:rFonts w:ascii="Arial" w:hAnsi="Arial" w:cs="Arial"/>
        </w:rPr>
        <w:t xml:space="preserve">Zadavatel je oprávněn odstoupit od smlouvy o dílo nebo od rámcové dohody s dodavatelem (dle § 2001 a násl. občanského zákoníku) v těchto případech: </w:t>
      </w:r>
    </w:p>
    <w:p w:rsidR="00C14688" w:rsidRPr="003A6BCA" w:rsidRDefault="00C14688" w:rsidP="00C14688">
      <w:pPr>
        <w:pStyle w:val="Default"/>
        <w:numPr>
          <w:ilvl w:val="0"/>
          <w:numId w:val="12"/>
        </w:numPr>
        <w:spacing w:before="120"/>
        <w:ind w:left="1559" w:hanging="425"/>
        <w:jc w:val="both"/>
        <w:rPr>
          <w:sz w:val="22"/>
          <w:szCs w:val="22"/>
        </w:rPr>
      </w:pPr>
      <w:r w:rsidRPr="003A6BCA">
        <w:rPr>
          <w:sz w:val="22"/>
          <w:szCs w:val="22"/>
        </w:rPr>
        <w:t>jestliže se dodavatel dostane do prodlení delšího než 7 kalendářních dnů        s provedením předmětu objednávky,</w:t>
      </w:r>
    </w:p>
    <w:p w:rsidR="00C14688" w:rsidRPr="003A6BCA" w:rsidRDefault="00C14688" w:rsidP="00C14688">
      <w:pPr>
        <w:pStyle w:val="Default"/>
        <w:numPr>
          <w:ilvl w:val="0"/>
          <w:numId w:val="12"/>
        </w:numPr>
        <w:spacing w:before="120"/>
        <w:ind w:left="1559" w:hanging="425"/>
        <w:jc w:val="both"/>
        <w:rPr>
          <w:sz w:val="22"/>
          <w:szCs w:val="22"/>
        </w:rPr>
      </w:pPr>
      <w:r w:rsidRPr="003A6BCA">
        <w:rPr>
          <w:sz w:val="22"/>
          <w:szCs w:val="22"/>
        </w:rPr>
        <w:t>jestliže dodavatel opakovaně (tj. minimálně 2x) poruší rámcovou dohodu,</w:t>
      </w:r>
    </w:p>
    <w:p w:rsidR="00C14688" w:rsidRPr="003A6BCA" w:rsidRDefault="00C14688" w:rsidP="00C14688">
      <w:pPr>
        <w:pStyle w:val="Default"/>
        <w:numPr>
          <w:ilvl w:val="0"/>
          <w:numId w:val="12"/>
        </w:numPr>
        <w:spacing w:before="120"/>
        <w:ind w:left="1559" w:hanging="425"/>
        <w:jc w:val="both"/>
        <w:rPr>
          <w:sz w:val="22"/>
          <w:szCs w:val="22"/>
        </w:rPr>
      </w:pPr>
      <w:r w:rsidRPr="003A6BCA">
        <w:rPr>
          <w:sz w:val="22"/>
          <w:szCs w:val="22"/>
        </w:rPr>
        <w:t>jestliže nabude právní moci rozhodnutí insolvenčního soudu o úpadku dodavatele, v němž tento soud konstatuje, že je dodavatel v úpadku.</w:t>
      </w:r>
    </w:p>
    <w:p w:rsidR="00C14688" w:rsidRPr="003A6BCA" w:rsidRDefault="00C14688" w:rsidP="00C14688">
      <w:pPr>
        <w:pStyle w:val="Bezmezer"/>
        <w:numPr>
          <w:ilvl w:val="1"/>
          <w:numId w:val="11"/>
        </w:numPr>
        <w:spacing w:before="120"/>
        <w:ind w:left="567" w:hanging="709"/>
        <w:jc w:val="both"/>
        <w:rPr>
          <w:rFonts w:ascii="Arial" w:hAnsi="Arial" w:cs="Arial"/>
        </w:rPr>
      </w:pPr>
      <w:r>
        <w:rPr>
          <w:rFonts w:ascii="Arial" w:hAnsi="Arial" w:cs="Arial"/>
        </w:rPr>
        <w:t>Dodavatel</w:t>
      </w:r>
      <w:r w:rsidRPr="003A6BCA">
        <w:rPr>
          <w:rFonts w:ascii="Arial" w:hAnsi="Arial" w:cs="Arial"/>
        </w:rPr>
        <w:t xml:space="preserve"> je oprávněn odstoupit od smlouvy o dílo nebo od rámcové dohody (dle § 2001 a násl. občanského zákoníku) v tomto případě:</w:t>
      </w:r>
    </w:p>
    <w:p w:rsidR="00C14688" w:rsidRPr="003A6BCA" w:rsidRDefault="00C14688" w:rsidP="00C14688">
      <w:pPr>
        <w:pStyle w:val="Default"/>
        <w:numPr>
          <w:ilvl w:val="0"/>
          <w:numId w:val="12"/>
        </w:numPr>
        <w:spacing w:before="120"/>
        <w:ind w:left="1418" w:hanging="425"/>
        <w:contextualSpacing/>
        <w:jc w:val="both"/>
        <w:rPr>
          <w:sz w:val="22"/>
          <w:szCs w:val="22"/>
        </w:rPr>
      </w:pPr>
      <w:r w:rsidRPr="003A6BCA">
        <w:rPr>
          <w:sz w:val="22"/>
          <w:szCs w:val="22"/>
        </w:rPr>
        <w:t xml:space="preserve">jestliže se zadavatel dostane neoprávněně do prodlení s úhradou faktury delšího než 60 kalendářních dnů. </w:t>
      </w:r>
    </w:p>
    <w:p w:rsidR="00C14688" w:rsidRPr="003A6BCA" w:rsidRDefault="00C14688" w:rsidP="00C14688">
      <w:pPr>
        <w:pStyle w:val="Bezmezer"/>
        <w:numPr>
          <w:ilvl w:val="1"/>
          <w:numId w:val="11"/>
        </w:numPr>
        <w:spacing w:before="120"/>
        <w:ind w:left="567" w:hanging="709"/>
        <w:jc w:val="both"/>
        <w:rPr>
          <w:rFonts w:ascii="Arial" w:hAnsi="Arial" w:cs="Arial"/>
        </w:rPr>
      </w:pPr>
      <w:r w:rsidRPr="003A6BCA">
        <w:rPr>
          <w:rFonts w:ascii="Arial" w:hAnsi="Arial" w:cs="Arial"/>
        </w:rPr>
        <w:t xml:space="preserve">Odstoupení od smlouvy o dílo nebo rámcové dohody je účinné okamžikem doručení písemného odstoupení od smlouvy o dílo nebo rámcové dohody dotčenému účastníku dohody. Odstoupení od smlouvy o dílo nebo rámcové dohody je vždy s účinky ex </w:t>
      </w:r>
      <w:proofErr w:type="spellStart"/>
      <w:r w:rsidRPr="003A6BCA">
        <w:rPr>
          <w:rFonts w:ascii="Arial" w:hAnsi="Arial" w:cs="Arial"/>
        </w:rPr>
        <w:t>nunc</w:t>
      </w:r>
      <w:proofErr w:type="spellEnd"/>
      <w:r w:rsidRPr="003A6BCA">
        <w:rPr>
          <w:rFonts w:ascii="Arial" w:hAnsi="Arial" w:cs="Arial"/>
        </w:rPr>
        <w:t>.</w:t>
      </w:r>
    </w:p>
    <w:p w:rsidR="00C14688" w:rsidRPr="003A6BCA" w:rsidRDefault="00C14688" w:rsidP="00C14688">
      <w:pPr>
        <w:pStyle w:val="Bezmezer"/>
        <w:numPr>
          <w:ilvl w:val="1"/>
          <w:numId w:val="11"/>
        </w:numPr>
        <w:spacing w:before="120"/>
        <w:ind w:left="567" w:hanging="709"/>
        <w:jc w:val="both"/>
        <w:rPr>
          <w:rFonts w:ascii="Arial" w:hAnsi="Arial" w:cs="Arial"/>
        </w:rPr>
      </w:pPr>
      <w:r w:rsidRPr="003A6BCA">
        <w:rPr>
          <w:rFonts w:ascii="Arial" w:hAnsi="Arial" w:cs="Arial"/>
        </w:rPr>
        <w:t>Odstoupení od smlouvy o dílo nebo rámcové dohody se netýká nároku na úhradu všech peněžitých plnění (zejména smluvních pokut a náhrad škod), na které vznikl účastníku dohody nárok na základě rámcové dohody.</w:t>
      </w:r>
    </w:p>
    <w:p w:rsidR="00C14688" w:rsidRPr="003A6BCA" w:rsidRDefault="00C14688" w:rsidP="00C14688">
      <w:pPr>
        <w:pStyle w:val="Default"/>
        <w:spacing w:before="360"/>
        <w:jc w:val="center"/>
        <w:rPr>
          <w:color w:val="auto"/>
          <w:sz w:val="22"/>
          <w:szCs w:val="22"/>
        </w:rPr>
      </w:pPr>
      <w:r w:rsidRPr="003A6BCA">
        <w:rPr>
          <w:b/>
          <w:bCs/>
          <w:color w:val="auto"/>
          <w:sz w:val="22"/>
          <w:szCs w:val="22"/>
        </w:rPr>
        <w:t xml:space="preserve">Čl. </w:t>
      </w:r>
      <w:r>
        <w:rPr>
          <w:b/>
          <w:bCs/>
          <w:color w:val="auto"/>
          <w:sz w:val="22"/>
          <w:szCs w:val="22"/>
        </w:rPr>
        <w:t>IX</w:t>
      </w:r>
      <w:r w:rsidRPr="003A6BCA">
        <w:rPr>
          <w:b/>
          <w:bCs/>
          <w:color w:val="auto"/>
          <w:sz w:val="22"/>
          <w:szCs w:val="22"/>
        </w:rPr>
        <w:t>.</w:t>
      </w:r>
    </w:p>
    <w:p w:rsidR="00C14688" w:rsidRPr="00393AA3" w:rsidRDefault="00C14688" w:rsidP="00C14688">
      <w:pPr>
        <w:pStyle w:val="Default"/>
        <w:spacing w:after="240"/>
        <w:jc w:val="center"/>
        <w:rPr>
          <w:b/>
          <w:bCs/>
          <w:color w:val="auto"/>
          <w:sz w:val="22"/>
          <w:szCs w:val="22"/>
        </w:rPr>
      </w:pPr>
      <w:r w:rsidRPr="00393AA3">
        <w:rPr>
          <w:b/>
          <w:bCs/>
          <w:color w:val="auto"/>
          <w:sz w:val="22"/>
          <w:szCs w:val="22"/>
        </w:rPr>
        <w:t>Závěrečná ustanovení</w:t>
      </w:r>
    </w:p>
    <w:p w:rsidR="00C14688" w:rsidRPr="00393AA3" w:rsidRDefault="00C14688" w:rsidP="00C14688">
      <w:pPr>
        <w:pStyle w:val="Bezmezer"/>
        <w:numPr>
          <w:ilvl w:val="1"/>
          <w:numId w:val="4"/>
        </w:numPr>
        <w:ind w:left="567" w:hanging="709"/>
        <w:jc w:val="both"/>
        <w:rPr>
          <w:rFonts w:ascii="Arial" w:hAnsi="Arial" w:cs="Arial"/>
        </w:rPr>
      </w:pPr>
      <w:r w:rsidRPr="00393AA3">
        <w:rPr>
          <w:rFonts w:ascii="Arial" w:hAnsi="Arial" w:cs="Arial"/>
        </w:rPr>
        <w:t>V souvislosti s možnými úpravami státního rozpočtu je zadavatel oprávněn zastavit průběh plnění předmětu rámcové dohody anebo rámcovou dohodu vypovědět, a to bez jakékoliv sankce či náhrady za nedokončené plnění. Výpověď je účinná vůči dodavateli okamžikem jejího doručení. Zadavatel se zavazuje, že dílčí plnění objednané písemnou objednávkou před dnem ukončení rámcové dohody uhradí v souladu s rámcovou dohodou. Dodavatel se zavazuje, že dílčí plnění objednané písemnou objednávkou před dnem ukončení rámcové dohody dokončí v souladu s rámcovou dohodou.</w:t>
      </w:r>
    </w:p>
    <w:p w:rsidR="00C14688" w:rsidRPr="00393AA3" w:rsidRDefault="00C14688" w:rsidP="00C14688">
      <w:pPr>
        <w:pStyle w:val="Bezmezer"/>
        <w:numPr>
          <w:ilvl w:val="1"/>
          <w:numId w:val="4"/>
        </w:numPr>
        <w:spacing w:before="120"/>
        <w:ind w:left="567" w:hanging="709"/>
        <w:jc w:val="both"/>
        <w:rPr>
          <w:rFonts w:ascii="Arial" w:hAnsi="Arial" w:cs="Arial"/>
        </w:rPr>
      </w:pPr>
      <w:r w:rsidRPr="00393AA3">
        <w:rPr>
          <w:rFonts w:ascii="Arial" w:hAnsi="Arial" w:cs="Arial"/>
        </w:rPr>
        <w:t>Zadavatel může rámcovou dohodu vypovědět z jakéhokoliv důvodu, resp. bez udání důvodu, a to s výpovědní dobou 1 měsíce s tím, že výpovědní doba začne běžet od prvního dne měsíce následujícího po měsíci, v němž bude druhému účastníku dohody výpověď doručena. Zadavatel se zavazuje, že dílčí plnění objednané písemnou objednávkou před dnem ukončení rámcové dohody uhradí v souladu s rámcovou dohodou. Dodavatel se zavazuje, že dílčí plnění objednané písemnou objednávkou před dnem ukončení rámcové dohody dokončí v souladu s rámcovou dohodou.</w:t>
      </w:r>
    </w:p>
    <w:p w:rsidR="00C14688" w:rsidRPr="00393AA3" w:rsidRDefault="00C14688" w:rsidP="00C14688">
      <w:pPr>
        <w:pStyle w:val="Bezmezer"/>
        <w:numPr>
          <w:ilvl w:val="1"/>
          <w:numId w:val="4"/>
        </w:numPr>
        <w:spacing w:before="120"/>
        <w:ind w:left="567" w:hanging="709"/>
        <w:jc w:val="both"/>
        <w:rPr>
          <w:rFonts w:ascii="Arial" w:hAnsi="Arial" w:cs="Arial"/>
        </w:rPr>
      </w:pPr>
      <w:r w:rsidRPr="00393AA3">
        <w:rPr>
          <w:rFonts w:ascii="Arial" w:hAnsi="Arial" w:cs="Arial"/>
        </w:rPr>
        <w:t>Účastníci dohody prohlašují, že tato rámcová dohoda neobsahuje obchodní tajemství.</w:t>
      </w:r>
    </w:p>
    <w:p w:rsidR="00C14688" w:rsidRPr="00393AA3" w:rsidRDefault="00C14688" w:rsidP="00C14688">
      <w:pPr>
        <w:pStyle w:val="Bezmezer"/>
        <w:numPr>
          <w:ilvl w:val="1"/>
          <w:numId w:val="4"/>
        </w:numPr>
        <w:spacing w:before="120"/>
        <w:ind w:left="567" w:hanging="709"/>
        <w:jc w:val="both"/>
        <w:rPr>
          <w:rFonts w:ascii="Arial" w:hAnsi="Arial" w:cs="Arial"/>
        </w:rPr>
      </w:pPr>
      <w:r w:rsidRPr="00393AA3">
        <w:rPr>
          <w:rFonts w:ascii="Arial" w:hAnsi="Arial" w:cs="Arial"/>
        </w:rPr>
        <w:t>Dodavatel vyslovuje souhlas s tím, že zadavatel v rámci transparentnosti zveřejní rámcovou dohodu (včetně případných dodatků) na internetových stránkách zadavatele, na profilu zadavatele a případně na elektronickém tržišti.</w:t>
      </w:r>
    </w:p>
    <w:p w:rsidR="00C14688" w:rsidRPr="00393AA3" w:rsidRDefault="00C14688" w:rsidP="00C14688">
      <w:pPr>
        <w:pStyle w:val="Bezmezer"/>
        <w:numPr>
          <w:ilvl w:val="1"/>
          <w:numId w:val="4"/>
        </w:numPr>
        <w:spacing w:before="120"/>
        <w:ind w:left="567" w:hanging="709"/>
        <w:jc w:val="both"/>
        <w:rPr>
          <w:rFonts w:ascii="Arial" w:hAnsi="Arial" w:cs="Arial"/>
        </w:rPr>
      </w:pPr>
      <w:r w:rsidRPr="00393AA3">
        <w:rPr>
          <w:rFonts w:ascii="Arial" w:hAnsi="Arial" w:cs="Arial"/>
        </w:rPr>
        <w:t>Rámcová dohoda je uzavřena a nabývá platnosti okamžikem podpisu poslední smluvní stranou.</w:t>
      </w:r>
    </w:p>
    <w:p w:rsidR="00C14688" w:rsidRPr="00393AA3" w:rsidRDefault="00C14688" w:rsidP="00C14688">
      <w:pPr>
        <w:pStyle w:val="Bezmezer"/>
        <w:numPr>
          <w:ilvl w:val="1"/>
          <w:numId w:val="4"/>
        </w:numPr>
        <w:spacing w:before="120"/>
        <w:ind w:left="567" w:hanging="709"/>
        <w:jc w:val="both"/>
        <w:rPr>
          <w:rFonts w:ascii="Arial" w:hAnsi="Arial" w:cs="Arial"/>
        </w:rPr>
      </w:pPr>
      <w:r w:rsidRPr="00393AA3">
        <w:rPr>
          <w:rFonts w:ascii="Arial" w:hAnsi="Arial" w:cs="Arial"/>
        </w:rPr>
        <w:t xml:space="preserve">Rámcová dohoda nabývá účinnosti dnem jejího uveřejnění v registru smluv v souladu se zákonem č. 340/2015 Sb., o zvláštních podmínkách účinnosti některých smluv, uveřejňování těchto smluv a o registru smluv (zákon o registru smluv), ve znění pozdějších předpisů. </w:t>
      </w:r>
    </w:p>
    <w:p w:rsidR="00C14688" w:rsidRPr="00393AA3" w:rsidRDefault="00C14688" w:rsidP="00C14688">
      <w:pPr>
        <w:pStyle w:val="Bezmezer"/>
        <w:numPr>
          <w:ilvl w:val="1"/>
          <w:numId w:val="4"/>
        </w:numPr>
        <w:spacing w:before="120"/>
        <w:ind w:left="567" w:hanging="709"/>
        <w:jc w:val="both"/>
        <w:rPr>
          <w:rFonts w:ascii="Arial" w:hAnsi="Arial" w:cs="Arial"/>
        </w:rPr>
      </w:pPr>
      <w:r w:rsidRPr="00393AA3">
        <w:rPr>
          <w:rFonts w:ascii="Arial" w:hAnsi="Arial" w:cs="Arial"/>
        </w:rPr>
        <w:t xml:space="preserve">Zadavatel zašle tuto rámcovou dohodu správci registru smluv Ministerstva vnitra k uveřejnění bez zbytečného odkladu, nejpozději však do 30 dnů od uzavření rámcové dohody. </w:t>
      </w:r>
      <w:bookmarkStart w:id="2" w:name="_Hlk145080439"/>
      <w:r w:rsidRPr="00393AA3">
        <w:rPr>
          <w:rFonts w:ascii="Arial" w:hAnsi="Arial" w:cs="Arial"/>
        </w:rPr>
        <w:t xml:space="preserve">Potvrzení o uveřejnění rámcové dohody bude zasláno dodavateli automaticky do datové schránky správcem registru smluv Ministerstva vnitra. </w:t>
      </w:r>
    </w:p>
    <w:bookmarkEnd w:id="2"/>
    <w:p w:rsidR="00C14688" w:rsidRPr="00393AA3" w:rsidRDefault="00C14688" w:rsidP="00C14688">
      <w:pPr>
        <w:pStyle w:val="Bezmezer"/>
        <w:numPr>
          <w:ilvl w:val="1"/>
          <w:numId w:val="4"/>
        </w:numPr>
        <w:spacing w:before="120"/>
        <w:ind w:left="567" w:hanging="709"/>
        <w:jc w:val="both"/>
        <w:rPr>
          <w:rFonts w:ascii="Arial" w:hAnsi="Arial" w:cs="Arial"/>
        </w:rPr>
      </w:pPr>
      <w:r w:rsidRPr="00393AA3">
        <w:rPr>
          <w:rFonts w:ascii="Arial" w:hAnsi="Arial" w:cs="Arial"/>
        </w:rPr>
        <w:lastRenderedPageBreak/>
        <w:t xml:space="preserve">V případě, že dodavatel </w:t>
      </w:r>
      <w:proofErr w:type="gramStart"/>
      <w:r w:rsidRPr="00393AA3">
        <w:rPr>
          <w:rFonts w:ascii="Arial" w:hAnsi="Arial" w:cs="Arial"/>
        </w:rPr>
        <w:t>použije</w:t>
      </w:r>
      <w:proofErr w:type="gramEnd"/>
      <w:r w:rsidRPr="00393AA3">
        <w:rPr>
          <w:rFonts w:ascii="Arial" w:hAnsi="Arial" w:cs="Arial"/>
        </w:rPr>
        <w:t xml:space="preserve"> byť i jen k plnění určité části předmětu rámcové dohody nebo objednávky poddodavatele, odpovídá tento dodavatel zadavateli za plnění poskytnuté poddodavatelem, jako by toto plnění poskytoval sám.</w:t>
      </w:r>
    </w:p>
    <w:p w:rsidR="00C14688" w:rsidRDefault="00C14688" w:rsidP="00C14688">
      <w:pPr>
        <w:pStyle w:val="Bezmezer"/>
        <w:numPr>
          <w:ilvl w:val="1"/>
          <w:numId w:val="4"/>
        </w:numPr>
        <w:spacing w:before="120"/>
        <w:ind w:left="567" w:hanging="709"/>
        <w:jc w:val="both"/>
        <w:rPr>
          <w:rFonts w:ascii="Arial" w:hAnsi="Arial" w:cs="Arial"/>
        </w:rPr>
      </w:pPr>
      <w:r w:rsidRPr="00393AA3">
        <w:rPr>
          <w:rFonts w:ascii="Arial" w:hAnsi="Arial" w:cs="Arial"/>
        </w:rPr>
        <w:t>Změny či doplnění rámcové dohody je možné činit výhradně formou písemných a číselně označených dodatků k rámcové dohodě schválených zadavatelem a dodavatelem, a to s výjimkou změn osob a kontaktních údajů uvedených v úvodu rámcové dohody v části „Účastníci dohody“ a v odst. 9.11 tohoto článku, které se považují za změněné dnem doručení písemného oznámení o takové změně druhému účastníku dohody, tedy změna se neprovádí formou písemného dodatku k rámcové dohodě.</w:t>
      </w:r>
    </w:p>
    <w:p w:rsidR="00C14688" w:rsidRPr="00FF2ABD" w:rsidRDefault="00C14688" w:rsidP="00C14688">
      <w:pPr>
        <w:pStyle w:val="Bezmezer"/>
        <w:numPr>
          <w:ilvl w:val="1"/>
          <w:numId w:val="4"/>
        </w:numPr>
        <w:spacing w:before="120"/>
        <w:ind w:left="567" w:hanging="709"/>
        <w:jc w:val="both"/>
        <w:rPr>
          <w:rFonts w:ascii="Arial" w:hAnsi="Arial" w:cs="Arial"/>
        </w:rPr>
      </w:pPr>
      <w:r w:rsidRPr="00FF2ABD">
        <w:rPr>
          <w:rFonts w:ascii="Arial" w:hAnsi="Arial" w:cs="Arial"/>
        </w:rPr>
        <w:t>Tato smlouva je vyhotovena ve 4 stejnopisech s platností originálu, z nichž zadavatel obdrží 3 a dodavatel 1 výtisk.</w:t>
      </w:r>
    </w:p>
    <w:p w:rsidR="00C14688" w:rsidRPr="00393AA3" w:rsidRDefault="00C14688" w:rsidP="00C14688">
      <w:pPr>
        <w:pStyle w:val="Bezmezer"/>
        <w:spacing w:before="120"/>
        <w:ind w:left="567"/>
        <w:jc w:val="both"/>
        <w:rPr>
          <w:rFonts w:ascii="Arial" w:hAnsi="Arial" w:cs="Arial"/>
        </w:rPr>
      </w:pPr>
      <w:r w:rsidRPr="00393AA3">
        <w:rPr>
          <w:rFonts w:ascii="Arial" w:hAnsi="Arial" w:cs="Arial"/>
        </w:rPr>
        <w:t>Nedílnou součástí rámcové dohody je:</w:t>
      </w:r>
    </w:p>
    <w:p w:rsidR="00C14688" w:rsidRPr="00393AA3" w:rsidRDefault="00C14688" w:rsidP="00C14688">
      <w:pPr>
        <w:pStyle w:val="Bezmezer"/>
        <w:numPr>
          <w:ilvl w:val="0"/>
          <w:numId w:val="5"/>
        </w:numPr>
        <w:spacing w:before="120"/>
        <w:jc w:val="both"/>
        <w:rPr>
          <w:rFonts w:ascii="Arial" w:hAnsi="Arial" w:cs="Arial"/>
        </w:rPr>
      </w:pPr>
      <w:r w:rsidRPr="00393AA3">
        <w:rPr>
          <w:rFonts w:ascii="Arial" w:hAnsi="Arial" w:cs="Arial"/>
        </w:rPr>
        <w:t xml:space="preserve">Příloha č. 1 – Smluvní ceny </w:t>
      </w:r>
    </w:p>
    <w:p w:rsidR="00C14688" w:rsidRPr="00393AA3" w:rsidRDefault="00C14688" w:rsidP="00C14688">
      <w:pPr>
        <w:pStyle w:val="Bezmezer"/>
        <w:numPr>
          <w:ilvl w:val="1"/>
          <w:numId w:val="14"/>
        </w:numPr>
        <w:spacing w:before="120"/>
        <w:ind w:left="567" w:hanging="709"/>
        <w:jc w:val="both"/>
        <w:rPr>
          <w:rFonts w:ascii="Arial" w:hAnsi="Arial" w:cs="Arial"/>
        </w:rPr>
      </w:pPr>
      <w:r w:rsidRPr="00393AA3">
        <w:rPr>
          <w:rFonts w:ascii="Arial" w:hAnsi="Arial" w:cs="Arial"/>
        </w:rPr>
        <w:t>Kontaktní osoby ve věci plnění rámcové dohody za zadavatele:</w:t>
      </w:r>
    </w:p>
    <w:p w:rsidR="00C14688" w:rsidRPr="00393AA3" w:rsidRDefault="00C14688" w:rsidP="00C14688">
      <w:pPr>
        <w:pStyle w:val="Bezmezer"/>
        <w:numPr>
          <w:ilvl w:val="0"/>
          <w:numId w:val="3"/>
        </w:numPr>
        <w:spacing w:before="120"/>
        <w:ind w:left="993" w:hanging="426"/>
        <w:jc w:val="both"/>
        <w:rPr>
          <w:rFonts w:ascii="Arial" w:hAnsi="Arial" w:cs="Arial"/>
        </w:rPr>
      </w:pPr>
      <w:r w:rsidRPr="00393AA3">
        <w:rPr>
          <w:rFonts w:ascii="Arial" w:hAnsi="Arial" w:cs="Arial"/>
        </w:rPr>
        <w:t xml:space="preserve">vedoucí oddělení HMSO, tel.: </w:t>
      </w:r>
      <w:r w:rsidR="00273744">
        <w:rPr>
          <w:rFonts w:ascii="Arial" w:hAnsi="Arial" w:cs="Arial"/>
        </w:rPr>
        <w:t>XXXXX</w:t>
      </w:r>
    </w:p>
    <w:p w:rsidR="00C14688" w:rsidRPr="003A6BCA" w:rsidRDefault="00C14688" w:rsidP="00C14688">
      <w:pPr>
        <w:pStyle w:val="Bezmezer"/>
        <w:numPr>
          <w:ilvl w:val="0"/>
          <w:numId w:val="3"/>
        </w:numPr>
        <w:spacing w:before="120"/>
        <w:ind w:left="992" w:hanging="425"/>
        <w:jc w:val="both"/>
        <w:rPr>
          <w:rFonts w:ascii="Arial" w:hAnsi="Arial" w:cs="Arial"/>
        </w:rPr>
      </w:pPr>
      <w:r w:rsidRPr="003A6BCA">
        <w:rPr>
          <w:rFonts w:ascii="Arial" w:hAnsi="Arial" w:cs="Arial"/>
        </w:rPr>
        <w:t xml:space="preserve">referent oddělení HMSU, tel.: </w:t>
      </w:r>
      <w:r w:rsidR="00273744">
        <w:rPr>
          <w:rFonts w:ascii="Arial" w:hAnsi="Arial" w:cs="Arial"/>
        </w:rPr>
        <w:t>XXXXX</w:t>
      </w:r>
    </w:p>
    <w:p w:rsidR="00C14688" w:rsidRPr="003A6BCA" w:rsidRDefault="00C14688" w:rsidP="00C14688">
      <w:pPr>
        <w:pStyle w:val="Bezmezer"/>
        <w:numPr>
          <w:ilvl w:val="0"/>
          <w:numId w:val="3"/>
        </w:numPr>
        <w:spacing w:before="120"/>
        <w:ind w:left="992" w:hanging="425"/>
        <w:jc w:val="both"/>
        <w:rPr>
          <w:rFonts w:ascii="Arial" w:hAnsi="Arial" w:cs="Arial"/>
        </w:rPr>
      </w:pPr>
      <w:r w:rsidRPr="003A6BCA">
        <w:rPr>
          <w:rFonts w:ascii="Arial" w:hAnsi="Arial" w:cs="Arial"/>
        </w:rPr>
        <w:t>podatelna: podatelna</w:t>
      </w:r>
      <w:r>
        <w:rPr>
          <w:rFonts w:ascii="Arial" w:hAnsi="Arial" w:cs="Arial"/>
        </w:rPr>
        <w:t>.plzen</w:t>
      </w:r>
      <w:r w:rsidRPr="003A6BCA">
        <w:rPr>
          <w:rFonts w:ascii="Arial" w:hAnsi="Arial" w:cs="Arial"/>
        </w:rPr>
        <w:t>@uzsvm.cz</w:t>
      </w:r>
    </w:p>
    <w:p w:rsidR="00C14688" w:rsidRPr="003A6BCA" w:rsidRDefault="00C14688" w:rsidP="00C14688">
      <w:pPr>
        <w:pStyle w:val="Bezmezer"/>
        <w:numPr>
          <w:ilvl w:val="1"/>
          <w:numId w:val="14"/>
        </w:numPr>
        <w:spacing w:before="120"/>
        <w:ind w:left="567" w:hanging="709"/>
        <w:jc w:val="both"/>
        <w:rPr>
          <w:rFonts w:ascii="Arial" w:hAnsi="Arial" w:cs="Arial"/>
        </w:rPr>
      </w:pPr>
      <w:r w:rsidRPr="003A6BCA">
        <w:rPr>
          <w:rFonts w:ascii="Arial" w:hAnsi="Arial" w:cs="Arial"/>
        </w:rPr>
        <w:t xml:space="preserve">Účastníci dohody prohlašují, že si tuto rámcovou dohodu přečetli, že s jejím obsahem souhlasí a na důkaz toho připojují své </w:t>
      </w:r>
      <w:r>
        <w:rPr>
          <w:rFonts w:ascii="Arial" w:hAnsi="Arial" w:cs="Arial"/>
        </w:rPr>
        <w:t xml:space="preserve">vlastnoruční </w:t>
      </w:r>
      <w:r w:rsidRPr="003A6BCA">
        <w:rPr>
          <w:rFonts w:ascii="Arial" w:hAnsi="Arial" w:cs="Arial"/>
        </w:rPr>
        <w:t xml:space="preserve">podpisy. </w:t>
      </w:r>
    </w:p>
    <w:p w:rsidR="00C14688" w:rsidRPr="003A6BCA" w:rsidRDefault="00C14688" w:rsidP="00C14688">
      <w:pPr>
        <w:pStyle w:val="Default"/>
        <w:jc w:val="both"/>
        <w:rPr>
          <w:bCs/>
          <w:color w:val="auto"/>
          <w:sz w:val="22"/>
          <w:szCs w:val="22"/>
        </w:rPr>
      </w:pPr>
    </w:p>
    <w:p w:rsidR="00C14688" w:rsidRDefault="00C14688" w:rsidP="00C14688">
      <w:pPr>
        <w:pStyle w:val="Default"/>
        <w:jc w:val="both"/>
        <w:rPr>
          <w:bCs/>
          <w:color w:val="auto"/>
          <w:sz w:val="22"/>
          <w:szCs w:val="22"/>
        </w:rPr>
      </w:pPr>
    </w:p>
    <w:p w:rsidR="00C14688" w:rsidRDefault="00C14688" w:rsidP="00C14688">
      <w:pPr>
        <w:pStyle w:val="Default"/>
        <w:jc w:val="both"/>
        <w:rPr>
          <w:bCs/>
          <w:color w:val="auto"/>
          <w:sz w:val="22"/>
          <w:szCs w:val="22"/>
        </w:rPr>
      </w:pPr>
      <w:r>
        <w:rPr>
          <w:bCs/>
          <w:color w:val="auto"/>
          <w:sz w:val="22"/>
          <w:szCs w:val="22"/>
        </w:rPr>
        <w:t>Za zadavatele:</w:t>
      </w:r>
      <w:r>
        <w:rPr>
          <w:bCs/>
          <w:color w:val="auto"/>
          <w:sz w:val="22"/>
          <w:szCs w:val="22"/>
        </w:rPr>
        <w:tab/>
      </w:r>
      <w:r>
        <w:rPr>
          <w:bCs/>
          <w:color w:val="auto"/>
          <w:sz w:val="22"/>
          <w:szCs w:val="22"/>
        </w:rPr>
        <w:tab/>
      </w:r>
      <w:r>
        <w:rPr>
          <w:bCs/>
          <w:color w:val="auto"/>
          <w:sz w:val="22"/>
          <w:szCs w:val="22"/>
        </w:rPr>
        <w:tab/>
      </w:r>
      <w:r>
        <w:rPr>
          <w:bCs/>
          <w:color w:val="auto"/>
          <w:sz w:val="22"/>
          <w:szCs w:val="22"/>
        </w:rPr>
        <w:tab/>
      </w:r>
      <w:r>
        <w:rPr>
          <w:bCs/>
          <w:color w:val="auto"/>
          <w:sz w:val="22"/>
          <w:szCs w:val="22"/>
        </w:rPr>
        <w:tab/>
        <w:t>Za dodavatele:</w:t>
      </w:r>
    </w:p>
    <w:p w:rsidR="00C14688" w:rsidRPr="006235F8" w:rsidRDefault="00C14688" w:rsidP="00C14688">
      <w:pPr>
        <w:pStyle w:val="Default"/>
        <w:jc w:val="both"/>
        <w:rPr>
          <w:bCs/>
          <w:color w:val="auto"/>
          <w:sz w:val="22"/>
          <w:szCs w:val="22"/>
        </w:rPr>
      </w:pPr>
    </w:p>
    <w:p w:rsidR="00C14688" w:rsidRPr="00F31661" w:rsidRDefault="00C14688" w:rsidP="00C14688">
      <w:pPr>
        <w:pStyle w:val="Default"/>
        <w:jc w:val="both"/>
        <w:rPr>
          <w:b/>
          <w:color w:val="auto"/>
          <w:sz w:val="22"/>
          <w:szCs w:val="22"/>
        </w:rPr>
      </w:pPr>
      <w:r w:rsidRPr="00F31661">
        <w:rPr>
          <w:b/>
          <w:color w:val="auto"/>
          <w:sz w:val="22"/>
          <w:szCs w:val="22"/>
        </w:rPr>
        <w:t>ČR-Úřad pro zastupování státu ve věcech</w:t>
      </w:r>
      <w:r>
        <w:rPr>
          <w:b/>
          <w:color w:val="auto"/>
          <w:sz w:val="22"/>
          <w:szCs w:val="22"/>
        </w:rPr>
        <w:t xml:space="preserve">          </w:t>
      </w:r>
      <w:proofErr w:type="spellStart"/>
      <w:r>
        <w:rPr>
          <w:b/>
          <w:color w:val="auto"/>
          <w:sz w:val="22"/>
          <w:szCs w:val="22"/>
        </w:rPr>
        <w:t>oekoplan</w:t>
      </w:r>
      <w:proofErr w:type="spellEnd"/>
      <w:r>
        <w:rPr>
          <w:b/>
          <w:color w:val="auto"/>
          <w:sz w:val="22"/>
          <w:szCs w:val="22"/>
        </w:rPr>
        <w:t xml:space="preserve"> Czech Republic s.r.o.</w:t>
      </w:r>
    </w:p>
    <w:p w:rsidR="00C14688" w:rsidRPr="00F31661" w:rsidRDefault="00C14688" w:rsidP="00C14688">
      <w:pPr>
        <w:pStyle w:val="Default"/>
        <w:jc w:val="both"/>
        <w:rPr>
          <w:b/>
          <w:color w:val="auto"/>
          <w:sz w:val="22"/>
          <w:szCs w:val="22"/>
        </w:rPr>
      </w:pPr>
      <w:r w:rsidRPr="00F31661">
        <w:rPr>
          <w:b/>
          <w:color w:val="auto"/>
          <w:sz w:val="22"/>
          <w:szCs w:val="22"/>
        </w:rPr>
        <w:t>majetkových</w:t>
      </w:r>
    </w:p>
    <w:p w:rsidR="00C14688" w:rsidRDefault="00C14688" w:rsidP="00C14688">
      <w:pPr>
        <w:pStyle w:val="Default"/>
        <w:spacing w:before="240"/>
        <w:jc w:val="both"/>
        <w:rPr>
          <w:color w:val="auto"/>
          <w:sz w:val="22"/>
          <w:szCs w:val="22"/>
        </w:rPr>
      </w:pPr>
      <w:r>
        <w:rPr>
          <w:color w:val="auto"/>
          <w:sz w:val="22"/>
          <w:szCs w:val="22"/>
        </w:rPr>
        <w:t>V Plzni dne ……………………………</w:t>
      </w:r>
      <w:r>
        <w:rPr>
          <w:color w:val="auto"/>
          <w:sz w:val="22"/>
          <w:szCs w:val="22"/>
        </w:rPr>
        <w:tab/>
      </w:r>
      <w:r>
        <w:rPr>
          <w:color w:val="auto"/>
          <w:sz w:val="22"/>
          <w:szCs w:val="22"/>
        </w:rPr>
        <w:tab/>
        <w:t>V Brně dne……</w:t>
      </w:r>
      <w:proofErr w:type="gramStart"/>
      <w:r>
        <w:rPr>
          <w:color w:val="auto"/>
          <w:sz w:val="22"/>
          <w:szCs w:val="22"/>
        </w:rPr>
        <w:t>…….</w:t>
      </w:r>
      <w:proofErr w:type="gramEnd"/>
      <w:r>
        <w:rPr>
          <w:color w:val="auto"/>
          <w:sz w:val="22"/>
          <w:szCs w:val="22"/>
        </w:rPr>
        <w:t xml:space="preserve">. ………………… </w:t>
      </w:r>
    </w:p>
    <w:p w:rsidR="00C14688" w:rsidRDefault="00C14688" w:rsidP="00C14688">
      <w:pPr>
        <w:pStyle w:val="Default"/>
        <w:spacing w:before="720"/>
        <w:jc w:val="both"/>
        <w:rPr>
          <w:color w:val="auto"/>
          <w:sz w:val="22"/>
          <w:szCs w:val="22"/>
        </w:rPr>
      </w:pPr>
      <w:r>
        <w:rPr>
          <w:color w:val="auto"/>
          <w:sz w:val="22"/>
          <w:szCs w:val="22"/>
        </w:rPr>
        <w:t>…………………………………………</w:t>
      </w:r>
      <w:r>
        <w:rPr>
          <w:color w:val="auto"/>
          <w:sz w:val="22"/>
          <w:szCs w:val="22"/>
        </w:rPr>
        <w:tab/>
      </w:r>
      <w:r>
        <w:rPr>
          <w:color w:val="auto"/>
          <w:sz w:val="22"/>
          <w:szCs w:val="22"/>
        </w:rPr>
        <w:tab/>
      </w:r>
      <w:r>
        <w:rPr>
          <w:color w:val="auto"/>
          <w:sz w:val="22"/>
          <w:szCs w:val="22"/>
        </w:rPr>
        <w:tab/>
        <w:t>…………………………………………</w:t>
      </w:r>
      <w:r>
        <w:rPr>
          <w:color w:val="auto"/>
          <w:sz w:val="22"/>
          <w:szCs w:val="22"/>
        </w:rPr>
        <w:tab/>
        <w:t>…</w:t>
      </w:r>
    </w:p>
    <w:p w:rsidR="00C14688" w:rsidRPr="00F31661" w:rsidRDefault="00C14688" w:rsidP="00C14688">
      <w:pPr>
        <w:pStyle w:val="Default"/>
        <w:jc w:val="both"/>
        <w:rPr>
          <w:color w:val="auto"/>
          <w:sz w:val="22"/>
          <w:szCs w:val="22"/>
        </w:rPr>
      </w:pPr>
      <w:r>
        <w:rPr>
          <w:color w:val="auto"/>
          <w:sz w:val="22"/>
          <w:szCs w:val="22"/>
        </w:rPr>
        <w:t>Mgr. Ing. Ladislav Nový</w:t>
      </w:r>
      <w:r>
        <w:rPr>
          <w:color w:val="auto"/>
          <w:sz w:val="22"/>
          <w:szCs w:val="22"/>
        </w:rPr>
        <w:tab/>
      </w:r>
      <w:r>
        <w:rPr>
          <w:color w:val="auto"/>
          <w:sz w:val="22"/>
          <w:szCs w:val="22"/>
        </w:rPr>
        <w:tab/>
      </w:r>
      <w:r>
        <w:rPr>
          <w:color w:val="auto"/>
          <w:sz w:val="22"/>
          <w:szCs w:val="22"/>
        </w:rPr>
        <w:tab/>
      </w:r>
      <w:r>
        <w:rPr>
          <w:color w:val="auto"/>
          <w:sz w:val="22"/>
          <w:szCs w:val="22"/>
        </w:rPr>
        <w:tab/>
      </w:r>
      <w:r w:rsidRPr="00F31661">
        <w:rPr>
          <w:color w:val="auto"/>
          <w:sz w:val="22"/>
          <w:szCs w:val="22"/>
        </w:rPr>
        <w:t xml:space="preserve">Ing. Bruno </w:t>
      </w:r>
      <w:proofErr w:type="spellStart"/>
      <w:r w:rsidRPr="00F31661">
        <w:rPr>
          <w:color w:val="auto"/>
          <w:sz w:val="22"/>
          <w:szCs w:val="22"/>
        </w:rPr>
        <w:t>Vallance</w:t>
      </w:r>
      <w:proofErr w:type="spellEnd"/>
    </w:p>
    <w:p w:rsidR="00C14688" w:rsidRPr="00F31661" w:rsidRDefault="00C14688" w:rsidP="00C14688">
      <w:pPr>
        <w:spacing w:line="276" w:lineRule="auto"/>
        <w:jc w:val="both"/>
        <w:rPr>
          <w:rFonts w:ascii="Arial" w:hAnsi="Arial" w:cs="Arial"/>
          <w:sz w:val="22"/>
          <w:szCs w:val="22"/>
        </w:rPr>
      </w:pPr>
      <w:r w:rsidRPr="00F31661">
        <w:rPr>
          <w:rFonts w:ascii="Arial" w:hAnsi="Arial" w:cs="Arial"/>
          <w:sz w:val="22"/>
          <w:szCs w:val="22"/>
        </w:rPr>
        <w:t>ředitel Územního pracoviště Plzeň</w:t>
      </w:r>
      <w:r w:rsidRPr="00F31661">
        <w:rPr>
          <w:rFonts w:ascii="Arial" w:hAnsi="Arial" w:cs="Arial"/>
          <w:sz w:val="22"/>
          <w:szCs w:val="22"/>
        </w:rPr>
        <w:tab/>
      </w:r>
      <w:r w:rsidRPr="00F31661">
        <w:rPr>
          <w:rFonts w:ascii="Arial" w:hAnsi="Arial" w:cs="Arial"/>
          <w:sz w:val="22"/>
          <w:szCs w:val="22"/>
        </w:rPr>
        <w:tab/>
      </w:r>
      <w:r w:rsidRPr="00F31661">
        <w:rPr>
          <w:rFonts w:ascii="Arial" w:hAnsi="Arial" w:cs="Arial"/>
          <w:sz w:val="22"/>
          <w:szCs w:val="22"/>
        </w:rPr>
        <w:tab/>
        <w:t>ředitel a jednatel, energetický auditor</w:t>
      </w:r>
    </w:p>
    <w:p w:rsidR="00C14688" w:rsidRPr="00F31661" w:rsidRDefault="00C14688" w:rsidP="00C14688">
      <w:pPr>
        <w:spacing w:line="276" w:lineRule="auto"/>
        <w:jc w:val="both"/>
        <w:rPr>
          <w:sz w:val="22"/>
          <w:szCs w:val="22"/>
        </w:rPr>
      </w:pPr>
      <w:r w:rsidRPr="00F31661">
        <w:rPr>
          <w:rFonts w:ascii="Arial" w:hAnsi="Arial" w:cs="Arial"/>
          <w:sz w:val="22"/>
          <w:szCs w:val="22"/>
        </w:rPr>
        <w:t xml:space="preserve">                                                                                 </w:t>
      </w:r>
    </w:p>
    <w:p w:rsidR="00C14688" w:rsidRPr="00A7082C" w:rsidRDefault="00C14688" w:rsidP="00C14688">
      <w:pPr>
        <w:spacing w:line="276" w:lineRule="auto"/>
        <w:ind w:left="4248" w:firstLine="708"/>
        <w:jc w:val="both"/>
        <w:rPr>
          <w:rFonts w:ascii="Arial" w:hAnsi="Arial" w:cs="Arial"/>
          <w:sz w:val="22"/>
          <w:szCs w:val="22"/>
        </w:rPr>
      </w:pPr>
    </w:p>
    <w:p w:rsidR="00C14688" w:rsidRDefault="00C14688" w:rsidP="00C14688">
      <w:pPr>
        <w:spacing w:line="276" w:lineRule="auto"/>
        <w:jc w:val="both"/>
        <w:rPr>
          <w:rFonts w:ascii="Arial" w:hAnsi="Arial" w:cs="Arial"/>
          <w:sz w:val="22"/>
          <w:szCs w:val="22"/>
        </w:rPr>
      </w:pPr>
    </w:p>
    <w:p w:rsidR="00C14688" w:rsidRDefault="00C14688" w:rsidP="00C14688">
      <w:pPr>
        <w:spacing w:line="276" w:lineRule="auto"/>
        <w:jc w:val="both"/>
        <w:rPr>
          <w:rFonts w:ascii="Arial" w:hAnsi="Arial" w:cs="Arial"/>
          <w:sz w:val="22"/>
          <w:szCs w:val="22"/>
        </w:rPr>
      </w:pPr>
    </w:p>
    <w:p w:rsidR="00C14688" w:rsidRDefault="00C14688" w:rsidP="00C14688">
      <w:pPr>
        <w:spacing w:line="276" w:lineRule="auto"/>
        <w:jc w:val="both"/>
        <w:rPr>
          <w:rFonts w:ascii="Arial" w:hAnsi="Arial" w:cs="Arial"/>
          <w:sz w:val="22"/>
          <w:szCs w:val="22"/>
        </w:rPr>
      </w:pPr>
    </w:p>
    <w:p w:rsidR="00C14688" w:rsidRDefault="00C14688" w:rsidP="00C14688">
      <w:pPr>
        <w:spacing w:line="276" w:lineRule="auto"/>
        <w:jc w:val="both"/>
        <w:rPr>
          <w:rFonts w:ascii="Arial" w:hAnsi="Arial" w:cs="Arial"/>
          <w:sz w:val="22"/>
          <w:szCs w:val="22"/>
        </w:rPr>
      </w:pPr>
    </w:p>
    <w:p w:rsidR="00C14688" w:rsidRDefault="00C14688" w:rsidP="00C14688">
      <w:pPr>
        <w:spacing w:line="276" w:lineRule="auto"/>
        <w:jc w:val="both"/>
        <w:rPr>
          <w:rFonts w:ascii="Arial" w:hAnsi="Arial" w:cs="Arial"/>
          <w:sz w:val="22"/>
          <w:szCs w:val="22"/>
        </w:rPr>
      </w:pPr>
    </w:p>
    <w:p w:rsidR="00C14688" w:rsidRDefault="00C14688" w:rsidP="00C14688">
      <w:pPr>
        <w:spacing w:line="276" w:lineRule="auto"/>
        <w:jc w:val="both"/>
        <w:rPr>
          <w:rFonts w:ascii="Arial" w:hAnsi="Arial" w:cs="Arial"/>
          <w:sz w:val="22"/>
          <w:szCs w:val="22"/>
        </w:rPr>
      </w:pPr>
      <w:r w:rsidRPr="00A7082C">
        <w:rPr>
          <w:rFonts w:ascii="Arial" w:hAnsi="Arial" w:cs="Arial"/>
          <w:sz w:val="22"/>
          <w:szCs w:val="22"/>
        </w:rPr>
        <w:tab/>
      </w:r>
      <w:r w:rsidRPr="00A7082C">
        <w:rPr>
          <w:rFonts w:ascii="Arial" w:hAnsi="Arial" w:cs="Arial"/>
          <w:sz w:val="22"/>
          <w:szCs w:val="22"/>
        </w:rPr>
        <w:tab/>
      </w:r>
      <w:r w:rsidRPr="00A7082C">
        <w:rPr>
          <w:rFonts w:ascii="Arial" w:hAnsi="Arial" w:cs="Arial"/>
          <w:sz w:val="22"/>
          <w:szCs w:val="22"/>
        </w:rPr>
        <w:tab/>
      </w:r>
      <w:r w:rsidRPr="00A7082C">
        <w:rPr>
          <w:rFonts w:ascii="Arial" w:hAnsi="Arial" w:cs="Arial"/>
          <w:sz w:val="22"/>
          <w:szCs w:val="22"/>
        </w:rPr>
        <w:tab/>
      </w:r>
      <w:r w:rsidRPr="00A7082C">
        <w:rPr>
          <w:rFonts w:ascii="Arial" w:hAnsi="Arial" w:cs="Arial"/>
          <w:sz w:val="22"/>
          <w:szCs w:val="22"/>
        </w:rPr>
        <w:tab/>
      </w:r>
      <w:r w:rsidRPr="00A7082C">
        <w:rPr>
          <w:rFonts w:ascii="Arial" w:hAnsi="Arial" w:cs="Arial"/>
          <w:sz w:val="22"/>
          <w:szCs w:val="22"/>
        </w:rPr>
        <w:tab/>
      </w:r>
      <w:r w:rsidRPr="00A7082C">
        <w:rPr>
          <w:rFonts w:ascii="Arial" w:hAnsi="Arial" w:cs="Arial"/>
          <w:sz w:val="22"/>
          <w:szCs w:val="22"/>
        </w:rPr>
        <w:tab/>
      </w:r>
    </w:p>
    <w:p w:rsidR="00C14688" w:rsidRDefault="00C14688" w:rsidP="00C14688">
      <w:pPr>
        <w:spacing w:line="276" w:lineRule="auto"/>
        <w:jc w:val="both"/>
        <w:rPr>
          <w:rFonts w:ascii="Arial" w:hAnsi="Arial" w:cs="Arial"/>
          <w:sz w:val="22"/>
          <w:szCs w:val="22"/>
        </w:rPr>
      </w:pPr>
    </w:p>
    <w:p w:rsidR="00C14688" w:rsidRDefault="00C14688" w:rsidP="00C14688">
      <w:pPr>
        <w:spacing w:line="276" w:lineRule="auto"/>
        <w:jc w:val="both"/>
        <w:rPr>
          <w:rFonts w:ascii="Arial" w:hAnsi="Arial" w:cs="Arial"/>
          <w:sz w:val="22"/>
          <w:szCs w:val="22"/>
        </w:rPr>
      </w:pPr>
    </w:p>
    <w:p w:rsidR="00C14688" w:rsidRDefault="00C14688" w:rsidP="00C14688">
      <w:pPr>
        <w:spacing w:line="276" w:lineRule="auto"/>
        <w:jc w:val="both"/>
        <w:rPr>
          <w:rFonts w:ascii="Arial" w:hAnsi="Arial" w:cs="Arial"/>
          <w:sz w:val="22"/>
          <w:szCs w:val="22"/>
        </w:rPr>
      </w:pPr>
    </w:p>
    <w:p w:rsidR="00C14688" w:rsidRDefault="00C14688" w:rsidP="00C14688">
      <w:pPr>
        <w:spacing w:line="276" w:lineRule="auto"/>
        <w:jc w:val="both"/>
        <w:rPr>
          <w:rFonts w:ascii="Arial" w:hAnsi="Arial" w:cs="Arial"/>
          <w:sz w:val="22"/>
          <w:szCs w:val="22"/>
        </w:rPr>
      </w:pPr>
    </w:p>
    <w:p w:rsidR="00C14688" w:rsidRDefault="00C14688" w:rsidP="00C14688">
      <w:pPr>
        <w:spacing w:line="276" w:lineRule="auto"/>
        <w:jc w:val="both"/>
        <w:rPr>
          <w:rFonts w:ascii="Arial" w:hAnsi="Arial" w:cs="Arial"/>
          <w:sz w:val="22"/>
          <w:szCs w:val="22"/>
        </w:rPr>
      </w:pPr>
    </w:p>
    <w:p w:rsidR="00C14688" w:rsidRPr="00A7082C" w:rsidRDefault="00C14688" w:rsidP="00C14688">
      <w:pPr>
        <w:spacing w:line="276" w:lineRule="auto"/>
        <w:jc w:val="both"/>
        <w:rPr>
          <w:rFonts w:ascii="Arial" w:hAnsi="Arial" w:cs="Arial"/>
          <w:sz w:val="22"/>
          <w:szCs w:val="22"/>
        </w:rPr>
      </w:pPr>
    </w:p>
    <w:p w:rsidR="00C14688" w:rsidRDefault="00C14688" w:rsidP="00C14688">
      <w:pPr>
        <w:spacing w:before="120"/>
        <w:ind w:hanging="142"/>
        <w:jc w:val="right"/>
        <w:rPr>
          <w:rFonts w:ascii="Arial" w:hAnsi="Arial" w:cs="Arial"/>
          <w:b/>
          <w:sz w:val="22"/>
          <w:szCs w:val="22"/>
        </w:rPr>
      </w:pPr>
    </w:p>
    <w:p w:rsidR="00C14688" w:rsidRDefault="00C14688" w:rsidP="00C14688">
      <w:pPr>
        <w:spacing w:before="120"/>
        <w:ind w:hanging="142"/>
        <w:jc w:val="right"/>
        <w:rPr>
          <w:rFonts w:ascii="Arial" w:hAnsi="Arial" w:cs="Arial"/>
          <w:b/>
          <w:sz w:val="22"/>
          <w:szCs w:val="22"/>
        </w:rPr>
      </w:pPr>
    </w:p>
    <w:p w:rsidR="00C14688" w:rsidRDefault="00C14688" w:rsidP="00C14688">
      <w:pPr>
        <w:spacing w:before="120"/>
        <w:ind w:hanging="142"/>
        <w:jc w:val="right"/>
        <w:rPr>
          <w:rFonts w:ascii="Arial" w:hAnsi="Arial" w:cs="Arial"/>
          <w:b/>
          <w:sz w:val="22"/>
          <w:szCs w:val="22"/>
        </w:rPr>
      </w:pPr>
    </w:p>
    <w:p w:rsidR="00C14688" w:rsidRPr="003A6BCA" w:rsidRDefault="00C14688" w:rsidP="00C14688">
      <w:pPr>
        <w:spacing w:before="120"/>
        <w:ind w:hanging="142"/>
        <w:jc w:val="right"/>
        <w:rPr>
          <w:rFonts w:ascii="Arial" w:hAnsi="Arial" w:cs="Arial"/>
          <w:b/>
          <w:sz w:val="22"/>
          <w:szCs w:val="22"/>
        </w:rPr>
      </w:pPr>
      <w:r w:rsidRPr="003A6BCA">
        <w:rPr>
          <w:rFonts w:ascii="Arial" w:hAnsi="Arial" w:cs="Arial"/>
          <w:b/>
          <w:sz w:val="22"/>
          <w:szCs w:val="22"/>
        </w:rPr>
        <w:lastRenderedPageBreak/>
        <w:t>Příloha č. 1 – Smluvní ceny</w:t>
      </w:r>
    </w:p>
    <w:p w:rsidR="00C14688" w:rsidRDefault="00C14688" w:rsidP="00C14688">
      <w:pPr>
        <w:spacing w:before="120"/>
        <w:ind w:hanging="142"/>
        <w:jc w:val="both"/>
        <w:rPr>
          <w:rFonts w:ascii="Arial" w:hAnsi="Arial" w:cs="Arial"/>
          <w:b/>
          <w:sz w:val="22"/>
          <w:szCs w:val="22"/>
        </w:rPr>
      </w:pPr>
      <w:r w:rsidRPr="003A6BCA">
        <w:rPr>
          <w:rFonts w:ascii="Arial" w:hAnsi="Arial" w:cs="Arial"/>
          <w:b/>
          <w:sz w:val="22"/>
          <w:szCs w:val="22"/>
        </w:rPr>
        <w:t xml:space="preserve">Smluvní ceny dodavatele </w:t>
      </w:r>
    </w:p>
    <w:p w:rsidR="00C14688" w:rsidRPr="003A6BCA" w:rsidRDefault="00C14688" w:rsidP="00C14688">
      <w:pPr>
        <w:ind w:hanging="142"/>
        <w:jc w:val="both"/>
        <w:rPr>
          <w:rFonts w:ascii="Arial" w:hAnsi="Arial" w:cs="Arial"/>
          <w:b/>
          <w:sz w:val="22"/>
          <w:szCs w:val="22"/>
        </w:rPr>
      </w:pPr>
      <w:r>
        <w:rPr>
          <w:rFonts w:ascii="Arial" w:hAnsi="Arial" w:cs="Arial"/>
          <w:b/>
          <w:sz w:val="22"/>
          <w:szCs w:val="22"/>
        </w:rPr>
        <w:t>Plzeňský a Karlovarský kraj</w:t>
      </w:r>
    </w:p>
    <w:p w:rsidR="00C14688" w:rsidRDefault="00C14688" w:rsidP="00C14688">
      <w:pPr>
        <w:jc w:val="both"/>
        <w:rPr>
          <w:rFonts w:ascii="Arial" w:hAnsi="Arial" w:cs="Arial"/>
          <w:bCs/>
          <w:sz w:val="22"/>
          <w:szCs w:val="22"/>
        </w:rPr>
      </w:pPr>
      <w:r w:rsidRPr="003A6BCA">
        <w:rPr>
          <w:rFonts w:ascii="Arial" w:hAnsi="Arial" w:cs="Arial"/>
          <w:bCs/>
          <w:sz w:val="22"/>
          <w:szCs w:val="22"/>
        </w:rPr>
        <w:t xml:space="preserve"> </w:t>
      </w:r>
    </w:p>
    <w:tbl>
      <w:tblPr>
        <w:tblStyle w:val="Mkatabulky"/>
        <w:tblW w:w="0" w:type="auto"/>
        <w:tblLook w:val="04A0" w:firstRow="1" w:lastRow="0" w:firstColumn="1" w:lastColumn="0" w:noHBand="0" w:noVBand="1"/>
      </w:tblPr>
      <w:tblGrid>
        <w:gridCol w:w="1635"/>
        <w:gridCol w:w="1746"/>
        <w:gridCol w:w="1507"/>
        <w:gridCol w:w="1493"/>
        <w:gridCol w:w="1507"/>
      </w:tblGrid>
      <w:tr w:rsidR="00C14688" w:rsidTr="00E643DF">
        <w:tc>
          <w:tcPr>
            <w:tcW w:w="1635" w:type="dxa"/>
            <w:shd w:val="clear" w:color="auto" w:fill="BDD6EE" w:themeFill="accent5" w:themeFillTint="66"/>
          </w:tcPr>
          <w:p w:rsidR="00C14688" w:rsidRPr="00283C85" w:rsidRDefault="00C14688" w:rsidP="00E643DF">
            <w:pPr>
              <w:rPr>
                <w:rFonts w:ascii="Arial" w:hAnsi="Arial" w:cs="Arial"/>
                <w:sz w:val="22"/>
                <w:szCs w:val="22"/>
              </w:rPr>
            </w:pPr>
          </w:p>
        </w:tc>
        <w:tc>
          <w:tcPr>
            <w:tcW w:w="1746" w:type="dxa"/>
            <w:shd w:val="clear" w:color="auto" w:fill="BDD6EE" w:themeFill="accent5" w:themeFillTint="66"/>
            <w:vAlign w:val="center"/>
          </w:tcPr>
          <w:p w:rsidR="00C14688" w:rsidRPr="00283C85" w:rsidRDefault="00C14688" w:rsidP="00E643DF">
            <w:pPr>
              <w:pStyle w:val="Default"/>
              <w:jc w:val="center"/>
              <w:rPr>
                <w:b/>
                <w:sz w:val="22"/>
                <w:szCs w:val="22"/>
              </w:rPr>
            </w:pPr>
            <w:r>
              <w:rPr>
                <w:b/>
                <w:sz w:val="22"/>
                <w:szCs w:val="22"/>
              </w:rPr>
              <w:t>C</w:t>
            </w:r>
            <w:r w:rsidRPr="00283C85">
              <w:rPr>
                <w:b/>
                <w:sz w:val="22"/>
                <w:szCs w:val="22"/>
              </w:rPr>
              <w:t>elková energeticky vztažná plocha budovy / jednotky v m2</w:t>
            </w:r>
          </w:p>
        </w:tc>
        <w:tc>
          <w:tcPr>
            <w:tcW w:w="1507" w:type="dxa"/>
            <w:shd w:val="clear" w:color="auto" w:fill="BDD6EE" w:themeFill="accent5" w:themeFillTint="66"/>
            <w:vAlign w:val="center"/>
          </w:tcPr>
          <w:p w:rsidR="00C14688" w:rsidRPr="00283C85" w:rsidRDefault="00C14688" w:rsidP="00E643DF">
            <w:pPr>
              <w:pStyle w:val="Default"/>
              <w:jc w:val="center"/>
              <w:rPr>
                <w:b/>
                <w:sz w:val="22"/>
                <w:szCs w:val="22"/>
              </w:rPr>
            </w:pPr>
            <w:r>
              <w:rPr>
                <w:b/>
                <w:sz w:val="22"/>
                <w:szCs w:val="22"/>
              </w:rPr>
              <w:t>Smluvní cena za 1 PEN</w:t>
            </w:r>
            <w:r w:rsidRPr="00283C85">
              <w:rPr>
                <w:b/>
                <w:sz w:val="22"/>
                <w:szCs w:val="22"/>
              </w:rPr>
              <w:t xml:space="preserve"> v Kč bez DPH</w:t>
            </w:r>
          </w:p>
        </w:tc>
        <w:tc>
          <w:tcPr>
            <w:tcW w:w="1493" w:type="dxa"/>
            <w:shd w:val="clear" w:color="auto" w:fill="BDD6EE" w:themeFill="accent5" w:themeFillTint="66"/>
            <w:vAlign w:val="center"/>
          </w:tcPr>
          <w:p w:rsidR="00C14688" w:rsidRPr="00283C85" w:rsidRDefault="00C14688" w:rsidP="00E643DF">
            <w:pPr>
              <w:pStyle w:val="Default"/>
              <w:jc w:val="center"/>
              <w:rPr>
                <w:b/>
                <w:sz w:val="22"/>
                <w:szCs w:val="22"/>
              </w:rPr>
            </w:pPr>
            <w:r w:rsidRPr="00283C85">
              <w:rPr>
                <w:b/>
                <w:sz w:val="22"/>
                <w:szCs w:val="22"/>
              </w:rPr>
              <w:t>DPH v Kč</w:t>
            </w:r>
          </w:p>
        </w:tc>
        <w:tc>
          <w:tcPr>
            <w:tcW w:w="1507" w:type="dxa"/>
            <w:shd w:val="clear" w:color="auto" w:fill="BDD6EE" w:themeFill="accent5" w:themeFillTint="66"/>
            <w:vAlign w:val="center"/>
          </w:tcPr>
          <w:p w:rsidR="00C14688" w:rsidRPr="00283C85" w:rsidRDefault="00C14688" w:rsidP="00E643DF">
            <w:pPr>
              <w:pStyle w:val="Default"/>
              <w:jc w:val="center"/>
              <w:rPr>
                <w:b/>
                <w:sz w:val="22"/>
                <w:szCs w:val="22"/>
              </w:rPr>
            </w:pPr>
            <w:r>
              <w:rPr>
                <w:b/>
                <w:sz w:val="22"/>
                <w:szCs w:val="22"/>
              </w:rPr>
              <w:t>Smluvní cena za 1 PEN</w:t>
            </w:r>
            <w:r w:rsidRPr="00283C85">
              <w:rPr>
                <w:b/>
                <w:sz w:val="22"/>
                <w:szCs w:val="22"/>
              </w:rPr>
              <w:t xml:space="preserve"> v Kč včetně DPH</w:t>
            </w:r>
          </w:p>
        </w:tc>
      </w:tr>
      <w:tr w:rsidR="00C14688" w:rsidTr="00E643DF">
        <w:trPr>
          <w:trHeight w:val="472"/>
        </w:trPr>
        <w:tc>
          <w:tcPr>
            <w:tcW w:w="1635" w:type="dxa"/>
            <w:vMerge w:val="restart"/>
            <w:shd w:val="clear" w:color="auto" w:fill="DEEAF6" w:themeFill="accent5" w:themeFillTint="33"/>
            <w:vAlign w:val="center"/>
          </w:tcPr>
          <w:p w:rsidR="00C14688" w:rsidRPr="00283C85" w:rsidRDefault="00C14688" w:rsidP="00E643DF">
            <w:pPr>
              <w:pStyle w:val="Default"/>
              <w:rPr>
                <w:b/>
                <w:sz w:val="22"/>
                <w:szCs w:val="22"/>
              </w:rPr>
            </w:pPr>
            <w:r>
              <w:rPr>
                <w:b/>
                <w:sz w:val="22"/>
                <w:szCs w:val="22"/>
              </w:rPr>
              <w:t>S</w:t>
            </w:r>
            <w:r w:rsidRPr="00283C85">
              <w:rPr>
                <w:b/>
                <w:sz w:val="22"/>
                <w:szCs w:val="22"/>
              </w:rPr>
              <w:t xml:space="preserve">mluvní cena pro stavbu s nekompletní nebo žádnou dokumentací </w:t>
            </w:r>
          </w:p>
          <w:p w:rsidR="00C14688" w:rsidRPr="00283C85" w:rsidRDefault="00C14688" w:rsidP="00E643DF">
            <w:pPr>
              <w:rPr>
                <w:rFonts w:ascii="Arial" w:hAnsi="Arial" w:cs="Arial"/>
                <w:b/>
                <w:sz w:val="22"/>
                <w:szCs w:val="22"/>
              </w:rPr>
            </w:pPr>
          </w:p>
        </w:tc>
        <w:tc>
          <w:tcPr>
            <w:tcW w:w="1746" w:type="dxa"/>
            <w:vAlign w:val="center"/>
          </w:tcPr>
          <w:p w:rsidR="00C14688" w:rsidRPr="00283C85" w:rsidRDefault="00C14688" w:rsidP="00E643DF">
            <w:pPr>
              <w:pStyle w:val="Default"/>
              <w:jc w:val="center"/>
              <w:rPr>
                <w:sz w:val="22"/>
                <w:szCs w:val="22"/>
              </w:rPr>
            </w:pPr>
            <w:proofErr w:type="gramStart"/>
            <w:r w:rsidRPr="00283C85">
              <w:rPr>
                <w:sz w:val="22"/>
                <w:szCs w:val="22"/>
              </w:rPr>
              <w:t>0 - 200</w:t>
            </w:r>
            <w:proofErr w:type="gramEnd"/>
          </w:p>
        </w:tc>
        <w:tc>
          <w:tcPr>
            <w:tcW w:w="1507" w:type="dxa"/>
            <w:vAlign w:val="center"/>
          </w:tcPr>
          <w:p w:rsidR="00C14688" w:rsidRPr="00283C85" w:rsidRDefault="00C14688" w:rsidP="00E643DF">
            <w:pPr>
              <w:jc w:val="center"/>
              <w:rPr>
                <w:rFonts w:ascii="Arial" w:hAnsi="Arial" w:cs="Arial"/>
                <w:sz w:val="22"/>
                <w:szCs w:val="22"/>
              </w:rPr>
            </w:pPr>
            <w:r>
              <w:rPr>
                <w:rFonts w:ascii="Arial" w:hAnsi="Arial" w:cs="Arial"/>
                <w:sz w:val="22"/>
                <w:szCs w:val="22"/>
              </w:rPr>
              <w:t>7.500,-</w:t>
            </w:r>
          </w:p>
        </w:tc>
        <w:tc>
          <w:tcPr>
            <w:tcW w:w="1493" w:type="dxa"/>
            <w:vAlign w:val="center"/>
          </w:tcPr>
          <w:p w:rsidR="00C14688" w:rsidRPr="00283C85" w:rsidRDefault="00C14688" w:rsidP="00E643DF">
            <w:pPr>
              <w:jc w:val="center"/>
              <w:rPr>
                <w:rFonts w:ascii="Arial" w:hAnsi="Arial" w:cs="Arial"/>
                <w:sz w:val="22"/>
                <w:szCs w:val="22"/>
              </w:rPr>
            </w:pPr>
            <w:r>
              <w:rPr>
                <w:rFonts w:ascii="Arial" w:hAnsi="Arial" w:cs="Arial"/>
                <w:sz w:val="22"/>
                <w:szCs w:val="22"/>
              </w:rPr>
              <w:t>1.575,-</w:t>
            </w:r>
          </w:p>
        </w:tc>
        <w:tc>
          <w:tcPr>
            <w:tcW w:w="1507" w:type="dxa"/>
            <w:vAlign w:val="center"/>
          </w:tcPr>
          <w:p w:rsidR="00C14688" w:rsidRPr="00283C85" w:rsidRDefault="00C14688" w:rsidP="00E643DF">
            <w:pPr>
              <w:jc w:val="center"/>
              <w:rPr>
                <w:rFonts w:ascii="Arial" w:hAnsi="Arial" w:cs="Arial"/>
                <w:sz w:val="22"/>
                <w:szCs w:val="22"/>
              </w:rPr>
            </w:pPr>
            <w:r>
              <w:rPr>
                <w:rFonts w:ascii="Arial" w:hAnsi="Arial" w:cs="Arial"/>
                <w:sz w:val="22"/>
                <w:szCs w:val="22"/>
              </w:rPr>
              <w:t>9.075,-</w:t>
            </w:r>
          </w:p>
        </w:tc>
      </w:tr>
      <w:tr w:rsidR="00C14688" w:rsidTr="00E643DF">
        <w:trPr>
          <w:trHeight w:val="421"/>
        </w:trPr>
        <w:tc>
          <w:tcPr>
            <w:tcW w:w="1635" w:type="dxa"/>
            <w:vMerge/>
            <w:shd w:val="clear" w:color="auto" w:fill="DEEAF6" w:themeFill="accent5" w:themeFillTint="33"/>
            <w:vAlign w:val="center"/>
          </w:tcPr>
          <w:p w:rsidR="00C14688" w:rsidRPr="00283C85" w:rsidRDefault="00C14688" w:rsidP="00E643DF">
            <w:pPr>
              <w:pStyle w:val="Default"/>
              <w:rPr>
                <w:b/>
                <w:sz w:val="22"/>
                <w:szCs w:val="22"/>
              </w:rPr>
            </w:pPr>
          </w:p>
        </w:tc>
        <w:tc>
          <w:tcPr>
            <w:tcW w:w="1746" w:type="dxa"/>
            <w:vAlign w:val="center"/>
          </w:tcPr>
          <w:p w:rsidR="00C14688" w:rsidRPr="00283C85" w:rsidRDefault="00C14688" w:rsidP="00E643DF">
            <w:pPr>
              <w:pStyle w:val="Default"/>
              <w:jc w:val="center"/>
              <w:rPr>
                <w:sz w:val="22"/>
                <w:szCs w:val="22"/>
              </w:rPr>
            </w:pPr>
            <w:proofErr w:type="gramStart"/>
            <w:r w:rsidRPr="00283C85">
              <w:rPr>
                <w:sz w:val="22"/>
                <w:szCs w:val="22"/>
              </w:rPr>
              <w:t>201 - 500</w:t>
            </w:r>
            <w:proofErr w:type="gramEnd"/>
          </w:p>
        </w:tc>
        <w:tc>
          <w:tcPr>
            <w:tcW w:w="1507" w:type="dxa"/>
            <w:vAlign w:val="center"/>
          </w:tcPr>
          <w:p w:rsidR="00C14688" w:rsidRPr="00283C85" w:rsidRDefault="00C14688" w:rsidP="00E643DF">
            <w:pPr>
              <w:jc w:val="center"/>
              <w:rPr>
                <w:rFonts w:ascii="Arial" w:hAnsi="Arial" w:cs="Arial"/>
                <w:sz w:val="22"/>
                <w:szCs w:val="22"/>
              </w:rPr>
            </w:pPr>
            <w:r>
              <w:rPr>
                <w:rFonts w:ascii="Arial" w:hAnsi="Arial" w:cs="Arial"/>
                <w:sz w:val="22"/>
                <w:szCs w:val="22"/>
              </w:rPr>
              <w:t xml:space="preserve">8.300,- </w:t>
            </w:r>
          </w:p>
        </w:tc>
        <w:tc>
          <w:tcPr>
            <w:tcW w:w="1493" w:type="dxa"/>
            <w:vAlign w:val="center"/>
          </w:tcPr>
          <w:p w:rsidR="00C14688" w:rsidRPr="00283C85" w:rsidRDefault="00C14688" w:rsidP="00E643DF">
            <w:pPr>
              <w:jc w:val="center"/>
              <w:rPr>
                <w:rFonts w:ascii="Arial" w:hAnsi="Arial" w:cs="Arial"/>
                <w:sz w:val="22"/>
                <w:szCs w:val="22"/>
              </w:rPr>
            </w:pPr>
            <w:r>
              <w:rPr>
                <w:rFonts w:ascii="Arial" w:hAnsi="Arial" w:cs="Arial"/>
                <w:sz w:val="22"/>
                <w:szCs w:val="22"/>
              </w:rPr>
              <w:t>1.743,-</w:t>
            </w:r>
          </w:p>
        </w:tc>
        <w:tc>
          <w:tcPr>
            <w:tcW w:w="1507" w:type="dxa"/>
            <w:vAlign w:val="center"/>
          </w:tcPr>
          <w:p w:rsidR="00C14688" w:rsidRPr="00283C85" w:rsidRDefault="00C14688" w:rsidP="00E643DF">
            <w:pPr>
              <w:jc w:val="center"/>
              <w:rPr>
                <w:rFonts w:ascii="Arial" w:hAnsi="Arial" w:cs="Arial"/>
                <w:sz w:val="22"/>
                <w:szCs w:val="22"/>
              </w:rPr>
            </w:pPr>
            <w:r>
              <w:rPr>
                <w:rFonts w:ascii="Arial" w:hAnsi="Arial" w:cs="Arial"/>
                <w:sz w:val="22"/>
                <w:szCs w:val="22"/>
              </w:rPr>
              <w:t>10.043,-</w:t>
            </w:r>
          </w:p>
        </w:tc>
      </w:tr>
      <w:tr w:rsidR="00C14688" w:rsidTr="00E643DF">
        <w:trPr>
          <w:trHeight w:val="556"/>
        </w:trPr>
        <w:tc>
          <w:tcPr>
            <w:tcW w:w="1635" w:type="dxa"/>
            <w:vMerge/>
            <w:shd w:val="clear" w:color="auto" w:fill="DEEAF6" w:themeFill="accent5" w:themeFillTint="33"/>
            <w:vAlign w:val="center"/>
          </w:tcPr>
          <w:p w:rsidR="00C14688" w:rsidRPr="00283C85" w:rsidRDefault="00C14688" w:rsidP="00E643DF">
            <w:pPr>
              <w:pStyle w:val="Default"/>
              <w:rPr>
                <w:b/>
                <w:sz w:val="22"/>
                <w:szCs w:val="22"/>
              </w:rPr>
            </w:pPr>
          </w:p>
        </w:tc>
        <w:tc>
          <w:tcPr>
            <w:tcW w:w="1746" w:type="dxa"/>
            <w:vAlign w:val="center"/>
          </w:tcPr>
          <w:p w:rsidR="00C14688" w:rsidRPr="00283C85" w:rsidRDefault="00C14688" w:rsidP="00E643DF">
            <w:pPr>
              <w:pStyle w:val="Default"/>
              <w:jc w:val="center"/>
              <w:rPr>
                <w:sz w:val="22"/>
                <w:szCs w:val="22"/>
              </w:rPr>
            </w:pPr>
            <w:r w:rsidRPr="00283C85">
              <w:rPr>
                <w:sz w:val="22"/>
                <w:szCs w:val="22"/>
              </w:rPr>
              <w:t>501 - 2 000</w:t>
            </w:r>
          </w:p>
        </w:tc>
        <w:tc>
          <w:tcPr>
            <w:tcW w:w="1507" w:type="dxa"/>
            <w:vAlign w:val="center"/>
          </w:tcPr>
          <w:p w:rsidR="00C14688" w:rsidRPr="00283C85" w:rsidRDefault="00C14688" w:rsidP="00E643DF">
            <w:pPr>
              <w:jc w:val="center"/>
              <w:rPr>
                <w:rFonts w:ascii="Arial" w:hAnsi="Arial" w:cs="Arial"/>
                <w:sz w:val="22"/>
                <w:szCs w:val="22"/>
              </w:rPr>
            </w:pPr>
            <w:r>
              <w:rPr>
                <w:rFonts w:ascii="Arial" w:hAnsi="Arial" w:cs="Arial"/>
                <w:sz w:val="22"/>
                <w:szCs w:val="22"/>
              </w:rPr>
              <w:t>11.000,-</w:t>
            </w:r>
          </w:p>
        </w:tc>
        <w:tc>
          <w:tcPr>
            <w:tcW w:w="1493" w:type="dxa"/>
            <w:vAlign w:val="center"/>
          </w:tcPr>
          <w:p w:rsidR="00C14688" w:rsidRPr="00283C85" w:rsidRDefault="00C14688" w:rsidP="00E643DF">
            <w:pPr>
              <w:jc w:val="center"/>
              <w:rPr>
                <w:rFonts w:ascii="Arial" w:hAnsi="Arial" w:cs="Arial"/>
                <w:sz w:val="22"/>
                <w:szCs w:val="22"/>
              </w:rPr>
            </w:pPr>
            <w:r>
              <w:rPr>
                <w:rFonts w:ascii="Arial" w:hAnsi="Arial" w:cs="Arial"/>
                <w:sz w:val="22"/>
                <w:szCs w:val="22"/>
              </w:rPr>
              <w:t>2.310,-</w:t>
            </w:r>
          </w:p>
        </w:tc>
        <w:tc>
          <w:tcPr>
            <w:tcW w:w="1507" w:type="dxa"/>
            <w:vAlign w:val="center"/>
          </w:tcPr>
          <w:p w:rsidR="00C14688" w:rsidRPr="00283C85" w:rsidRDefault="00C14688" w:rsidP="00E643DF">
            <w:pPr>
              <w:jc w:val="center"/>
              <w:rPr>
                <w:rFonts w:ascii="Arial" w:hAnsi="Arial" w:cs="Arial"/>
                <w:sz w:val="22"/>
                <w:szCs w:val="22"/>
              </w:rPr>
            </w:pPr>
            <w:r>
              <w:rPr>
                <w:rFonts w:ascii="Arial" w:hAnsi="Arial" w:cs="Arial"/>
                <w:sz w:val="22"/>
                <w:szCs w:val="22"/>
              </w:rPr>
              <w:t>13.310,-</w:t>
            </w:r>
          </w:p>
        </w:tc>
      </w:tr>
      <w:tr w:rsidR="00C14688" w:rsidTr="00E643DF">
        <w:trPr>
          <w:trHeight w:val="409"/>
        </w:trPr>
        <w:tc>
          <w:tcPr>
            <w:tcW w:w="1635" w:type="dxa"/>
            <w:vMerge/>
            <w:shd w:val="clear" w:color="auto" w:fill="DEEAF6" w:themeFill="accent5" w:themeFillTint="33"/>
            <w:vAlign w:val="center"/>
          </w:tcPr>
          <w:p w:rsidR="00C14688" w:rsidRPr="00283C85" w:rsidRDefault="00C14688" w:rsidP="00E643DF">
            <w:pPr>
              <w:pStyle w:val="Default"/>
              <w:rPr>
                <w:b/>
                <w:sz w:val="22"/>
                <w:szCs w:val="22"/>
              </w:rPr>
            </w:pPr>
          </w:p>
        </w:tc>
        <w:tc>
          <w:tcPr>
            <w:tcW w:w="1746" w:type="dxa"/>
            <w:vAlign w:val="center"/>
          </w:tcPr>
          <w:p w:rsidR="00C14688" w:rsidRPr="00283C85" w:rsidRDefault="00C14688" w:rsidP="00E643DF">
            <w:pPr>
              <w:pStyle w:val="Default"/>
              <w:jc w:val="center"/>
              <w:rPr>
                <w:sz w:val="22"/>
                <w:szCs w:val="22"/>
              </w:rPr>
            </w:pPr>
            <w:r w:rsidRPr="00283C85">
              <w:rPr>
                <w:sz w:val="22"/>
                <w:szCs w:val="22"/>
              </w:rPr>
              <w:t>větší než 2 000</w:t>
            </w:r>
          </w:p>
        </w:tc>
        <w:tc>
          <w:tcPr>
            <w:tcW w:w="1507" w:type="dxa"/>
            <w:vAlign w:val="center"/>
          </w:tcPr>
          <w:p w:rsidR="00C14688" w:rsidRPr="00283C85" w:rsidRDefault="00C14688" w:rsidP="00E643DF">
            <w:pPr>
              <w:jc w:val="center"/>
              <w:rPr>
                <w:rFonts w:ascii="Arial" w:hAnsi="Arial" w:cs="Arial"/>
                <w:sz w:val="22"/>
                <w:szCs w:val="22"/>
              </w:rPr>
            </w:pPr>
            <w:r>
              <w:rPr>
                <w:rFonts w:ascii="Arial" w:hAnsi="Arial" w:cs="Arial"/>
                <w:sz w:val="22"/>
                <w:szCs w:val="22"/>
              </w:rPr>
              <w:t>12.700,-</w:t>
            </w:r>
          </w:p>
        </w:tc>
        <w:tc>
          <w:tcPr>
            <w:tcW w:w="1493" w:type="dxa"/>
            <w:vAlign w:val="center"/>
          </w:tcPr>
          <w:p w:rsidR="00C14688" w:rsidRPr="00283C85" w:rsidRDefault="00C14688" w:rsidP="00E643DF">
            <w:pPr>
              <w:jc w:val="center"/>
              <w:rPr>
                <w:rFonts w:ascii="Arial" w:hAnsi="Arial" w:cs="Arial"/>
                <w:sz w:val="22"/>
                <w:szCs w:val="22"/>
              </w:rPr>
            </w:pPr>
            <w:r>
              <w:rPr>
                <w:rFonts w:ascii="Arial" w:hAnsi="Arial" w:cs="Arial"/>
                <w:sz w:val="22"/>
                <w:szCs w:val="22"/>
              </w:rPr>
              <w:t>2.667,-</w:t>
            </w:r>
          </w:p>
        </w:tc>
        <w:tc>
          <w:tcPr>
            <w:tcW w:w="1507" w:type="dxa"/>
            <w:vAlign w:val="center"/>
          </w:tcPr>
          <w:p w:rsidR="00C14688" w:rsidRPr="00283C85" w:rsidRDefault="00C14688" w:rsidP="00E643DF">
            <w:pPr>
              <w:jc w:val="center"/>
              <w:rPr>
                <w:rFonts w:ascii="Arial" w:hAnsi="Arial" w:cs="Arial"/>
                <w:sz w:val="22"/>
                <w:szCs w:val="22"/>
              </w:rPr>
            </w:pPr>
            <w:r>
              <w:rPr>
                <w:rFonts w:ascii="Arial" w:hAnsi="Arial" w:cs="Arial"/>
                <w:sz w:val="22"/>
                <w:szCs w:val="22"/>
              </w:rPr>
              <w:t>15.367,-</w:t>
            </w:r>
          </w:p>
        </w:tc>
      </w:tr>
      <w:tr w:rsidR="00C14688" w:rsidTr="00E643DF">
        <w:trPr>
          <w:trHeight w:val="1137"/>
        </w:trPr>
        <w:tc>
          <w:tcPr>
            <w:tcW w:w="1635" w:type="dxa"/>
            <w:vMerge w:val="restart"/>
            <w:shd w:val="clear" w:color="auto" w:fill="DEEAF6" w:themeFill="accent5" w:themeFillTint="33"/>
            <w:vAlign w:val="center"/>
          </w:tcPr>
          <w:p w:rsidR="00C14688" w:rsidRPr="00283C85" w:rsidRDefault="00C14688" w:rsidP="00E643DF">
            <w:pPr>
              <w:pStyle w:val="Default"/>
              <w:rPr>
                <w:b/>
                <w:sz w:val="22"/>
                <w:szCs w:val="22"/>
              </w:rPr>
            </w:pPr>
            <w:r>
              <w:rPr>
                <w:b/>
                <w:sz w:val="22"/>
                <w:szCs w:val="22"/>
              </w:rPr>
              <w:t>S</w:t>
            </w:r>
            <w:r w:rsidRPr="00283C85">
              <w:rPr>
                <w:b/>
                <w:sz w:val="22"/>
                <w:szCs w:val="22"/>
              </w:rPr>
              <w:t xml:space="preserve">mluvní cena pro stavbu s platným energetickým auditem podle zákona č. 406/2000 Sb. </w:t>
            </w:r>
          </w:p>
          <w:p w:rsidR="00C14688" w:rsidRPr="00283C85" w:rsidRDefault="00C14688" w:rsidP="00E643DF">
            <w:pPr>
              <w:rPr>
                <w:rFonts w:ascii="Arial" w:hAnsi="Arial" w:cs="Arial"/>
                <w:b/>
                <w:sz w:val="22"/>
                <w:szCs w:val="22"/>
              </w:rPr>
            </w:pPr>
          </w:p>
        </w:tc>
        <w:tc>
          <w:tcPr>
            <w:tcW w:w="1746" w:type="dxa"/>
            <w:vAlign w:val="center"/>
          </w:tcPr>
          <w:p w:rsidR="00C14688" w:rsidRPr="00283C85" w:rsidRDefault="00C14688" w:rsidP="00E643DF">
            <w:pPr>
              <w:pStyle w:val="Default"/>
              <w:jc w:val="center"/>
              <w:rPr>
                <w:sz w:val="22"/>
                <w:szCs w:val="22"/>
              </w:rPr>
            </w:pPr>
            <w:r w:rsidRPr="00283C85">
              <w:rPr>
                <w:sz w:val="22"/>
                <w:szCs w:val="22"/>
              </w:rPr>
              <w:t>0 - 3 000</w:t>
            </w:r>
          </w:p>
        </w:tc>
        <w:tc>
          <w:tcPr>
            <w:tcW w:w="1507" w:type="dxa"/>
            <w:vAlign w:val="center"/>
          </w:tcPr>
          <w:p w:rsidR="00C14688" w:rsidRPr="00283C85" w:rsidRDefault="00C14688" w:rsidP="00E643DF">
            <w:pPr>
              <w:jc w:val="center"/>
              <w:rPr>
                <w:rFonts w:ascii="Arial" w:hAnsi="Arial" w:cs="Arial"/>
                <w:sz w:val="22"/>
                <w:szCs w:val="22"/>
              </w:rPr>
            </w:pPr>
            <w:r>
              <w:rPr>
                <w:rFonts w:ascii="Arial" w:hAnsi="Arial" w:cs="Arial"/>
                <w:sz w:val="22"/>
                <w:szCs w:val="22"/>
              </w:rPr>
              <w:t>15.200,-</w:t>
            </w:r>
          </w:p>
        </w:tc>
        <w:tc>
          <w:tcPr>
            <w:tcW w:w="1493" w:type="dxa"/>
            <w:vAlign w:val="center"/>
          </w:tcPr>
          <w:p w:rsidR="00C14688" w:rsidRPr="00283C85" w:rsidRDefault="00C14688" w:rsidP="00E643DF">
            <w:pPr>
              <w:jc w:val="center"/>
              <w:rPr>
                <w:rFonts w:ascii="Arial" w:hAnsi="Arial" w:cs="Arial"/>
                <w:sz w:val="22"/>
                <w:szCs w:val="22"/>
              </w:rPr>
            </w:pPr>
            <w:r>
              <w:rPr>
                <w:rFonts w:ascii="Arial" w:hAnsi="Arial" w:cs="Arial"/>
                <w:sz w:val="22"/>
                <w:szCs w:val="22"/>
              </w:rPr>
              <w:t>3.192,-</w:t>
            </w:r>
          </w:p>
        </w:tc>
        <w:tc>
          <w:tcPr>
            <w:tcW w:w="1507" w:type="dxa"/>
            <w:vAlign w:val="center"/>
          </w:tcPr>
          <w:p w:rsidR="00C14688" w:rsidRPr="00283C85" w:rsidRDefault="00C14688" w:rsidP="00E643DF">
            <w:pPr>
              <w:jc w:val="center"/>
              <w:rPr>
                <w:rFonts w:ascii="Arial" w:hAnsi="Arial" w:cs="Arial"/>
                <w:sz w:val="22"/>
                <w:szCs w:val="22"/>
              </w:rPr>
            </w:pPr>
            <w:r>
              <w:rPr>
                <w:rFonts w:ascii="Arial" w:hAnsi="Arial" w:cs="Arial"/>
                <w:sz w:val="22"/>
                <w:szCs w:val="22"/>
              </w:rPr>
              <w:t>18.392,-</w:t>
            </w:r>
          </w:p>
        </w:tc>
      </w:tr>
      <w:tr w:rsidR="00C14688" w:rsidTr="00E643DF">
        <w:tc>
          <w:tcPr>
            <w:tcW w:w="1635" w:type="dxa"/>
            <w:vMerge/>
            <w:shd w:val="clear" w:color="auto" w:fill="DEEAF6" w:themeFill="accent5" w:themeFillTint="33"/>
            <w:vAlign w:val="center"/>
          </w:tcPr>
          <w:p w:rsidR="00C14688" w:rsidRPr="00283C85" w:rsidRDefault="00C14688" w:rsidP="00E643DF">
            <w:pPr>
              <w:pStyle w:val="Default"/>
              <w:rPr>
                <w:sz w:val="22"/>
                <w:szCs w:val="22"/>
              </w:rPr>
            </w:pPr>
          </w:p>
        </w:tc>
        <w:tc>
          <w:tcPr>
            <w:tcW w:w="1746" w:type="dxa"/>
            <w:vAlign w:val="center"/>
          </w:tcPr>
          <w:p w:rsidR="00C14688" w:rsidRPr="00283C85" w:rsidRDefault="00C14688" w:rsidP="00E643DF">
            <w:pPr>
              <w:pStyle w:val="Default"/>
              <w:jc w:val="center"/>
              <w:rPr>
                <w:sz w:val="22"/>
                <w:szCs w:val="22"/>
              </w:rPr>
            </w:pPr>
            <w:r w:rsidRPr="00283C85">
              <w:rPr>
                <w:sz w:val="22"/>
                <w:szCs w:val="22"/>
              </w:rPr>
              <w:t>větší než 3 000</w:t>
            </w:r>
          </w:p>
        </w:tc>
        <w:tc>
          <w:tcPr>
            <w:tcW w:w="1507" w:type="dxa"/>
            <w:vAlign w:val="center"/>
          </w:tcPr>
          <w:p w:rsidR="00C14688" w:rsidRPr="00283C85" w:rsidRDefault="00C14688" w:rsidP="00E643DF">
            <w:pPr>
              <w:jc w:val="center"/>
              <w:rPr>
                <w:rFonts w:ascii="Arial" w:hAnsi="Arial" w:cs="Arial"/>
                <w:sz w:val="22"/>
                <w:szCs w:val="22"/>
              </w:rPr>
            </w:pPr>
            <w:r>
              <w:rPr>
                <w:rFonts w:ascii="Arial" w:hAnsi="Arial" w:cs="Arial"/>
                <w:sz w:val="22"/>
                <w:szCs w:val="22"/>
              </w:rPr>
              <w:t>23.500,-</w:t>
            </w:r>
          </w:p>
        </w:tc>
        <w:tc>
          <w:tcPr>
            <w:tcW w:w="1493" w:type="dxa"/>
            <w:vAlign w:val="center"/>
          </w:tcPr>
          <w:p w:rsidR="00C14688" w:rsidRPr="00283C85" w:rsidRDefault="00C14688" w:rsidP="00E643DF">
            <w:pPr>
              <w:jc w:val="center"/>
              <w:rPr>
                <w:rFonts w:ascii="Arial" w:hAnsi="Arial" w:cs="Arial"/>
                <w:sz w:val="22"/>
                <w:szCs w:val="22"/>
              </w:rPr>
            </w:pPr>
            <w:r>
              <w:rPr>
                <w:rFonts w:ascii="Arial" w:hAnsi="Arial" w:cs="Arial"/>
                <w:sz w:val="22"/>
                <w:szCs w:val="22"/>
              </w:rPr>
              <w:t>4.935,-</w:t>
            </w:r>
          </w:p>
        </w:tc>
        <w:tc>
          <w:tcPr>
            <w:tcW w:w="1507" w:type="dxa"/>
            <w:vAlign w:val="center"/>
          </w:tcPr>
          <w:p w:rsidR="00C14688" w:rsidRPr="00283C85" w:rsidRDefault="00C14688" w:rsidP="00E643DF">
            <w:pPr>
              <w:jc w:val="center"/>
              <w:rPr>
                <w:rFonts w:ascii="Arial" w:hAnsi="Arial" w:cs="Arial"/>
                <w:sz w:val="22"/>
                <w:szCs w:val="22"/>
              </w:rPr>
            </w:pPr>
            <w:r>
              <w:rPr>
                <w:rFonts w:ascii="Arial" w:hAnsi="Arial" w:cs="Arial"/>
                <w:sz w:val="22"/>
                <w:szCs w:val="22"/>
              </w:rPr>
              <w:t>28.435,-</w:t>
            </w:r>
          </w:p>
        </w:tc>
      </w:tr>
    </w:tbl>
    <w:p w:rsidR="00C14688" w:rsidRDefault="00C14688" w:rsidP="00C14688">
      <w:pPr>
        <w:spacing w:before="120"/>
        <w:jc w:val="both"/>
        <w:rPr>
          <w:rFonts w:ascii="Arial" w:hAnsi="Arial" w:cs="Arial"/>
          <w:bCs/>
          <w:sz w:val="22"/>
          <w:szCs w:val="22"/>
        </w:rPr>
      </w:pPr>
    </w:p>
    <w:p w:rsidR="00C14688" w:rsidRPr="003A6BCA" w:rsidRDefault="00C14688" w:rsidP="00C14688">
      <w:pPr>
        <w:rPr>
          <w:rFonts w:ascii="Arial" w:hAnsi="Arial" w:cs="Arial"/>
          <w:sz w:val="22"/>
          <w:szCs w:val="22"/>
        </w:rPr>
      </w:pPr>
    </w:p>
    <w:p w:rsidR="00C14688" w:rsidRDefault="00C14688" w:rsidP="00C14688"/>
    <w:p w:rsidR="00C14688" w:rsidRDefault="00C14688" w:rsidP="00C14688"/>
    <w:p w:rsidR="00426C88" w:rsidRDefault="00426C88"/>
    <w:sectPr w:rsidR="00426C88" w:rsidSect="00345881">
      <w:footerReference w:type="default" r:id="rId6"/>
      <w:pgSz w:w="11906" w:h="16838"/>
      <w:pgMar w:top="851" w:right="1134"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de 128 Notext">
    <w:panose1 w:val="050B0000000000000000"/>
    <w:charset w:val="02"/>
    <w:family w:val="swiss"/>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188041"/>
      <w:docPartObj>
        <w:docPartGallery w:val="Page Numbers (Bottom of Page)"/>
        <w:docPartUnique/>
      </w:docPartObj>
    </w:sdtPr>
    <w:sdtEndPr/>
    <w:sdtContent>
      <w:p w:rsidR="00445620" w:rsidRDefault="00273744">
        <w:pPr>
          <w:pStyle w:val="Zpat"/>
          <w:jc w:val="center"/>
        </w:pPr>
        <w:r>
          <w:fldChar w:fldCharType="begin"/>
        </w:r>
        <w:r>
          <w:instrText>PAGE   \* MERGEFORMAT</w:instrText>
        </w:r>
        <w:r>
          <w:fldChar w:fldCharType="separate"/>
        </w:r>
        <w:r>
          <w:t>9</w:t>
        </w:r>
        <w:r>
          <w:fldChar w:fldCharType="end"/>
        </w:r>
      </w:p>
    </w:sdtContent>
  </w:sdt>
  <w:p w:rsidR="00445620" w:rsidRDefault="00273744">
    <w:pPr>
      <w:pStyle w:val="Zpa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54F48"/>
    <w:multiLevelType w:val="hybridMultilevel"/>
    <w:tmpl w:val="95205A46"/>
    <w:lvl w:ilvl="0" w:tplc="5E2C2B48">
      <w:start w:val="1"/>
      <w:numFmt w:val="bullet"/>
      <w:lvlText w:val=""/>
      <w:lvlJc w:val="left"/>
      <w:pPr>
        <w:ind w:left="720" w:hanging="360"/>
      </w:pPr>
      <w:rPr>
        <w:rFonts w:ascii="Symbol" w:hAnsi="Symbol" w:hint="default"/>
      </w:rPr>
    </w:lvl>
    <w:lvl w:ilvl="1" w:tplc="AD66CC34">
      <w:start w:val="1"/>
      <w:numFmt w:val="decimal"/>
      <w:lvlText w:val="%2."/>
      <w:lvlJc w:val="left"/>
      <w:pPr>
        <w:tabs>
          <w:tab w:val="num" w:pos="1440"/>
        </w:tabs>
        <w:ind w:left="1440" w:hanging="360"/>
      </w:pPr>
    </w:lvl>
    <w:lvl w:ilvl="2" w:tplc="8C483FFA">
      <w:start w:val="1"/>
      <w:numFmt w:val="decimal"/>
      <w:lvlText w:val="%3."/>
      <w:lvlJc w:val="left"/>
      <w:pPr>
        <w:tabs>
          <w:tab w:val="num" w:pos="2160"/>
        </w:tabs>
        <w:ind w:left="2160" w:hanging="360"/>
      </w:pPr>
    </w:lvl>
    <w:lvl w:ilvl="3" w:tplc="CE8A2B64">
      <w:start w:val="1"/>
      <w:numFmt w:val="decimal"/>
      <w:lvlText w:val="%4."/>
      <w:lvlJc w:val="left"/>
      <w:pPr>
        <w:tabs>
          <w:tab w:val="num" w:pos="2880"/>
        </w:tabs>
        <w:ind w:left="2880" w:hanging="360"/>
      </w:pPr>
    </w:lvl>
    <w:lvl w:ilvl="4" w:tplc="E1E82E5E">
      <w:start w:val="1"/>
      <w:numFmt w:val="decimal"/>
      <w:lvlText w:val="%5."/>
      <w:lvlJc w:val="left"/>
      <w:pPr>
        <w:tabs>
          <w:tab w:val="num" w:pos="3600"/>
        </w:tabs>
        <w:ind w:left="3600" w:hanging="360"/>
      </w:pPr>
    </w:lvl>
    <w:lvl w:ilvl="5" w:tplc="2D5EFA56">
      <w:start w:val="1"/>
      <w:numFmt w:val="decimal"/>
      <w:lvlText w:val="%6."/>
      <w:lvlJc w:val="left"/>
      <w:pPr>
        <w:tabs>
          <w:tab w:val="num" w:pos="4320"/>
        </w:tabs>
        <w:ind w:left="4320" w:hanging="360"/>
      </w:pPr>
    </w:lvl>
    <w:lvl w:ilvl="6" w:tplc="591846A6">
      <w:start w:val="1"/>
      <w:numFmt w:val="decimal"/>
      <w:lvlText w:val="%7."/>
      <w:lvlJc w:val="left"/>
      <w:pPr>
        <w:tabs>
          <w:tab w:val="num" w:pos="5040"/>
        </w:tabs>
        <w:ind w:left="5040" w:hanging="360"/>
      </w:pPr>
    </w:lvl>
    <w:lvl w:ilvl="7" w:tplc="9B3851F8">
      <w:start w:val="1"/>
      <w:numFmt w:val="decimal"/>
      <w:lvlText w:val="%8."/>
      <w:lvlJc w:val="left"/>
      <w:pPr>
        <w:tabs>
          <w:tab w:val="num" w:pos="5760"/>
        </w:tabs>
        <w:ind w:left="5760" w:hanging="360"/>
      </w:pPr>
    </w:lvl>
    <w:lvl w:ilvl="8" w:tplc="05365920">
      <w:start w:val="1"/>
      <w:numFmt w:val="decimal"/>
      <w:lvlText w:val="%9."/>
      <w:lvlJc w:val="left"/>
      <w:pPr>
        <w:tabs>
          <w:tab w:val="num" w:pos="6480"/>
        </w:tabs>
        <w:ind w:left="6480" w:hanging="360"/>
      </w:pPr>
    </w:lvl>
  </w:abstractNum>
  <w:abstractNum w:abstractNumId="1" w15:restartNumberingAfterBreak="0">
    <w:nsid w:val="12951103"/>
    <w:multiLevelType w:val="hybridMultilevel"/>
    <w:tmpl w:val="B47A3BE4"/>
    <w:lvl w:ilvl="0" w:tplc="D2082ED6">
      <w:start w:val="1"/>
      <w:numFmt w:val="bullet"/>
      <w:lvlText w:val=""/>
      <w:lvlJc w:val="left"/>
      <w:pPr>
        <w:ind w:left="1440" w:hanging="360"/>
      </w:pPr>
      <w:rPr>
        <w:rFonts w:ascii="Symbol" w:hAnsi="Symbol" w:hint="default"/>
      </w:rPr>
    </w:lvl>
    <w:lvl w:ilvl="1" w:tplc="11008242">
      <w:start w:val="1"/>
      <w:numFmt w:val="decimal"/>
      <w:lvlText w:val="%2."/>
      <w:lvlJc w:val="left"/>
      <w:pPr>
        <w:tabs>
          <w:tab w:val="num" w:pos="1440"/>
        </w:tabs>
        <w:ind w:left="1440" w:hanging="360"/>
      </w:pPr>
    </w:lvl>
    <w:lvl w:ilvl="2" w:tplc="85AA5F10">
      <w:start w:val="1"/>
      <w:numFmt w:val="decimal"/>
      <w:lvlText w:val="%3."/>
      <w:lvlJc w:val="left"/>
      <w:pPr>
        <w:tabs>
          <w:tab w:val="num" w:pos="2160"/>
        </w:tabs>
        <w:ind w:left="2160" w:hanging="360"/>
      </w:pPr>
    </w:lvl>
    <w:lvl w:ilvl="3" w:tplc="7CFEAE0A">
      <w:start w:val="1"/>
      <w:numFmt w:val="decimal"/>
      <w:lvlText w:val="%4."/>
      <w:lvlJc w:val="left"/>
      <w:pPr>
        <w:tabs>
          <w:tab w:val="num" w:pos="2880"/>
        </w:tabs>
        <w:ind w:left="2880" w:hanging="360"/>
      </w:pPr>
    </w:lvl>
    <w:lvl w:ilvl="4" w:tplc="5E0E96CA">
      <w:start w:val="1"/>
      <w:numFmt w:val="decimal"/>
      <w:lvlText w:val="%5."/>
      <w:lvlJc w:val="left"/>
      <w:pPr>
        <w:tabs>
          <w:tab w:val="num" w:pos="3600"/>
        </w:tabs>
        <w:ind w:left="3600" w:hanging="360"/>
      </w:pPr>
    </w:lvl>
    <w:lvl w:ilvl="5" w:tplc="6BFAC7DC">
      <w:start w:val="1"/>
      <w:numFmt w:val="decimal"/>
      <w:lvlText w:val="%6."/>
      <w:lvlJc w:val="left"/>
      <w:pPr>
        <w:tabs>
          <w:tab w:val="num" w:pos="4320"/>
        </w:tabs>
        <w:ind w:left="4320" w:hanging="360"/>
      </w:pPr>
    </w:lvl>
    <w:lvl w:ilvl="6" w:tplc="F9C00126">
      <w:start w:val="1"/>
      <w:numFmt w:val="decimal"/>
      <w:lvlText w:val="%7."/>
      <w:lvlJc w:val="left"/>
      <w:pPr>
        <w:tabs>
          <w:tab w:val="num" w:pos="5040"/>
        </w:tabs>
        <w:ind w:left="5040" w:hanging="360"/>
      </w:pPr>
    </w:lvl>
    <w:lvl w:ilvl="7" w:tplc="7FBE17A2">
      <w:start w:val="1"/>
      <w:numFmt w:val="decimal"/>
      <w:lvlText w:val="%8."/>
      <w:lvlJc w:val="left"/>
      <w:pPr>
        <w:tabs>
          <w:tab w:val="num" w:pos="5760"/>
        </w:tabs>
        <w:ind w:left="5760" w:hanging="360"/>
      </w:pPr>
    </w:lvl>
    <w:lvl w:ilvl="8" w:tplc="1782531A">
      <w:start w:val="1"/>
      <w:numFmt w:val="decimal"/>
      <w:lvlText w:val="%9."/>
      <w:lvlJc w:val="left"/>
      <w:pPr>
        <w:tabs>
          <w:tab w:val="num" w:pos="6480"/>
        </w:tabs>
        <w:ind w:left="6480" w:hanging="360"/>
      </w:pPr>
    </w:lvl>
  </w:abstractNum>
  <w:abstractNum w:abstractNumId="2" w15:restartNumberingAfterBreak="0">
    <w:nsid w:val="151F0156"/>
    <w:multiLevelType w:val="multilevel"/>
    <w:tmpl w:val="0A34C6F0"/>
    <w:lvl w:ilvl="0">
      <w:start w:val="2"/>
      <w:numFmt w:val="decimal"/>
      <w:lvlText w:val="%1"/>
      <w:lvlJc w:val="left"/>
      <w:pPr>
        <w:ind w:left="360" w:hanging="360"/>
      </w:pPr>
      <w:rPr>
        <w:rFonts w:eastAsia="Calibri"/>
      </w:rPr>
    </w:lvl>
    <w:lvl w:ilvl="1">
      <w:start w:val="1"/>
      <w:numFmt w:val="decimal"/>
      <w:lvlText w:val="%1.%2"/>
      <w:lvlJc w:val="left"/>
      <w:pPr>
        <w:ind w:left="360" w:hanging="360"/>
      </w:pPr>
      <w:rPr>
        <w:rFonts w:eastAsia="Calibri"/>
        <w:b w:val="0"/>
        <w:strike w:val="0"/>
        <w:color w:val="auto"/>
      </w:rPr>
    </w:lvl>
    <w:lvl w:ilvl="2">
      <w:start w:val="1"/>
      <w:numFmt w:val="decimal"/>
      <w:lvlText w:val="%1.%2.%3"/>
      <w:lvlJc w:val="left"/>
      <w:pPr>
        <w:ind w:left="720" w:hanging="720"/>
      </w:pPr>
      <w:rPr>
        <w:rFonts w:eastAsia="Calibri"/>
      </w:rPr>
    </w:lvl>
    <w:lvl w:ilvl="3">
      <w:start w:val="1"/>
      <w:numFmt w:val="decimal"/>
      <w:lvlText w:val="%1.%2.%3.%4"/>
      <w:lvlJc w:val="left"/>
      <w:pPr>
        <w:ind w:left="720" w:hanging="720"/>
      </w:pPr>
      <w:rPr>
        <w:rFonts w:eastAsia="Calibri"/>
      </w:rPr>
    </w:lvl>
    <w:lvl w:ilvl="4">
      <w:start w:val="1"/>
      <w:numFmt w:val="decimal"/>
      <w:lvlText w:val="%1.%2.%3.%4.%5"/>
      <w:lvlJc w:val="left"/>
      <w:pPr>
        <w:ind w:left="1931" w:hanging="1080"/>
      </w:pPr>
      <w:rPr>
        <w:rFonts w:eastAsia="Calibri"/>
      </w:rPr>
    </w:lvl>
    <w:lvl w:ilvl="5">
      <w:start w:val="1"/>
      <w:numFmt w:val="decimal"/>
      <w:lvlText w:val="%1.%2.%3.%4.%5.%6"/>
      <w:lvlJc w:val="left"/>
      <w:pPr>
        <w:ind w:left="1080" w:hanging="108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440" w:hanging="1440"/>
      </w:pPr>
      <w:rPr>
        <w:rFonts w:eastAsia="Calibri"/>
      </w:rPr>
    </w:lvl>
    <w:lvl w:ilvl="8">
      <w:start w:val="1"/>
      <w:numFmt w:val="decimal"/>
      <w:lvlText w:val="%1.%2.%3.%4.%5.%6.%7.%8.%9"/>
      <w:lvlJc w:val="left"/>
      <w:pPr>
        <w:ind w:left="1800" w:hanging="1800"/>
      </w:pPr>
      <w:rPr>
        <w:rFonts w:eastAsia="Calibri"/>
      </w:rPr>
    </w:lvl>
  </w:abstractNum>
  <w:abstractNum w:abstractNumId="3" w15:restartNumberingAfterBreak="0">
    <w:nsid w:val="24BD1148"/>
    <w:multiLevelType w:val="multilevel"/>
    <w:tmpl w:val="62967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200C0A"/>
    <w:multiLevelType w:val="multilevel"/>
    <w:tmpl w:val="0A9E99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D260EA"/>
    <w:multiLevelType w:val="multilevel"/>
    <w:tmpl w:val="79C295F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79229AB"/>
    <w:multiLevelType w:val="multilevel"/>
    <w:tmpl w:val="B65A483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41DB3852"/>
    <w:multiLevelType w:val="multilevel"/>
    <w:tmpl w:val="CC18714A"/>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A497279"/>
    <w:multiLevelType w:val="multilevel"/>
    <w:tmpl w:val="CDC47E44"/>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7502743"/>
    <w:multiLevelType w:val="multilevel"/>
    <w:tmpl w:val="125A52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ind w:left="2160" w:hanging="360"/>
      </w:pPr>
      <w:rPr>
        <w:rFonts w:ascii="Arial" w:eastAsia="Calibri" w:hAnsi="Arial" w:cs="Aria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A6338E4"/>
    <w:multiLevelType w:val="hybridMultilevel"/>
    <w:tmpl w:val="9364F296"/>
    <w:lvl w:ilvl="0" w:tplc="879863B6">
      <w:start w:val="1"/>
      <w:numFmt w:val="bullet"/>
      <w:lvlText w:val=""/>
      <w:lvlJc w:val="left"/>
      <w:pPr>
        <w:ind w:left="1146" w:hanging="360"/>
      </w:pPr>
      <w:rPr>
        <w:rFonts w:ascii="Symbol" w:hAnsi="Symbol" w:hint="default"/>
      </w:rPr>
    </w:lvl>
    <w:lvl w:ilvl="1" w:tplc="C88AFF52" w:tentative="1">
      <w:start w:val="1"/>
      <w:numFmt w:val="bullet"/>
      <w:lvlText w:val="o"/>
      <w:lvlJc w:val="left"/>
      <w:pPr>
        <w:ind w:left="1866" w:hanging="360"/>
      </w:pPr>
      <w:rPr>
        <w:rFonts w:ascii="Courier New" w:hAnsi="Courier New" w:cs="Courier New" w:hint="default"/>
      </w:rPr>
    </w:lvl>
    <w:lvl w:ilvl="2" w:tplc="9A1A8400" w:tentative="1">
      <w:start w:val="1"/>
      <w:numFmt w:val="bullet"/>
      <w:lvlText w:val=""/>
      <w:lvlJc w:val="left"/>
      <w:pPr>
        <w:ind w:left="2586" w:hanging="360"/>
      </w:pPr>
      <w:rPr>
        <w:rFonts w:ascii="Wingdings" w:hAnsi="Wingdings" w:hint="default"/>
      </w:rPr>
    </w:lvl>
    <w:lvl w:ilvl="3" w:tplc="6C206ABA" w:tentative="1">
      <w:start w:val="1"/>
      <w:numFmt w:val="bullet"/>
      <w:lvlText w:val=""/>
      <w:lvlJc w:val="left"/>
      <w:pPr>
        <w:ind w:left="3306" w:hanging="360"/>
      </w:pPr>
      <w:rPr>
        <w:rFonts w:ascii="Symbol" w:hAnsi="Symbol" w:hint="default"/>
      </w:rPr>
    </w:lvl>
    <w:lvl w:ilvl="4" w:tplc="D80A8864" w:tentative="1">
      <w:start w:val="1"/>
      <w:numFmt w:val="bullet"/>
      <w:lvlText w:val="o"/>
      <w:lvlJc w:val="left"/>
      <w:pPr>
        <w:ind w:left="4026" w:hanging="360"/>
      </w:pPr>
      <w:rPr>
        <w:rFonts w:ascii="Courier New" w:hAnsi="Courier New" w:cs="Courier New" w:hint="default"/>
      </w:rPr>
    </w:lvl>
    <w:lvl w:ilvl="5" w:tplc="0B700718" w:tentative="1">
      <w:start w:val="1"/>
      <w:numFmt w:val="bullet"/>
      <w:lvlText w:val=""/>
      <w:lvlJc w:val="left"/>
      <w:pPr>
        <w:ind w:left="4746" w:hanging="360"/>
      </w:pPr>
      <w:rPr>
        <w:rFonts w:ascii="Wingdings" w:hAnsi="Wingdings" w:hint="default"/>
      </w:rPr>
    </w:lvl>
    <w:lvl w:ilvl="6" w:tplc="9D6CBF64" w:tentative="1">
      <w:start w:val="1"/>
      <w:numFmt w:val="bullet"/>
      <w:lvlText w:val=""/>
      <w:lvlJc w:val="left"/>
      <w:pPr>
        <w:ind w:left="5466" w:hanging="360"/>
      </w:pPr>
      <w:rPr>
        <w:rFonts w:ascii="Symbol" w:hAnsi="Symbol" w:hint="default"/>
      </w:rPr>
    </w:lvl>
    <w:lvl w:ilvl="7" w:tplc="08A85A0A" w:tentative="1">
      <w:start w:val="1"/>
      <w:numFmt w:val="bullet"/>
      <w:lvlText w:val="o"/>
      <w:lvlJc w:val="left"/>
      <w:pPr>
        <w:ind w:left="6186" w:hanging="360"/>
      </w:pPr>
      <w:rPr>
        <w:rFonts w:ascii="Courier New" w:hAnsi="Courier New" w:cs="Courier New" w:hint="default"/>
      </w:rPr>
    </w:lvl>
    <w:lvl w:ilvl="8" w:tplc="BA029650" w:tentative="1">
      <w:start w:val="1"/>
      <w:numFmt w:val="bullet"/>
      <w:lvlText w:val=""/>
      <w:lvlJc w:val="left"/>
      <w:pPr>
        <w:ind w:left="6906" w:hanging="360"/>
      </w:pPr>
      <w:rPr>
        <w:rFonts w:ascii="Wingdings" w:hAnsi="Wingdings" w:hint="default"/>
      </w:rPr>
    </w:lvl>
  </w:abstractNum>
  <w:abstractNum w:abstractNumId="11" w15:restartNumberingAfterBreak="0">
    <w:nsid w:val="74FD6B14"/>
    <w:multiLevelType w:val="multilevel"/>
    <w:tmpl w:val="57F0E602"/>
    <w:lvl w:ilvl="0">
      <w:start w:val="6"/>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2" w15:restartNumberingAfterBreak="0">
    <w:nsid w:val="7A0A1248"/>
    <w:multiLevelType w:val="multilevel"/>
    <w:tmpl w:val="254AFC6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88"/>
    <w:rsid w:val="00273744"/>
    <w:rsid w:val="00426C88"/>
    <w:rsid w:val="00C146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13EA"/>
  <w15:chartTrackingRefBased/>
  <w15:docId w15:val="{36F8218E-ED01-4DA5-9D2D-BDC0EFCA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before="120" w:line="264" w:lineRule="auto"/>
        <w:ind w:left="782"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14688"/>
    <w:pPr>
      <w:spacing w:before="0" w:line="240" w:lineRule="auto"/>
      <w:ind w:left="0" w:firstLine="0"/>
      <w:jc w:val="left"/>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C14688"/>
    <w:pPr>
      <w:spacing w:before="0" w:line="240" w:lineRule="auto"/>
      <w:ind w:left="0" w:firstLine="0"/>
      <w:jc w:val="left"/>
    </w:pPr>
  </w:style>
  <w:style w:type="paragraph" w:customStyle="1" w:styleId="Default">
    <w:name w:val="Default"/>
    <w:rsid w:val="00C14688"/>
    <w:pPr>
      <w:autoSpaceDE w:val="0"/>
      <w:autoSpaceDN w:val="0"/>
      <w:adjustRightInd w:val="0"/>
      <w:spacing w:before="0" w:line="240" w:lineRule="auto"/>
      <w:ind w:left="0" w:firstLine="0"/>
      <w:jc w:val="left"/>
    </w:pPr>
    <w:rPr>
      <w:rFonts w:ascii="Arial" w:eastAsia="Calibri" w:hAnsi="Arial" w:cs="Arial"/>
      <w:color w:val="000000"/>
      <w:sz w:val="24"/>
      <w:szCs w:val="24"/>
    </w:rPr>
  </w:style>
  <w:style w:type="paragraph" w:styleId="Odstavecseseznamem">
    <w:name w:val="List Paragraph"/>
    <w:basedOn w:val="Normln"/>
    <w:uiPriority w:val="34"/>
    <w:qFormat/>
    <w:rsid w:val="00C14688"/>
    <w:pPr>
      <w:ind w:left="708"/>
    </w:pPr>
  </w:style>
  <w:style w:type="character" w:customStyle="1" w:styleId="FontStyle16">
    <w:name w:val="Font Style16"/>
    <w:uiPriority w:val="99"/>
    <w:rsid w:val="00C14688"/>
    <w:rPr>
      <w:rFonts w:ascii="Arial" w:hAnsi="Arial" w:cs="Arial" w:hint="default"/>
      <w:sz w:val="18"/>
      <w:szCs w:val="18"/>
    </w:rPr>
  </w:style>
  <w:style w:type="character" w:styleId="Siln">
    <w:name w:val="Strong"/>
    <w:uiPriority w:val="22"/>
    <w:qFormat/>
    <w:rsid w:val="00C14688"/>
    <w:rPr>
      <w:b/>
      <w:bCs/>
    </w:rPr>
  </w:style>
  <w:style w:type="character" w:customStyle="1" w:styleId="BezmezerChar">
    <w:name w:val="Bez mezer Char"/>
    <w:link w:val="Bezmezer"/>
    <w:uiPriority w:val="1"/>
    <w:locked/>
    <w:rsid w:val="00C14688"/>
  </w:style>
  <w:style w:type="table" w:styleId="Mkatabulky">
    <w:name w:val="Table Grid"/>
    <w:basedOn w:val="Normlntabulka"/>
    <w:uiPriority w:val="59"/>
    <w:rsid w:val="00C14688"/>
    <w:pPr>
      <w:spacing w:before="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C14688"/>
    <w:pPr>
      <w:tabs>
        <w:tab w:val="center" w:pos="4536"/>
        <w:tab w:val="right" w:pos="9072"/>
      </w:tabs>
    </w:pPr>
  </w:style>
  <w:style w:type="character" w:customStyle="1" w:styleId="ZpatChar">
    <w:name w:val="Zápatí Char"/>
    <w:basedOn w:val="Standardnpsmoodstavce"/>
    <w:link w:val="Zpat"/>
    <w:uiPriority w:val="99"/>
    <w:rsid w:val="00C1468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3301</Words>
  <Characters>19480</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ÚZSVM</Company>
  <LinksUpToDate>false</LinksUpToDate>
  <CharactersWithSpaces>22736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Altmannová Petra</dc:creator>
  <cp:keywords/>
  <dc:description/>
  <cp:lastModifiedBy>Altmannová Petra</cp:lastModifiedBy>
  <cp:revision>2</cp:revision>
  <dcterms:created xsi:type="dcterms:W3CDTF">2023-12-05T07:02:00Z</dcterms:created>
  <dcterms:modified xsi:type="dcterms:W3CDTF">2023-12-05T07:02:00Z</dcterms:modified>
</cp:coreProperties>
</file>