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7221300096</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obec</w:t>
      </w:r>
      <w:r>
        <w:rPr>
          <w:spacing w:val="-4"/>
        </w:rPr>
        <w:t> </w:t>
      </w:r>
      <w:r>
        <w:rPr>
          <w:spacing w:val="-2"/>
        </w:rPr>
        <w:t>Bánov</w:t>
      </w:r>
    </w:p>
    <w:p>
      <w:pPr>
        <w:pStyle w:val="BodyText"/>
        <w:tabs>
          <w:tab w:pos="2982" w:val="left" w:leader="none"/>
        </w:tabs>
        <w:ind w:left="102"/>
      </w:pPr>
      <w:r>
        <w:rPr/>
        <w:t>kontaktní</w:t>
      </w:r>
      <w:r>
        <w:rPr>
          <w:spacing w:val="-11"/>
        </w:rPr>
        <w:t> </w:t>
      </w:r>
      <w:r>
        <w:rPr>
          <w:spacing w:val="-2"/>
        </w:rPr>
        <w:t>adresa:</w:t>
      </w:r>
      <w:r>
        <w:rPr/>
        <w:tab/>
        <w:t>Obecní</w:t>
      </w:r>
      <w:r>
        <w:rPr>
          <w:spacing w:val="-6"/>
        </w:rPr>
        <w:t> </w:t>
      </w:r>
      <w:r>
        <w:rPr/>
        <w:t>úřad</w:t>
      </w:r>
      <w:r>
        <w:rPr>
          <w:spacing w:val="-5"/>
        </w:rPr>
        <w:t> </w:t>
      </w:r>
      <w:r>
        <w:rPr/>
        <w:t>Bánov,</w:t>
      </w:r>
      <w:r>
        <w:rPr>
          <w:spacing w:val="-4"/>
        </w:rPr>
        <w:t> </w:t>
      </w:r>
      <w:r>
        <w:rPr/>
        <w:t>Bánov</w:t>
      </w:r>
      <w:r>
        <w:rPr>
          <w:spacing w:val="-2"/>
        </w:rPr>
        <w:t> </w:t>
      </w:r>
      <w:r>
        <w:rPr/>
        <w:t>700,</w:t>
      </w:r>
      <w:r>
        <w:rPr>
          <w:spacing w:val="-6"/>
        </w:rPr>
        <w:t> </w:t>
      </w:r>
      <w:r>
        <w:rPr/>
        <w:t>687</w:t>
      </w:r>
      <w:r>
        <w:rPr>
          <w:spacing w:val="-2"/>
        </w:rPr>
        <w:t> </w:t>
      </w:r>
      <w:r>
        <w:rPr/>
        <w:t>54</w:t>
      </w:r>
      <w:r>
        <w:rPr>
          <w:spacing w:val="-4"/>
        </w:rPr>
        <w:t> </w:t>
      </w:r>
      <w:r>
        <w:rPr>
          <w:spacing w:val="-2"/>
        </w:rPr>
        <w:t>Bánov</w:t>
      </w:r>
    </w:p>
    <w:p>
      <w:pPr>
        <w:pStyle w:val="BodyText"/>
        <w:tabs>
          <w:tab w:pos="2982" w:val="left" w:leader="none"/>
        </w:tabs>
        <w:spacing w:line="265" w:lineRule="exact"/>
        <w:ind w:left="102"/>
      </w:pPr>
      <w:r>
        <w:rPr>
          <w:spacing w:val="-4"/>
        </w:rPr>
        <w:t>IČO:</w:t>
      </w:r>
      <w:r>
        <w:rPr/>
        <w:tab/>
      </w:r>
      <w:r>
        <w:rPr>
          <w:spacing w:val="-2"/>
        </w:rPr>
        <w:t>00290785</w:t>
      </w:r>
    </w:p>
    <w:p>
      <w:pPr>
        <w:pStyle w:val="BodyText"/>
        <w:tabs>
          <w:tab w:pos="2982" w:val="left" w:leader="none"/>
        </w:tabs>
        <w:spacing w:line="265" w:lineRule="exact"/>
        <w:ind w:left="102"/>
      </w:pPr>
      <w:r>
        <w:rPr>
          <w:spacing w:val="-2"/>
        </w:rPr>
        <w:t>zastoupená:</w:t>
      </w:r>
      <w:r>
        <w:rPr/>
        <w:tab/>
        <w:t>Bc.</w:t>
      </w:r>
      <w:r>
        <w:rPr>
          <w:spacing w:val="-3"/>
        </w:rPr>
        <w:t> </w:t>
      </w:r>
      <w:r>
        <w:rPr/>
        <w:t>Markem</w:t>
      </w:r>
      <w:r>
        <w:rPr>
          <w:spacing w:val="-1"/>
        </w:rPr>
        <w:t> </w:t>
      </w:r>
      <w:r>
        <w:rPr/>
        <w:t>M a</w:t>
      </w:r>
      <w:r>
        <w:rPr>
          <w:spacing w:val="-3"/>
        </w:rPr>
        <w:t> </w:t>
      </w:r>
      <w:r>
        <w:rPr/>
        <w:t>h</w:t>
      </w:r>
      <w:r>
        <w:rPr>
          <w:spacing w:val="-2"/>
        </w:rPr>
        <w:t> </w:t>
      </w:r>
      <w:r>
        <w:rPr/>
        <w:t>d</w:t>
      </w:r>
      <w:r>
        <w:rPr>
          <w:spacing w:val="-2"/>
        </w:rPr>
        <w:t> </w:t>
      </w:r>
      <w:r>
        <w:rPr/>
        <w:t>a</w:t>
      </w:r>
      <w:r>
        <w:rPr>
          <w:spacing w:val="-4"/>
        </w:rPr>
        <w:t> </w:t>
      </w:r>
      <w:r>
        <w:rPr/>
        <w:t>l e</w:t>
      </w:r>
      <w:r>
        <w:rPr>
          <w:spacing w:val="-2"/>
        </w:rPr>
        <w:t> </w:t>
      </w:r>
      <w:r>
        <w:rPr/>
        <w:t>m,</w:t>
      </w:r>
      <w:r>
        <w:rPr>
          <w:spacing w:val="-3"/>
        </w:rPr>
        <w:t> </w:t>
      </w:r>
      <w:r>
        <w:rPr>
          <w:spacing w:val="-2"/>
        </w:rPr>
        <w:t>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916721/0710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rPr>
          <w:sz w:val="26"/>
        </w:rPr>
      </w:pPr>
    </w:p>
    <w:p>
      <w:pPr>
        <w:pStyle w:val="BodyText"/>
        <w:spacing w:before="187"/>
        <w:ind w:left="102"/>
      </w:pPr>
      <w:r>
        <w:rPr/>
        <w:t>se</w:t>
      </w:r>
      <w:r>
        <w:rPr>
          <w:spacing w:val="-7"/>
        </w:rPr>
        <w:t> </w:t>
      </w:r>
      <w:r>
        <w:rPr/>
        <w:t>dohodly</w:t>
      </w:r>
      <w:r>
        <w:rPr>
          <w:spacing w:val="-6"/>
        </w:rPr>
        <w:t> </w:t>
      </w:r>
      <w:r>
        <w:rPr>
          <w:spacing w:val="-2"/>
        </w:rPr>
        <w:t>takto:</w:t>
      </w:r>
    </w:p>
    <w:p>
      <w:pPr>
        <w:pStyle w:val="BodyText"/>
        <w:rPr>
          <w:sz w:val="26"/>
        </w:rPr>
      </w:pPr>
    </w:p>
    <w:p>
      <w:pPr>
        <w:pStyle w:val="Heading1"/>
        <w:spacing w:before="185"/>
        <w:ind w:left="2296" w:right="2305"/>
      </w:pPr>
      <w:r>
        <w:rPr>
          <w:spacing w:val="-5"/>
        </w:rPr>
        <w:t>I.</w:t>
      </w:r>
    </w:p>
    <w:p>
      <w:pPr>
        <w:pStyle w:val="Heading2"/>
        <w:ind w:right="1060"/>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65" w:lineRule="exact"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9"/>
        <w:jc w:val="both"/>
      </w:pPr>
      <w:r>
        <w:rPr/>
        <w:t>„Smlouva“) se uzavírá na základě Rozhodnutí ministra životního prostředí č. 7221300096 o poskytnutí finančních prostředků ze Státního fondu životního prostředí ČR ze dne 21. 6. 2023 v</w:t>
      </w:r>
      <w:r>
        <w:rPr>
          <w:spacing w:val="-1"/>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1"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spacing w:after="0"/>
        <w:rPr>
          <w:sz w:val="9"/>
        </w:rPr>
        <w:sectPr>
          <w:pgSz w:w="12240" w:h="15840"/>
          <w:pgMar w:header="708" w:footer="771" w:top="2040" w:bottom="960" w:left="1600" w:right="1020"/>
        </w:sect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BodyText"/>
        <w:spacing w:before="12"/>
        <w:rPr>
          <w:sz w:val="37"/>
        </w:rPr>
      </w:pPr>
    </w:p>
    <w:p>
      <w:pPr>
        <w:pStyle w:val="BodyText"/>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line="240" w:lineRule="auto" w:before="6"/>
        <w:rPr>
          <w:sz w:val="36"/>
        </w:rPr>
      </w:pPr>
      <w:r>
        <w:rPr/>
        <w:br w:type="column"/>
      </w:r>
      <w:r>
        <w:rPr>
          <w:sz w:val="36"/>
        </w:rPr>
      </w:r>
    </w:p>
    <w:p>
      <w:pPr>
        <w:spacing w:before="1"/>
        <w:ind w:left="102" w:right="0" w:firstLine="0"/>
        <w:jc w:val="left"/>
        <w:rPr>
          <w:b/>
          <w:sz w:val="20"/>
        </w:rPr>
      </w:pPr>
      <w:r>
        <w:rPr>
          <w:b/>
          <w:sz w:val="20"/>
        </w:rPr>
        <w:t>„FVE</w:t>
      </w:r>
      <w:r>
        <w:rPr>
          <w:b/>
          <w:spacing w:val="-6"/>
          <w:sz w:val="20"/>
        </w:rPr>
        <w:t> </w:t>
      </w:r>
      <w:r>
        <w:rPr>
          <w:b/>
          <w:sz w:val="20"/>
        </w:rPr>
        <w:t>pro</w:t>
      </w:r>
      <w:r>
        <w:rPr>
          <w:b/>
          <w:spacing w:val="-6"/>
          <w:sz w:val="20"/>
        </w:rPr>
        <w:t> </w:t>
      </w:r>
      <w:r>
        <w:rPr>
          <w:b/>
          <w:sz w:val="20"/>
        </w:rPr>
        <w:t>obec</w:t>
      </w:r>
      <w:r>
        <w:rPr>
          <w:b/>
          <w:spacing w:val="-5"/>
          <w:sz w:val="20"/>
        </w:rPr>
        <w:t> </w:t>
      </w:r>
      <w:r>
        <w:rPr>
          <w:b/>
          <w:spacing w:val="-2"/>
          <w:sz w:val="20"/>
        </w:rPr>
        <w:t>Bánov“</w:t>
      </w:r>
    </w:p>
    <w:p>
      <w:pPr>
        <w:spacing w:after="0"/>
        <w:jc w:val="left"/>
        <w:rPr>
          <w:sz w:val="20"/>
        </w:rPr>
        <w:sectPr>
          <w:type w:val="continuous"/>
          <w:pgSz w:w="12240" w:h="15840"/>
          <w:pgMar w:header="708" w:footer="771" w:top="2040" w:bottom="960" w:left="1600" w:right="1020"/>
          <w:cols w:num="2" w:equalWidth="0">
            <w:col w:w="3609" w:space="59"/>
            <w:col w:w="5952"/>
          </w:cols>
        </w:sectPr>
      </w:pPr>
    </w:p>
    <w:p>
      <w:pPr>
        <w:pStyle w:val="BodyText"/>
        <w:spacing w:before="8"/>
        <w:rPr>
          <w:b/>
          <w:sz w:val="12"/>
        </w:rPr>
      </w:pPr>
    </w:p>
    <w:p>
      <w:pPr>
        <w:pStyle w:val="Heading1"/>
        <w:ind w:right="703"/>
      </w:pPr>
      <w:r>
        <w:rPr>
          <w:spacing w:val="-5"/>
        </w:rPr>
        <w:t>II.</w:t>
      </w:r>
    </w:p>
    <w:p>
      <w:pPr>
        <w:pStyle w:val="Heading2"/>
        <w:spacing w:before="1"/>
        <w:ind w:right="702"/>
      </w:pPr>
      <w:r>
        <w:rPr/>
        <w:t>Výše</w:t>
      </w:r>
      <w:r>
        <w:rPr>
          <w:spacing w:val="-6"/>
        </w:rPr>
        <w:t> </w:t>
      </w:r>
      <w:r>
        <w:rPr>
          <w:spacing w:val="-2"/>
        </w:rPr>
        <w:t>dotace</w:t>
      </w:r>
    </w:p>
    <w:p>
      <w:pPr>
        <w:pStyle w:val="BodyText"/>
        <w:rPr>
          <w:b/>
        </w:rPr>
      </w:pPr>
    </w:p>
    <w:p>
      <w:pPr>
        <w:pStyle w:val="ListParagraph"/>
        <w:numPr>
          <w:ilvl w:val="0"/>
          <w:numId w:val="2"/>
        </w:numPr>
        <w:tabs>
          <w:tab w:pos="386" w:val="left" w:leader="none"/>
        </w:tabs>
        <w:spacing w:line="240" w:lineRule="auto" w:before="1"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1</w:t>
      </w:r>
      <w:r>
        <w:rPr>
          <w:b/>
          <w:spacing w:val="-3"/>
          <w:sz w:val="20"/>
        </w:rPr>
        <w:t> </w:t>
      </w:r>
      <w:r>
        <w:rPr>
          <w:b/>
          <w:sz w:val="20"/>
        </w:rPr>
        <w:t>336</w:t>
      </w:r>
      <w:r>
        <w:rPr>
          <w:b/>
          <w:spacing w:val="-3"/>
          <w:sz w:val="20"/>
        </w:rPr>
        <w:t> </w:t>
      </w:r>
      <w:r>
        <w:rPr>
          <w:b/>
          <w:sz w:val="20"/>
        </w:rPr>
        <w:t>401,54 Kč </w:t>
      </w:r>
      <w:r>
        <w:rPr>
          <w:sz w:val="20"/>
        </w:rPr>
        <w:t>(slovy: jeden milion tři sta třicet šest tisíc čtyři sta jedna korun českých, padesát čtyři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2 448 230,00 Kč.</w:t>
      </w:r>
    </w:p>
    <w:p>
      <w:pPr>
        <w:pStyle w:val="ListParagraph"/>
        <w:numPr>
          <w:ilvl w:val="0"/>
          <w:numId w:val="2"/>
        </w:numPr>
        <w:tabs>
          <w:tab w:pos="386" w:val="left" w:leader="none"/>
        </w:tabs>
        <w:spacing w:line="240" w:lineRule="auto" w:before="121" w:after="0"/>
        <w:ind w:left="385" w:right="111"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7"/>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8"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spacing w:before="1"/>
        <w:ind w:left="385"/>
        <w:jc w:val="both"/>
      </w:pPr>
      <w:r>
        <w:rPr/>
        <w:t>10</w:t>
      </w:r>
      <w:r>
        <w:rPr>
          <w:spacing w:val="-3"/>
        </w:rPr>
        <w:t> </w:t>
      </w:r>
      <w:r>
        <w:rPr>
          <w:spacing w:val="-2"/>
        </w:rPr>
        <w:t>Výzvy.</w:t>
      </w:r>
    </w:p>
    <w:p>
      <w:pPr>
        <w:pStyle w:val="BodyText"/>
        <w:rPr>
          <w:sz w:val="26"/>
        </w:rPr>
      </w:pPr>
    </w:p>
    <w:p>
      <w:pPr>
        <w:pStyle w:val="Heading1"/>
        <w:spacing w:line="265" w:lineRule="exact" w:before="187"/>
        <w:ind w:right="1060"/>
      </w:pPr>
      <w:r>
        <w:rPr>
          <w:spacing w:val="-4"/>
        </w:rPr>
        <w:t>III.</w:t>
      </w:r>
    </w:p>
    <w:p>
      <w:pPr>
        <w:pStyle w:val="Heading2"/>
        <w:spacing w:line="265" w:lineRule="exact"/>
        <w:ind w:right="1060"/>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40" w:lineRule="auto"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spacing w:before="1"/>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0"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19"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37" w:lineRule="auto" w:before="123"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2" w:after="0"/>
        <w:ind w:left="385" w:right="0" w:hanging="284"/>
        <w:jc w:val="both"/>
        <w:rPr>
          <w:sz w:val="20"/>
        </w:rPr>
      </w:pPr>
      <w:r>
        <w:rPr>
          <w:sz w:val="20"/>
        </w:rPr>
        <w:t>Konkrétní</w:t>
      </w:r>
      <w:r>
        <w:rPr>
          <w:spacing w:val="23"/>
          <w:sz w:val="20"/>
        </w:rPr>
        <w:t> </w:t>
      </w:r>
      <w:r>
        <w:rPr>
          <w:sz w:val="20"/>
        </w:rPr>
        <w:t>částka</w:t>
      </w:r>
      <w:r>
        <w:rPr>
          <w:spacing w:val="22"/>
          <w:sz w:val="20"/>
        </w:rPr>
        <w:t> </w:t>
      </w:r>
      <w:r>
        <w:rPr>
          <w:sz w:val="20"/>
        </w:rPr>
        <w:t>podpory</w:t>
      </w:r>
      <w:r>
        <w:rPr>
          <w:spacing w:val="23"/>
          <w:sz w:val="20"/>
        </w:rPr>
        <w:t> </w:t>
      </w:r>
      <w:r>
        <w:rPr>
          <w:sz w:val="20"/>
        </w:rPr>
        <w:t>bude</w:t>
      </w:r>
      <w:r>
        <w:rPr>
          <w:spacing w:val="20"/>
          <w:sz w:val="20"/>
        </w:rPr>
        <w:t> </w:t>
      </w:r>
      <w:r>
        <w:rPr>
          <w:sz w:val="20"/>
        </w:rPr>
        <w:t>poskytnuta</w:t>
      </w:r>
      <w:r>
        <w:rPr>
          <w:spacing w:val="22"/>
          <w:sz w:val="20"/>
        </w:rPr>
        <w:t> </w:t>
      </w:r>
      <w:r>
        <w:rPr>
          <w:sz w:val="20"/>
        </w:rPr>
        <w:t>na</w:t>
      </w:r>
      <w:r>
        <w:rPr>
          <w:spacing w:val="21"/>
          <w:sz w:val="20"/>
        </w:rPr>
        <w:t> </w:t>
      </w:r>
      <w:r>
        <w:rPr>
          <w:sz w:val="20"/>
        </w:rPr>
        <w:t>základě</w:t>
      </w:r>
      <w:r>
        <w:rPr>
          <w:spacing w:val="20"/>
          <w:sz w:val="20"/>
        </w:rPr>
        <w:t> </w:t>
      </w:r>
      <w:r>
        <w:rPr>
          <w:sz w:val="20"/>
        </w:rPr>
        <w:t>plánovaného</w:t>
      </w:r>
      <w:r>
        <w:rPr>
          <w:spacing w:val="22"/>
          <w:sz w:val="20"/>
        </w:rPr>
        <w:t> </w:t>
      </w:r>
      <w:r>
        <w:rPr>
          <w:sz w:val="20"/>
        </w:rPr>
        <w:t>čerpání</w:t>
      </w:r>
      <w:r>
        <w:rPr>
          <w:spacing w:val="22"/>
          <w:sz w:val="20"/>
        </w:rPr>
        <w:t> </w:t>
      </w:r>
      <w:r>
        <w:rPr>
          <w:sz w:val="20"/>
        </w:rPr>
        <w:t>podpory</w:t>
      </w:r>
      <w:r>
        <w:rPr>
          <w:spacing w:val="22"/>
          <w:sz w:val="20"/>
        </w:rPr>
        <w:t> </w:t>
      </w:r>
      <w:r>
        <w:rPr>
          <w:sz w:val="20"/>
        </w:rPr>
        <w:t>uvedeného</w:t>
      </w:r>
      <w:r>
        <w:rPr>
          <w:spacing w:val="25"/>
          <w:sz w:val="20"/>
        </w:rPr>
        <w:t> </w:t>
      </w:r>
      <w:r>
        <w:rPr>
          <w:spacing w:val="-5"/>
          <w:sz w:val="20"/>
        </w:rPr>
        <w:t>ve</w:t>
      </w:r>
    </w:p>
    <w:p>
      <w:pPr>
        <w:pStyle w:val="BodyText"/>
        <w:ind w:left="385"/>
        <w:jc w:val="both"/>
      </w:pPr>
      <w:r>
        <w:rPr/>
        <w:t>zdrojích</w:t>
      </w:r>
      <w:r>
        <w:rPr>
          <w:spacing w:val="48"/>
        </w:rPr>
        <w:t> </w:t>
      </w:r>
      <w:r>
        <w:rPr/>
        <w:t>financování</w:t>
      </w:r>
      <w:r>
        <w:rPr>
          <w:spacing w:val="-3"/>
        </w:rPr>
        <w:t> </w:t>
      </w:r>
      <w:r>
        <w:rPr/>
        <w:t>rozpočtu</w:t>
      </w:r>
      <w:r>
        <w:rPr>
          <w:spacing w:val="49"/>
        </w:rPr>
        <w:t> </w:t>
      </w:r>
      <w:r>
        <w:rPr/>
        <w:t>projektu</w:t>
      </w:r>
      <w:r>
        <w:rPr>
          <w:spacing w:val="48"/>
        </w:rPr>
        <w:t> </w:t>
      </w:r>
      <w:r>
        <w:rPr/>
        <w:t>v</w:t>
      </w:r>
      <w:r>
        <w:rPr>
          <w:spacing w:val="48"/>
        </w:rPr>
        <w:t> </w:t>
      </w:r>
      <w:r>
        <w:rPr/>
        <w:t>AIS</w:t>
      </w:r>
      <w:r>
        <w:rPr>
          <w:spacing w:val="49"/>
        </w:rPr>
        <w:t> </w:t>
      </w:r>
      <w:r>
        <w:rPr/>
        <w:t>SFŽP</w:t>
      </w:r>
      <w:r>
        <w:rPr>
          <w:spacing w:val="46"/>
        </w:rPr>
        <w:t> </w:t>
      </w:r>
      <w:r>
        <w:rPr/>
        <w:t>a</w:t>
      </w:r>
      <w:r>
        <w:rPr>
          <w:spacing w:val="49"/>
        </w:rPr>
        <w:t> </w:t>
      </w:r>
      <w:r>
        <w:rPr/>
        <w:t>žádosti</w:t>
      </w:r>
      <w:r>
        <w:rPr>
          <w:spacing w:val="48"/>
        </w:rPr>
        <w:t> </w:t>
      </w:r>
      <w:r>
        <w:rPr/>
        <w:t>o</w:t>
      </w:r>
      <w:r>
        <w:rPr>
          <w:spacing w:val="1"/>
        </w:rPr>
        <w:t> </w:t>
      </w:r>
      <w:r>
        <w:rPr/>
        <w:t>platbu</w:t>
      </w:r>
      <w:r>
        <w:rPr>
          <w:spacing w:val="49"/>
        </w:rPr>
        <w:t> </w:t>
      </w:r>
      <w:r>
        <w:rPr/>
        <w:t>podané</w:t>
      </w:r>
      <w:r>
        <w:rPr>
          <w:spacing w:val="46"/>
        </w:rPr>
        <w:t> </w:t>
      </w:r>
      <w:r>
        <w:rPr/>
        <w:t>příjemcem</w:t>
      </w:r>
      <w:r>
        <w:rPr>
          <w:spacing w:val="51"/>
        </w:rPr>
        <w:t> </w:t>
      </w:r>
      <w:r>
        <w:rPr>
          <w:spacing w:val="-2"/>
        </w:rPr>
        <w:t>podpory</w:t>
      </w:r>
    </w:p>
    <w:p>
      <w:pPr>
        <w:spacing w:after="0"/>
        <w:jc w:val="both"/>
        <w:sectPr>
          <w:type w:val="continuous"/>
          <w:pgSz w:w="12240" w:h="15840"/>
          <w:pgMar w:header="708" w:footer="771" w:top="2040" w:bottom="960" w:left="1600" w:right="1020"/>
        </w:sectPr>
      </w:pPr>
    </w:p>
    <w:p>
      <w:pPr>
        <w:pStyle w:val="BodyText"/>
        <w:spacing w:before="12"/>
        <w:rPr>
          <w:sz w:val="9"/>
        </w:rPr>
      </w:pPr>
    </w:p>
    <w:p>
      <w:pPr>
        <w:pStyle w:val="BodyText"/>
        <w:spacing w:before="99"/>
        <w:ind w:left="385"/>
      </w:pPr>
      <w:r>
        <w:rPr/>
        <w:t>prostřednictvím</w:t>
      </w:r>
      <w:r>
        <w:rPr>
          <w:spacing w:val="30"/>
        </w:rPr>
        <w:t> </w:t>
      </w:r>
      <w:r>
        <w:rPr/>
        <w:t>AIS</w:t>
      </w:r>
      <w:r>
        <w:rPr>
          <w:spacing w:val="29"/>
        </w:rPr>
        <w:t> </w:t>
      </w:r>
      <w:r>
        <w:rPr/>
        <w:t>SFŽP</w:t>
      </w:r>
      <w:r>
        <w:rPr>
          <w:spacing w:val="32"/>
        </w:rPr>
        <w:t> </w:t>
      </w:r>
      <w:r>
        <w:rPr/>
        <w:t>a</w:t>
      </w:r>
      <w:r>
        <w:rPr>
          <w:spacing w:val="28"/>
        </w:rPr>
        <w:t> </w:t>
      </w:r>
      <w:r>
        <w:rPr/>
        <w:t>v</w:t>
      </w:r>
      <w:r>
        <w:rPr>
          <w:spacing w:val="-1"/>
        </w:rPr>
        <w:t> </w:t>
      </w:r>
      <w:r>
        <w:rPr/>
        <w:t>závislosti</w:t>
      </w:r>
      <w:r>
        <w:rPr>
          <w:spacing w:val="29"/>
        </w:rPr>
        <w:t> </w:t>
      </w:r>
      <w:r>
        <w:rPr/>
        <w:t>na</w:t>
      </w:r>
      <w:r>
        <w:rPr>
          <w:spacing w:val="28"/>
        </w:rPr>
        <w:t> </w:t>
      </w:r>
      <w:r>
        <w:rPr/>
        <w:t>výši</w:t>
      </w:r>
      <w:r>
        <w:rPr>
          <w:spacing w:val="28"/>
        </w:rPr>
        <w:t> </w:t>
      </w:r>
      <w:r>
        <w:rPr/>
        <w:t>disponibilních</w:t>
      </w:r>
      <w:r>
        <w:rPr>
          <w:spacing w:val="29"/>
        </w:rPr>
        <w:t> </w:t>
      </w:r>
      <w:r>
        <w:rPr/>
        <w:t>prostředků</w:t>
      </w:r>
      <w:r>
        <w:rPr>
          <w:spacing w:val="29"/>
        </w:rPr>
        <w:t> </w:t>
      </w:r>
      <w:r>
        <w:rPr/>
        <w:t>a</w:t>
      </w:r>
      <w:r>
        <w:rPr>
          <w:spacing w:val="29"/>
        </w:rPr>
        <w:t> </w:t>
      </w:r>
      <w:r>
        <w:rPr/>
        <w:t>plnění</w:t>
      </w:r>
      <w:r>
        <w:rPr>
          <w:spacing w:val="29"/>
        </w:rPr>
        <w:t> </w:t>
      </w:r>
      <w:r>
        <w:rPr/>
        <w:t>výdajového</w:t>
      </w:r>
      <w:r>
        <w:rPr>
          <w:spacing w:val="29"/>
        </w:rPr>
        <w:t> </w:t>
      </w:r>
      <w:r>
        <w:rPr>
          <w:spacing w:val="-2"/>
        </w:rPr>
        <w:t>limitu</w:t>
      </w:r>
    </w:p>
    <w:p>
      <w:pPr>
        <w:pStyle w:val="BodyText"/>
        <w:ind w:left="385"/>
      </w:pPr>
      <w:r>
        <w:rPr>
          <w:spacing w:val="-2"/>
        </w:rPr>
        <w:t>Fondu.</w:t>
      </w:r>
    </w:p>
    <w:p>
      <w:pPr>
        <w:pStyle w:val="ListParagraph"/>
        <w:numPr>
          <w:ilvl w:val="0"/>
          <w:numId w:val="3"/>
        </w:numPr>
        <w:tabs>
          <w:tab w:pos="386" w:val="left" w:leader="none"/>
        </w:tabs>
        <w:spacing w:line="240" w:lineRule="auto" w:before="118"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22"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5"/>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1" w:after="0"/>
        <w:ind w:left="745" w:right="108" w:hanging="360"/>
        <w:jc w:val="left"/>
        <w:rPr>
          <w:sz w:val="20"/>
        </w:rPr>
      </w:pPr>
      <w:r>
        <w:rPr>
          <w:sz w:val="20"/>
        </w:rPr>
        <w:t>splní</w:t>
      </w:r>
      <w:r>
        <w:rPr>
          <w:spacing w:val="29"/>
          <w:sz w:val="20"/>
        </w:rPr>
        <w:t> </w:t>
      </w:r>
      <w:r>
        <w:rPr>
          <w:sz w:val="20"/>
        </w:rPr>
        <w:t>účel</w:t>
      </w:r>
      <w:r>
        <w:rPr>
          <w:spacing w:val="29"/>
          <w:sz w:val="20"/>
        </w:rPr>
        <w:t> </w:t>
      </w:r>
      <w:r>
        <w:rPr>
          <w:sz w:val="20"/>
        </w:rPr>
        <w:t>akce</w:t>
      </w:r>
      <w:r>
        <w:rPr>
          <w:spacing w:val="29"/>
          <w:sz w:val="20"/>
        </w:rPr>
        <w:t> </w:t>
      </w:r>
      <w:r>
        <w:rPr>
          <w:sz w:val="20"/>
        </w:rPr>
        <w:t>„FVE</w:t>
      </w:r>
      <w:r>
        <w:rPr>
          <w:spacing w:val="30"/>
          <w:sz w:val="20"/>
        </w:rPr>
        <w:t> </w:t>
      </w:r>
      <w:r>
        <w:rPr>
          <w:sz w:val="20"/>
        </w:rPr>
        <w:t>pro</w:t>
      </w:r>
      <w:r>
        <w:rPr>
          <w:spacing w:val="30"/>
          <w:sz w:val="20"/>
        </w:rPr>
        <w:t> </w:t>
      </w:r>
      <w:r>
        <w:rPr>
          <w:sz w:val="20"/>
        </w:rPr>
        <w:t>obec</w:t>
      </w:r>
      <w:r>
        <w:rPr>
          <w:spacing w:val="28"/>
          <w:sz w:val="20"/>
        </w:rPr>
        <w:t> </w:t>
      </w:r>
      <w:r>
        <w:rPr>
          <w:sz w:val="20"/>
        </w:rPr>
        <w:t>Bánov“</w:t>
      </w:r>
      <w:r>
        <w:rPr>
          <w:spacing w:val="29"/>
          <w:sz w:val="20"/>
        </w:rPr>
        <w:t> </w:t>
      </w:r>
      <w:r>
        <w:rPr>
          <w:sz w:val="20"/>
        </w:rPr>
        <w:t>tím,</w:t>
      </w:r>
      <w:r>
        <w:rPr>
          <w:spacing w:val="30"/>
          <w:sz w:val="20"/>
        </w:rPr>
        <w:t> </w:t>
      </w:r>
      <w:r>
        <w:rPr>
          <w:sz w:val="20"/>
        </w:rPr>
        <w:t>že</w:t>
      </w:r>
      <w:r>
        <w:rPr>
          <w:spacing w:val="29"/>
          <w:sz w:val="20"/>
        </w:rPr>
        <w:t> </w:t>
      </w:r>
      <w:r>
        <w:rPr>
          <w:sz w:val="20"/>
        </w:rPr>
        <w:t>akce</w:t>
      </w:r>
      <w:r>
        <w:rPr>
          <w:spacing w:val="29"/>
          <w:sz w:val="20"/>
        </w:rPr>
        <w:t> </w:t>
      </w:r>
      <w:r>
        <w:rPr>
          <w:sz w:val="20"/>
        </w:rPr>
        <w:t>bude</w:t>
      </w:r>
      <w:r>
        <w:rPr>
          <w:spacing w:val="29"/>
          <w:sz w:val="20"/>
        </w:rPr>
        <w:t> </w:t>
      </w:r>
      <w:r>
        <w:rPr>
          <w:sz w:val="20"/>
        </w:rPr>
        <w:t>provedena</w:t>
      </w:r>
      <w:r>
        <w:rPr>
          <w:spacing w:val="29"/>
          <w:sz w:val="20"/>
        </w:rPr>
        <w:t> </w:t>
      </w:r>
      <w:r>
        <w:rPr>
          <w:sz w:val="20"/>
        </w:rPr>
        <w:t>v souladu</w:t>
      </w:r>
      <w:r>
        <w:rPr>
          <w:spacing w:val="32"/>
          <w:sz w:val="20"/>
        </w:rPr>
        <w:t> </w:t>
      </w:r>
      <w:r>
        <w:rPr>
          <w:sz w:val="20"/>
        </w:rPr>
        <w:t>s</w:t>
      </w:r>
      <w:r>
        <w:rPr>
          <w:spacing w:val="-1"/>
          <w:sz w:val="20"/>
        </w:rPr>
        <w:t> </w:t>
      </w:r>
      <w:r>
        <w:rPr>
          <w:sz w:val="20"/>
        </w:rPr>
        <w:t>Výzvou,</w:t>
      </w:r>
      <w:r>
        <w:rPr>
          <w:spacing w:val="30"/>
          <w:sz w:val="20"/>
        </w:rPr>
        <w:t> </w:t>
      </w:r>
      <w:r>
        <w:rPr>
          <w:sz w:val="20"/>
        </w:rPr>
        <w:t>žádostí o podporu a jejími přílohami a touto Smlouvou,</w:t>
      </w:r>
    </w:p>
    <w:p>
      <w:pPr>
        <w:pStyle w:val="ListParagraph"/>
        <w:numPr>
          <w:ilvl w:val="1"/>
          <w:numId w:val="4"/>
        </w:numPr>
        <w:tabs>
          <w:tab w:pos="746" w:val="left" w:leader="none"/>
        </w:tabs>
        <w:spacing w:line="264" w:lineRule="exact" w:before="0" w:after="0"/>
        <w:ind w:left="745" w:right="0" w:hanging="361"/>
        <w:jc w:val="left"/>
        <w:rPr>
          <w:sz w:val="20"/>
        </w:rPr>
      </w:pPr>
      <w:r>
        <w:rPr>
          <w:sz w:val="20"/>
        </w:rPr>
        <w:t>realizací</w:t>
      </w:r>
      <w:r>
        <w:rPr>
          <w:spacing w:val="28"/>
          <w:sz w:val="20"/>
        </w:rPr>
        <w:t>  </w:t>
      </w:r>
      <w:r>
        <w:rPr>
          <w:sz w:val="20"/>
        </w:rPr>
        <w:t>projektu</w:t>
      </w:r>
      <w:r>
        <w:rPr>
          <w:spacing w:val="29"/>
          <w:sz w:val="20"/>
        </w:rPr>
        <w:t>  </w:t>
      </w:r>
      <w:r>
        <w:rPr>
          <w:sz w:val="20"/>
        </w:rPr>
        <w:t>dojde</w:t>
      </w:r>
      <w:r>
        <w:rPr>
          <w:spacing w:val="29"/>
          <w:sz w:val="20"/>
        </w:rPr>
        <w:t>  </w:t>
      </w:r>
      <w:r>
        <w:rPr>
          <w:sz w:val="20"/>
        </w:rPr>
        <w:t>k</w:t>
      </w:r>
      <w:r>
        <w:rPr>
          <w:spacing w:val="-3"/>
          <w:sz w:val="20"/>
        </w:rPr>
        <w:t> </w:t>
      </w:r>
      <w:r>
        <w:rPr>
          <w:sz w:val="20"/>
        </w:rPr>
        <w:t>výstavbě</w:t>
      </w:r>
      <w:r>
        <w:rPr>
          <w:spacing w:val="28"/>
          <w:sz w:val="20"/>
        </w:rPr>
        <w:t>  </w:t>
      </w:r>
      <w:r>
        <w:rPr>
          <w:sz w:val="20"/>
        </w:rPr>
        <w:t>nových</w:t>
      </w:r>
      <w:r>
        <w:rPr>
          <w:spacing w:val="28"/>
          <w:sz w:val="20"/>
        </w:rPr>
        <w:t>  </w:t>
      </w:r>
      <w:r>
        <w:rPr>
          <w:sz w:val="20"/>
        </w:rPr>
        <w:t>fotovoltaických</w:t>
      </w:r>
      <w:r>
        <w:rPr>
          <w:spacing w:val="28"/>
          <w:sz w:val="20"/>
        </w:rPr>
        <w:t>  </w:t>
      </w:r>
      <w:r>
        <w:rPr>
          <w:sz w:val="20"/>
        </w:rPr>
        <w:t>elektráren</w:t>
      </w:r>
      <w:r>
        <w:rPr>
          <w:spacing w:val="28"/>
          <w:sz w:val="20"/>
        </w:rPr>
        <w:t>  </w:t>
      </w:r>
      <w:r>
        <w:rPr>
          <w:sz w:val="20"/>
        </w:rPr>
        <w:t>se</w:t>
      </w:r>
      <w:r>
        <w:rPr>
          <w:spacing w:val="29"/>
          <w:sz w:val="20"/>
        </w:rPr>
        <w:t>  </w:t>
      </w:r>
      <w:r>
        <w:rPr>
          <w:sz w:val="20"/>
        </w:rPr>
        <w:t>střešní</w:t>
      </w:r>
      <w:r>
        <w:rPr>
          <w:spacing w:val="28"/>
          <w:sz w:val="20"/>
        </w:rPr>
        <w:t>  </w:t>
      </w:r>
      <w:r>
        <w:rPr>
          <w:spacing w:val="-2"/>
          <w:sz w:val="20"/>
        </w:rPr>
        <w:t>instalací</w:t>
      </w:r>
    </w:p>
    <w:p>
      <w:pPr>
        <w:pStyle w:val="BodyText"/>
        <w:ind w:left="745"/>
      </w:pPr>
      <w:r>
        <w:rPr/>
        <w:t>s</w:t>
      </w:r>
      <w:r>
        <w:rPr>
          <w:spacing w:val="-8"/>
        </w:rPr>
        <w:t> </w:t>
      </w:r>
      <w:r>
        <w:rPr/>
        <w:t>předpokládaným</w:t>
      </w:r>
      <w:r>
        <w:rPr>
          <w:spacing w:val="-6"/>
        </w:rPr>
        <w:t> </w:t>
      </w:r>
      <w:r>
        <w:rPr/>
        <w:t>výkonem</w:t>
      </w:r>
      <w:r>
        <w:rPr>
          <w:spacing w:val="-5"/>
        </w:rPr>
        <w:t> </w:t>
      </w:r>
      <w:r>
        <w:rPr/>
        <w:t>36,19</w:t>
      </w:r>
      <w:r>
        <w:rPr>
          <w:spacing w:val="-6"/>
        </w:rPr>
        <w:t> </w:t>
      </w:r>
      <w:r>
        <w:rPr/>
        <w:t>kWp</w:t>
      </w:r>
      <w:r>
        <w:rPr>
          <w:spacing w:val="-6"/>
        </w:rPr>
        <w:t> </w:t>
      </w:r>
      <w:r>
        <w:rPr/>
        <w:t>a</w:t>
      </w:r>
      <w:r>
        <w:rPr>
          <w:spacing w:val="-7"/>
        </w:rPr>
        <w:t> </w:t>
      </w:r>
      <w:r>
        <w:rPr/>
        <w:t>instalací</w:t>
      </w:r>
      <w:r>
        <w:rPr>
          <w:spacing w:val="-7"/>
        </w:rPr>
        <w:t> </w:t>
      </w:r>
      <w:r>
        <w:rPr/>
        <w:t>akumulace</w:t>
      </w:r>
      <w:r>
        <w:rPr>
          <w:spacing w:val="-7"/>
        </w:rPr>
        <w:t> </w:t>
      </w:r>
      <w:r>
        <w:rPr/>
        <w:t>o</w:t>
      </w:r>
      <w:r>
        <w:rPr>
          <w:spacing w:val="-7"/>
        </w:rPr>
        <w:t> </w:t>
      </w:r>
      <w:r>
        <w:rPr/>
        <w:t>kapacitě</w:t>
      </w:r>
      <w:r>
        <w:rPr>
          <w:spacing w:val="-7"/>
        </w:rPr>
        <w:t> </w:t>
      </w:r>
      <w:r>
        <w:rPr/>
        <w:t>27,66</w:t>
      </w:r>
      <w:r>
        <w:rPr>
          <w:spacing w:val="-6"/>
        </w:rPr>
        <w:t> </w:t>
      </w:r>
      <w:r>
        <w:rPr>
          <w:spacing w:val="-4"/>
        </w:rPr>
        <w:t>kWh,</w:t>
      </w:r>
    </w:p>
    <w:p>
      <w:pPr>
        <w:pStyle w:val="ListParagraph"/>
        <w:numPr>
          <w:ilvl w:val="1"/>
          <w:numId w:val="4"/>
        </w:numPr>
        <w:tabs>
          <w:tab w:pos="745" w:val="left" w:leader="none"/>
          <w:tab w:pos="746" w:val="left" w:leader="none"/>
        </w:tabs>
        <w:spacing w:line="240" w:lineRule="auto" w:before="120"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before="1"/>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71"/>
        <w:gridCol w:w="1688"/>
        <w:gridCol w:w="1719"/>
        <w:gridCol w:w="1651"/>
      </w:tblGrid>
      <w:tr>
        <w:trPr>
          <w:trHeight w:val="772" w:hRule="atLeast"/>
        </w:trPr>
        <w:tc>
          <w:tcPr>
            <w:tcW w:w="3771" w:type="dxa"/>
          </w:tcPr>
          <w:p>
            <w:pPr>
              <w:pStyle w:val="TableParagraph"/>
              <w:spacing w:before="120"/>
              <w:ind w:left="105"/>
              <w:rPr>
                <w:b/>
                <w:sz w:val="20"/>
              </w:rPr>
            </w:pPr>
            <w:r>
              <w:rPr>
                <w:b/>
                <w:spacing w:val="-2"/>
                <w:sz w:val="20"/>
              </w:rPr>
              <w:t>Indikátor</w:t>
            </w:r>
          </w:p>
        </w:tc>
        <w:tc>
          <w:tcPr>
            <w:tcW w:w="1688" w:type="dxa"/>
          </w:tcPr>
          <w:p>
            <w:pPr>
              <w:pStyle w:val="TableParagraph"/>
              <w:spacing w:before="120"/>
              <w:ind w:left="105"/>
              <w:rPr>
                <w:b/>
                <w:sz w:val="20"/>
              </w:rPr>
            </w:pPr>
            <w:r>
              <w:rPr>
                <w:b/>
                <w:spacing w:val="-2"/>
                <w:sz w:val="20"/>
              </w:rPr>
              <w:t>Jednotka</w:t>
            </w:r>
          </w:p>
        </w:tc>
        <w:tc>
          <w:tcPr>
            <w:tcW w:w="1719" w:type="dxa"/>
          </w:tcPr>
          <w:p>
            <w:pPr>
              <w:pStyle w:val="TableParagraph"/>
              <w:spacing w:before="120"/>
              <w:ind w:left="105"/>
              <w:rPr>
                <w:b/>
                <w:sz w:val="20"/>
              </w:rPr>
            </w:pPr>
            <w:r>
              <w:rPr>
                <w:b/>
                <w:spacing w:val="-2"/>
                <w:sz w:val="20"/>
              </w:rPr>
              <w:t>Výchozí</w:t>
            </w:r>
          </w:p>
          <w:p>
            <w:pPr>
              <w:pStyle w:val="TableParagraph"/>
              <w:ind w:left="105"/>
              <w:rPr>
                <w:b/>
                <w:sz w:val="20"/>
              </w:rPr>
            </w:pPr>
            <w:r>
              <w:rPr>
                <w:b/>
                <w:spacing w:val="-2"/>
                <w:sz w:val="20"/>
              </w:rPr>
              <w:t>hodnota</w:t>
            </w:r>
          </w:p>
        </w:tc>
        <w:tc>
          <w:tcPr>
            <w:tcW w:w="1651" w:type="dxa"/>
          </w:tcPr>
          <w:p>
            <w:pPr>
              <w:pStyle w:val="TableParagraph"/>
              <w:spacing w:before="120"/>
              <w:ind w:left="107"/>
              <w:rPr>
                <w:b/>
                <w:sz w:val="20"/>
              </w:rPr>
            </w:pPr>
            <w:r>
              <w:rPr>
                <w:b/>
                <w:sz w:val="20"/>
              </w:rPr>
              <w:t>Cílová</w:t>
            </w:r>
            <w:r>
              <w:rPr>
                <w:b/>
                <w:spacing w:val="-5"/>
                <w:sz w:val="20"/>
              </w:rPr>
              <w:t> </w:t>
            </w:r>
            <w:r>
              <w:rPr>
                <w:b/>
                <w:spacing w:val="-2"/>
                <w:sz w:val="20"/>
              </w:rPr>
              <w:t>hodnota</w:t>
            </w:r>
          </w:p>
        </w:tc>
      </w:tr>
      <w:tr>
        <w:trPr>
          <w:trHeight w:val="532" w:hRule="atLeast"/>
        </w:trPr>
        <w:tc>
          <w:tcPr>
            <w:tcW w:w="3771" w:type="dxa"/>
          </w:tcPr>
          <w:p>
            <w:pPr>
              <w:pStyle w:val="TableParagraph"/>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6"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88" w:type="dxa"/>
          </w:tcPr>
          <w:p>
            <w:pPr>
              <w:pStyle w:val="TableParagraph"/>
              <w:spacing w:before="120"/>
              <w:ind w:left="388"/>
              <w:rPr>
                <w:sz w:val="20"/>
              </w:rPr>
            </w:pPr>
            <w:r>
              <w:rPr>
                <w:spacing w:val="-5"/>
                <w:sz w:val="20"/>
              </w:rPr>
              <w:t>kWh</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27.66</w:t>
            </w:r>
          </w:p>
        </w:tc>
      </w:tr>
      <w:tr>
        <w:trPr>
          <w:trHeight w:val="506" w:hRule="atLeast"/>
        </w:trPr>
        <w:tc>
          <w:tcPr>
            <w:tcW w:w="3771"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8" w:type="dxa"/>
          </w:tcPr>
          <w:p>
            <w:pPr>
              <w:pStyle w:val="TableParagraph"/>
              <w:spacing w:before="120"/>
              <w:ind w:left="388"/>
              <w:rPr>
                <w:sz w:val="20"/>
              </w:rPr>
            </w:pPr>
            <w:r>
              <w:rPr>
                <w:spacing w:val="-5"/>
                <w:sz w:val="20"/>
              </w:rPr>
              <w:t>kWp</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36.19</w:t>
            </w:r>
          </w:p>
        </w:tc>
      </w:tr>
      <w:tr>
        <w:trPr>
          <w:trHeight w:val="505" w:hRule="atLeast"/>
        </w:trPr>
        <w:tc>
          <w:tcPr>
            <w:tcW w:w="3771"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8" w:type="dxa"/>
          </w:tcPr>
          <w:p>
            <w:pPr>
              <w:pStyle w:val="TableParagraph"/>
              <w:spacing w:before="120"/>
              <w:ind w:left="0" w:right="420"/>
              <w:jc w:val="right"/>
              <w:rPr>
                <w:sz w:val="20"/>
              </w:rPr>
            </w:pPr>
            <w:r>
              <w:rPr>
                <w:sz w:val="20"/>
              </w:rPr>
              <w:t>t</w:t>
            </w:r>
            <w:r>
              <w:rPr>
                <w:spacing w:val="-2"/>
                <w:sz w:val="20"/>
              </w:rPr>
              <w:t> CO2/rok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27.50</w:t>
            </w:r>
          </w:p>
        </w:tc>
      </w:tr>
      <w:tr>
        <w:trPr>
          <w:trHeight w:val="532" w:hRule="atLeast"/>
        </w:trPr>
        <w:tc>
          <w:tcPr>
            <w:tcW w:w="3771" w:type="dxa"/>
          </w:tcPr>
          <w:p>
            <w:pPr>
              <w:pStyle w:val="TableParagraph"/>
              <w:spacing w:line="266" w:lineRule="exact"/>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83.15</w:t>
            </w:r>
          </w:p>
        </w:tc>
      </w:tr>
      <w:tr>
        <w:trPr>
          <w:trHeight w:val="506" w:hRule="atLeast"/>
        </w:trPr>
        <w:tc>
          <w:tcPr>
            <w:tcW w:w="3771"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33.66</w:t>
            </w:r>
          </w:p>
        </w:tc>
      </w:tr>
    </w:tbl>
    <w:p>
      <w:pPr>
        <w:pStyle w:val="BodyText"/>
        <w:spacing w:before="3"/>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19"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w:t>
      </w:r>
      <w:r>
        <w:rPr>
          <w:spacing w:val="27"/>
          <w:sz w:val="20"/>
        </w:rPr>
        <w:t> </w:t>
      </w:r>
      <w:r>
        <w:rPr>
          <w:sz w:val="20"/>
        </w:rPr>
        <w:t>termín</w:t>
      </w:r>
      <w:r>
        <w:rPr>
          <w:spacing w:val="27"/>
          <w:sz w:val="20"/>
        </w:rPr>
        <w:t> </w:t>
      </w:r>
      <w:r>
        <w:rPr>
          <w:sz w:val="20"/>
        </w:rPr>
        <w:t>ukončení</w:t>
      </w:r>
      <w:r>
        <w:rPr>
          <w:spacing w:val="27"/>
          <w:sz w:val="20"/>
        </w:rPr>
        <w:t> </w:t>
      </w:r>
      <w:r>
        <w:rPr>
          <w:sz w:val="20"/>
        </w:rPr>
        <w:t>akce</w:t>
      </w:r>
      <w:r>
        <w:rPr>
          <w:spacing w:val="26"/>
          <w:sz w:val="20"/>
        </w:rPr>
        <w:t> </w:t>
      </w:r>
      <w:r>
        <w:rPr>
          <w:sz w:val="20"/>
        </w:rPr>
        <w:t>se</w:t>
      </w:r>
      <w:r>
        <w:rPr>
          <w:spacing w:val="26"/>
          <w:sz w:val="20"/>
        </w:rPr>
        <w:t> </w:t>
      </w:r>
      <w:r>
        <w:rPr>
          <w:sz w:val="20"/>
        </w:rPr>
        <w:t>považuje</w:t>
      </w:r>
      <w:r>
        <w:rPr>
          <w:spacing w:val="26"/>
          <w:sz w:val="20"/>
        </w:rPr>
        <w:t> </w:t>
      </w:r>
      <w:r>
        <w:rPr>
          <w:sz w:val="20"/>
        </w:rPr>
        <w:t>datum</w:t>
      </w:r>
      <w:r>
        <w:rPr>
          <w:spacing w:val="28"/>
          <w:sz w:val="20"/>
        </w:rPr>
        <w:t> </w:t>
      </w:r>
      <w:r>
        <w:rPr>
          <w:sz w:val="20"/>
        </w:rPr>
        <w:t>vydání</w:t>
      </w:r>
      <w:r>
        <w:rPr>
          <w:spacing w:val="29"/>
          <w:sz w:val="20"/>
        </w:rPr>
        <w:t> </w:t>
      </w:r>
      <w:r>
        <w:rPr>
          <w:sz w:val="20"/>
        </w:rPr>
        <w:t>Kolaudačního</w:t>
      </w:r>
      <w:r>
        <w:rPr>
          <w:spacing w:val="30"/>
          <w:sz w:val="20"/>
        </w:rPr>
        <w:t> </w:t>
      </w:r>
      <w:r>
        <w:rPr>
          <w:sz w:val="20"/>
        </w:rPr>
        <w:t>souhlasu,</w:t>
      </w:r>
      <w:r>
        <w:rPr>
          <w:spacing w:val="27"/>
          <w:sz w:val="20"/>
        </w:rPr>
        <w:t> </w:t>
      </w:r>
      <w:r>
        <w:rPr>
          <w:sz w:val="20"/>
        </w:rPr>
        <w:t>oznámení</w:t>
      </w:r>
      <w:r>
        <w:rPr>
          <w:spacing w:val="27"/>
          <w:sz w:val="20"/>
        </w:rPr>
        <w:t> </w:t>
      </w:r>
      <w:r>
        <w:rPr>
          <w:sz w:val="20"/>
        </w:rPr>
        <w:t>o</w:t>
      </w:r>
      <w:r>
        <w:rPr>
          <w:spacing w:val="28"/>
          <w:sz w:val="20"/>
        </w:rPr>
        <w:t> </w:t>
      </w:r>
      <w:r>
        <w:rPr>
          <w:sz w:val="20"/>
        </w:rPr>
        <w:t>užívání</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line="276" w:lineRule="auto" w:before="99"/>
        <w:ind w:left="745" w:right="112"/>
        <w:jc w:val="both"/>
      </w:pPr>
      <w:r>
        <w:rPr/>
        <w:t>podle příslušných ustanovení zákona č. 183/2006 Sb., o územním plánování a stavebním řádu (stavební</w:t>
      </w:r>
      <w:r>
        <w:rPr>
          <w:spacing w:val="-10"/>
        </w:rPr>
        <w:t> </w:t>
      </w:r>
      <w:r>
        <w:rPr/>
        <w:t>zákon),</w:t>
      </w:r>
      <w:r>
        <w:rPr>
          <w:spacing w:val="-10"/>
        </w:rPr>
        <w:t> </w:t>
      </w:r>
      <w:r>
        <w:rPr/>
        <w:t>ve</w:t>
      </w:r>
      <w:r>
        <w:rPr>
          <w:spacing w:val="-11"/>
        </w:rPr>
        <w:t> </w:t>
      </w:r>
      <w:r>
        <w:rPr/>
        <w:t>znění</w:t>
      </w:r>
      <w:r>
        <w:rPr>
          <w:spacing w:val="-9"/>
        </w:rPr>
        <w:t> </w:t>
      </w:r>
      <w:r>
        <w:rPr/>
        <w:t>pozdějších</w:t>
      </w:r>
      <w:r>
        <w:rPr>
          <w:spacing w:val="-10"/>
        </w:rPr>
        <w:t> </w:t>
      </w:r>
      <w:r>
        <w:rPr/>
        <w:t>předpisů,</w:t>
      </w:r>
      <w:r>
        <w:rPr>
          <w:spacing w:val="-8"/>
        </w:rPr>
        <w:t> </w:t>
      </w:r>
      <w:r>
        <w:rPr/>
        <w:t>nebo</w:t>
      </w:r>
      <w:r>
        <w:rPr>
          <w:spacing w:val="-9"/>
        </w:rPr>
        <w:t> </w:t>
      </w:r>
      <w:r>
        <w:rPr/>
        <w:t>termín</w:t>
      </w:r>
      <w:r>
        <w:rPr>
          <w:spacing w:val="-11"/>
        </w:rPr>
        <w:t> </w:t>
      </w:r>
      <w:r>
        <w:rPr/>
        <w:t>schválení</w:t>
      </w:r>
      <w:r>
        <w:rPr>
          <w:spacing w:val="-10"/>
        </w:rPr>
        <w:t> </w:t>
      </w:r>
      <w:r>
        <w:rPr/>
        <w:t>protokolu</w:t>
      </w:r>
      <w:r>
        <w:rPr>
          <w:spacing w:val="-8"/>
        </w:rPr>
        <w:t> </w:t>
      </w:r>
      <w:r>
        <w:rPr/>
        <w:t>o</w:t>
      </w:r>
      <w:r>
        <w:rPr>
          <w:spacing w:val="-8"/>
        </w:rPr>
        <w:t> </w:t>
      </w:r>
      <w:r>
        <w:rPr/>
        <w:t>předání</w:t>
      </w:r>
      <w:r>
        <w:rPr>
          <w:spacing w:val="-8"/>
        </w:rPr>
        <w:t> </w:t>
      </w:r>
      <w:r>
        <w:rPr/>
        <w:t>a</w:t>
      </w:r>
      <w:r>
        <w:rPr>
          <w:spacing w:val="-11"/>
        </w:rPr>
        <w:t> </w:t>
      </w:r>
      <w:r>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19" w:after="0"/>
        <w:ind w:left="745" w:right="108" w:hanging="360"/>
        <w:jc w:val="both"/>
        <w:rPr>
          <w:sz w:val="20"/>
        </w:rPr>
      </w:pPr>
      <w:r>
        <w:rPr>
          <w:sz w:val="20"/>
        </w:rPr>
        <w:t>předloží Fondu současně s žádostí o platbu nejpozději do 3 měsíců od termínu podle písmene e) podklady k ZVA podle čl. čl. 14.4 Výzvy.</w:t>
      </w:r>
    </w:p>
    <w:p>
      <w:pPr>
        <w:pStyle w:val="ListParagraph"/>
        <w:numPr>
          <w:ilvl w:val="1"/>
          <w:numId w:val="4"/>
        </w:numPr>
        <w:tabs>
          <w:tab w:pos="746" w:val="left" w:leader="none"/>
        </w:tabs>
        <w:spacing w:line="240" w:lineRule="auto" w:before="121"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0"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5"/>
        </w:rPr>
        <w:t> </w:t>
      </w:r>
      <w:r>
        <w:rPr/>
        <w:t>stavění</w:t>
      </w:r>
      <w:r>
        <w:rPr>
          <w:spacing w:val="-6"/>
        </w:rPr>
        <w:t> </w:t>
      </w:r>
      <w:r>
        <w:rPr/>
        <w:t>běhu</w:t>
      </w:r>
      <w:r>
        <w:rPr>
          <w:spacing w:val="-4"/>
        </w:rPr>
        <w:t> </w:t>
      </w:r>
      <w:r>
        <w:rPr/>
        <w:t>lhůty</w:t>
      </w:r>
      <w:r>
        <w:rPr>
          <w:spacing w:val="-6"/>
        </w:rPr>
        <w:t> </w:t>
      </w:r>
      <w:r>
        <w:rPr/>
        <w:t>došlo</w:t>
      </w:r>
      <w:r>
        <w:rPr>
          <w:spacing w:val="-4"/>
        </w:rPr>
        <w:t> </w:t>
      </w:r>
      <w:r>
        <w:rPr/>
        <w:t>k</w:t>
      </w:r>
      <w:r>
        <w:rPr>
          <w:spacing w:val="-5"/>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20" w:after="0"/>
        <w:ind w:left="745" w:right="0" w:hanging="361"/>
        <w:jc w:val="both"/>
        <w:rPr>
          <w:sz w:val="20"/>
        </w:rPr>
      </w:pPr>
      <w:r>
        <w:rPr>
          <w:sz w:val="20"/>
        </w:rPr>
        <w:t>příjemce</w:t>
      </w:r>
      <w:r>
        <w:rPr>
          <w:spacing w:val="10"/>
          <w:sz w:val="20"/>
        </w:rPr>
        <w:t> </w:t>
      </w:r>
      <w:r>
        <w:rPr>
          <w:sz w:val="20"/>
        </w:rPr>
        <w:t>podpory</w:t>
      </w:r>
      <w:r>
        <w:rPr>
          <w:spacing w:val="12"/>
          <w:sz w:val="20"/>
        </w:rPr>
        <w:t> </w:t>
      </w:r>
      <w:r>
        <w:rPr>
          <w:sz w:val="20"/>
        </w:rPr>
        <w:t>ponechá</w:t>
      </w:r>
      <w:r>
        <w:rPr>
          <w:spacing w:val="12"/>
          <w:sz w:val="20"/>
        </w:rPr>
        <w:t> </w:t>
      </w:r>
      <w:r>
        <w:rPr>
          <w:sz w:val="20"/>
        </w:rPr>
        <w:t>předmět</w:t>
      </w:r>
      <w:r>
        <w:rPr>
          <w:spacing w:val="12"/>
          <w:sz w:val="20"/>
        </w:rPr>
        <w:t> </w:t>
      </w:r>
      <w:r>
        <w:rPr>
          <w:sz w:val="20"/>
        </w:rPr>
        <w:t>podpory</w:t>
      </w:r>
      <w:r>
        <w:rPr>
          <w:spacing w:val="11"/>
          <w:sz w:val="20"/>
        </w:rPr>
        <w:t> </w:t>
      </w:r>
      <w:r>
        <w:rPr>
          <w:sz w:val="20"/>
        </w:rPr>
        <w:t>ve</w:t>
      </w:r>
      <w:r>
        <w:rPr>
          <w:spacing w:val="11"/>
          <w:sz w:val="20"/>
        </w:rPr>
        <w:t> </w:t>
      </w:r>
      <w:r>
        <w:rPr>
          <w:sz w:val="20"/>
        </w:rPr>
        <w:t>svém</w:t>
      </w:r>
      <w:r>
        <w:rPr>
          <w:spacing w:val="13"/>
          <w:sz w:val="20"/>
        </w:rPr>
        <w:t> </w:t>
      </w:r>
      <w:r>
        <w:rPr>
          <w:sz w:val="20"/>
        </w:rPr>
        <w:t>vlastnictví</w:t>
      </w:r>
      <w:r>
        <w:rPr>
          <w:spacing w:val="11"/>
          <w:sz w:val="20"/>
        </w:rPr>
        <w:t> </w:t>
      </w:r>
      <w:r>
        <w:rPr>
          <w:sz w:val="20"/>
        </w:rPr>
        <w:t>alespoň</w:t>
      </w:r>
      <w:r>
        <w:rPr>
          <w:spacing w:val="12"/>
          <w:sz w:val="20"/>
        </w:rPr>
        <w:t> </w:t>
      </w:r>
      <w:r>
        <w:rPr>
          <w:sz w:val="20"/>
        </w:rPr>
        <w:t>po</w:t>
      </w:r>
      <w:r>
        <w:rPr>
          <w:spacing w:val="12"/>
          <w:sz w:val="20"/>
        </w:rPr>
        <w:t> </w:t>
      </w:r>
      <w:r>
        <w:rPr>
          <w:sz w:val="20"/>
        </w:rPr>
        <w:t>dobu</w:t>
      </w:r>
      <w:r>
        <w:rPr>
          <w:spacing w:val="18"/>
          <w:sz w:val="20"/>
        </w:rPr>
        <w:t> </w:t>
      </w:r>
      <w:r>
        <w:rPr>
          <w:sz w:val="20"/>
        </w:rPr>
        <w:t>udržitelnosti</w:t>
      </w:r>
      <w:r>
        <w:rPr>
          <w:spacing w:val="13"/>
          <w:sz w:val="20"/>
        </w:rPr>
        <w:t> </w:t>
      </w:r>
      <w:r>
        <w:rPr>
          <w:spacing w:val="-10"/>
          <w:sz w:val="20"/>
        </w:rPr>
        <w:t>–</w:t>
      </w:r>
    </w:p>
    <w:p>
      <w:pPr>
        <w:pStyle w:val="BodyText"/>
        <w:spacing w:before="1"/>
        <w:ind w:left="745"/>
        <w:jc w:val="both"/>
      </w:pPr>
      <w:r>
        <w:rPr/>
        <w:t>podle</w:t>
      </w:r>
      <w:r>
        <w:rPr>
          <w:spacing w:val="-7"/>
        </w:rPr>
        <w:t> </w:t>
      </w:r>
      <w:r>
        <w:rPr/>
        <w:t>písmene</w:t>
      </w:r>
      <w:r>
        <w:rPr>
          <w:spacing w:val="-6"/>
        </w:rPr>
        <w:t> </w:t>
      </w:r>
      <w:r>
        <w:rPr>
          <w:spacing w:val="-5"/>
        </w:rPr>
        <w:t>i),</w:t>
      </w:r>
    </w:p>
    <w:p>
      <w:pPr>
        <w:pStyle w:val="ListParagraph"/>
        <w:numPr>
          <w:ilvl w:val="1"/>
          <w:numId w:val="4"/>
        </w:numPr>
        <w:tabs>
          <w:tab w:pos="746" w:val="left" w:leader="none"/>
        </w:tabs>
        <w:spacing w:line="240" w:lineRule="auto" w:before="120"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3"/>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2"/>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spacing w:before="0"/>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2"/>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1"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0"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both"/>
        <w:rPr>
          <w:sz w:val="20"/>
        </w:rPr>
      </w:pPr>
      <w:r>
        <w:rPr>
          <w:sz w:val="20"/>
        </w:rPr>
        <w:t>naplnění</w:t>
      </w:r>
      <w:r>
        <w:rPr>
          <w:spacing w:val="-6"/>
          <w:sz w:val="20"/>
        </w:rPr>
        <w:t> </w:t>
      </w:r>
      <w:r>
        <w:rPr>
          <w:sz w:val="20"/>
        </w:rPr>
        <w:t>do</w:t>
      </w:r>
      <w:r>
        <w:rPr>
          <w:spacing w:val="-4"/>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8"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1" w:after="0"/>
        <w:ind w:left="385" w:right="0" w:hanging="284"/>
        <w:jc w:val="both"/>
        <w:rPr>
          <w:sz w:val="20"/>
        </w:rPr>
      </w:pPr>
      <w:r>
        <w:rPr>
          <w:sz w:val="20"/>
        </w:rPr>
        <w:t>Porušení 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pPr>
    </w:p>
    <w:p>
      <w:pPr>
        <w:pStyle w:val="Heading1"/>
        <w:spacing w:line="265" w:lineRule="exact" w:before="1"/>
      </w:pPr>
      <w:r>
        <w:rPr>
          <w:spacing w:val="-5"/>
        </w:rPr>
        <w:t>VI.</w:t>
      </w:r>
    </w:p>
    <w:p>
      <w:pPr>
        <w:pStyle w:val="Heading2"/>
        <w:spacing w:line="265" w:lineRule="exact"/>
        <w:ind w:right="105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65" w:lineRule="exact" w:before="121"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line="265" w:lineRule="exac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65" w:lineRule="exact" w:before="121"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line="265" w:lineRule="exact"/>
        <w:ind w:left="385"/>
      </w:pPr>
      <w:r>
        <w:rPr>
          <w:spacing w:val="-2"/>
        </w:rPr>
        <w:t>Smlouvou.</w:t>
      </w:r>
    </w:p>
    <w:p>
      <w:pPr>
        <w:pStyle w:val="ListParagraph"/>
        <w:numPr>
          <w:ilvl w:val="0"/>
          <w:numId w:val="6"/>
        </w:numPr>
        <w:tabs>
          <w:tab w:pos="386" w:val="left" w:leader="none"/>
        </w:tabs>
        <w:spacing w:line="240" w:lineRule="auto" w:before="121"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21" w:hanging="284"/>
        <w:jc w:val="left"/>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9"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rPr>
          <w:sz w:val="26"/>
        </w:rPr>
      </w:pPr>
    </w:p>
    <w:p>
      <w:pPr>
        <w:pStyle w:val="BodyText"/>
        <w:spacing w:before="13"/>
        <w:rPr>
          <w:sz w:val="21"/>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rPr>
          <w:sz w:val="26"/>
        </w:rPr>
      </w:pPr>
    </w:p>
    <w:p>
      <w:pPr>
        <w:pStyle w:val="BodyText"/>
        <w:spacing w:before="13"/>
        <w:rPr>
          <w:sz w:val="31"/>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3"/>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9"/>
          <w:sz w:val="20"/>
        </w:rPr>
        <w:t> </w:t>
      </w:r>
      <w:r>
        <w:rPr>
          <w:sz w:val="20"/>
        </w:rPr>
        <w:t>pro</w:t>
      </w:r>
      <w:r>
        <w:rPr>
          <w:spacing w:val="-8"/>
          <w:sz w:val="20"/>
        </w:rPr>
        <w:t> </w:t>
      </w:r>
      <w:r>
        <w:rPr>
          <w:sz w:val="20"/>
        </w:rPr>
        <w:t>programy</w:t>
      </w:r>
      <w:r>
        <w:rPr>
          <w:spacing w:val="-9"/>
          <w:sz w:val="20"/>
        </w:rPr>
        <w:t> </w:t>
      </w:r>
      <w:r>
        <w:rPr>
          <w:sz w:val="20"/>
        </w:rPr>
        <w:t>spolufinancované</w:t>
      </w:r>
      <w:r>
        <w:rPr>
          <w:spacing w:val="-9"/>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5"/>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3"/>
                <w:sz w:val="20"/>
              </w:rPr>
              <w:t> </w:t>
            </w:r>
            <w:r>
              <w:rPr>
                <w:sz w:val="20"/>
              </w:rPr>
              <w:t>pokud</w:t>
            </w:r>
            <w:r>
              <w:rPr>
                <w:spacing w:val="-4"/>
                <w:sz w:val="20"/>
              </w:rPr>
              <w:t> </w:t>
            </w:r>
            <w:r>
              <w:rPr>
                <w:sz w:val="20"/>
              </w:rPr>
              <w:t>se</w:t>
            </w:r>
            <w:r>
              <w:rPr>
                <w:spacing w:val="-5"/>
                <w:sz w:val="20"/>
              </w:rPr>
              <w:t> </w:t>
            </w:r>
            <w:r>
              <w:rPr>
                <w:sz w:val="20"/>
              </w:rPr>
              <w:t>na</w:t>
            </w:r>
            <w:r>
              <w:rPr>
                <w:spacing w:val="-4"/>
                <w:sz w:val="20"/>
              </w:rPr>
              <w:t> bid-</w:t>
            </w:r>
          </w:p>
          <w:p>
            <w:pPr>
              <w:pStyle w:val="TableParagraph"/>
              <w:spacing w:line="265" w:lineRule="exact" w:before="1"/>
              <w:ind w:left="103"/>
              <w:rPr>
                <w:sz w:val="20"/>
              </w:rPr>
            </w:pPr>
            <w:r>
              <w:rPr>
                <w:sz w:val="20"/>
              </w:rPr>
              <w:t>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7984"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17984">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spacing w:before="99"/>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2023-12-01T11:06:29Z</dcterms:created>
  <dcterms:modified xsi:type="dcterms:W3CDTF">2023-12-01T11:06:29Z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2023-11-29T00:00:00Z</vt:filetime>
  </property>
  <property fmtid="{D5CDD505-2E9C-101B-9397-08002B2CF9AE}" pid="3" name="Creator">
    <vt:lpwstr>Microsoft® Word pro Microsoft 365</vt:lpwstr>
  </property>
  <property fmtid="{D5CDD505-2E9C-101B-9397-08002B2CF9AE}" pid="4" name="LastSaved">
    <vt:filetime>2023-12-01T00:00:00Z</vt:filetime>
  </property>
</Properties>
</file>