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312" w:right="366" w:bottom="1312" w:left="1301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6576" w:h="1114" w:wrap="none" w:vAnchor="text" w:hAnchor="page" w:x="2545" w:y="21"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center"/>
      </w:pPr>
      <w:r>
        <w:rPr>
          <w:rStyle w:val="CharStyle7"/>
          <w:b/>
          <w:bCs/>
        </w:rPr>
        <w:t>Dodatek č. 1</w:t>
      </w:r>
    </w:p>
    <w:p>
      <w:pPr>
        <w:pStyle w:val="Style6"/>
        <w:keepNext w:val="0"/>
        <w:keepLines w:val="0"/>
        <w:framePr w:w="6576" w:h="1114" w:wrap="none" w:vAnchor="text" w:hAnchor="page" w:x="2545" w:y="21"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center"/>
      </w:pPr>
      <w:r>
        <w:rPr>
          <w:rStyle w:val="CharStyle7"/>
          <w:b/>
          <w:bCs/>
        </w:rPr>
        <w:t>k rámcové smlouvě o dílo ze dne 5. 4. 2023 / dále jen „dodatek“ /</w:t>
        <w:br/>
      </w:r>
      <w:r>
        <w:rPr>
          <w:rStyle w:val="CharStyle7"/>
        </w:rPr>
        <w:t>uzavřené mezi</w:t>
      </w:r>
    </w:p>
    <w:tbl>
      <w:tblPr>
        <w:tblOverlap w:val="never"/>
        <w:jc w:val="left"/>
        <w:tblLayout w:type="fixed"/>
      </w:tblPr>
      <w:tblGrid>
        <w:gridCol w:w="3134"/>
        <w:gridCol w:w="5731"/>
      </w:tblGrid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  <w:b/>
                <w:bCs/>
              </w:rPr>
              <w:t>Zdravotnická záchranná služba Jihomoravského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  <w:b/>
                <w:bCs/>
              </w:rPr>
              <w:t>kraje, příspěvková organizace</w:t>
            </w:r>
          </w:p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</w:rPr>
              <w:t>Kamenice 798/1 d, 625 00 Brno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  <w:spacing w:val="9"/>
                <w:shd w:val="clear" w:color="auto" w:fill="000000"/>
              </w:rPr>
              <w:t>......</w:t>
            </w:r>
            <w:r>
              <w:rPr>
                <w:rStyle w:val="CharStyle10"/>
                <w:shd w:val="clear" w:color="auto" w:fill="000000"/>
              </w:rPr>
              <w:t>​</w:t>
            </w:r>
            <w:r>
              <w:rPr>
                <w:rStyle w:val="CharStyle10"/>
                <w:spacing w:val="2"/>
                <w:shd w:val="clear" w:color="auto" w:fill="000000"/>
              </w:rPr>
              <w:t>.....</w:t>
            </w:r>
            <w:r>
              <w:rPr>
                <w:rStyle w:val="CharStyle10"/>
                <w:spacing w:val="3"/>
                <w:shd w:val="clear" w:color="auto" w:fill="000000"/>
              </w:rPr>
              <w:t>......</w:t>
            </w:r>
            <w:r>
              <w:rPr>
                <w:rStyle w:val="CharStyle10"/>
                <w:shd w:val="clear" w:color="auto" w:fill="000000"/>
              </w:rPr>
              <w:t>​.............</w:t>
            </w:r>
            <w:r>
              <w:rPr>
                <w:rStyle w:val="CharStyle10"/>
                <w:spacing w:val="1"/>
                <w:shd w:val="clear" w:color="auto" w:fill="000000"/>
              </w:rPr>
              <w:t>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8866" w:h="2506" w:vSpace="470" w:wrap="none" w:vAnchor="text" w:hAnchor="page" w:x="1369" w:y="13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  <w:spacing w:val="3"/>
                <w:shd w:val="clear" w:color="auto" w:fill="000000"/>
              </w:rPr>
              <w:t>..</w:t>
            </w:r>
            <w:r>
              <w:rPr>
                <w:rStyle w:val="CharStyle10"/>
                <w:spacing w:val="4"/>
                <w:shd w:val="clear" w:color="auto" w:fill="000000"/>
              </w:rPr>
              <w:t>.</w:t>
            </w:r>
            <w:r>
              <w:rPr>
                <w:rStyle w:val="CharStyle10"/>
                <w:shd w:val="clear" w:color="auto" w:fill="000000"/>
              </w:rPr>
              <w:t>​</w:t>
            </w:r>
            <w:r>
              <w:rPr>
                <w:rStyle w:val="CharStyle10"/>
                <w:spacing w:val="3"/>
                <w:shd w:val="clear" w:color="auto" w:fill="000000"/>
              </w:rPr>
              <w:t>..</w:t>
            </w:r>
            <w:r>
              <w:rPr>
                <w:rStyle w:val="CharStyle10"/>
                <w:spacing w:val="4"/>
                <w:shd w:val="clear" w:color="auto" w:fill="000000"/>
              </w:rPr>
              <w:t>......</w:t>
            </w:r>
            <w:r>
              <w:rPr>
                <w:rStyle w:val="CharStyle1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0"/>
                <w:spacing w:val="2"/>
                <w:u w:val="single"/>
                <w:shd w:val="clear" w:color="auto" w:fill="000000"/>
                <w:lang w:val="en-US" w:eastAsia="en-US" w:bidi="en-US"/>
              </w:rPr>
              <w:t>.....</w:t>
            </w:r>
            <w:r>
              <w:rPr>
                <w:rStyle w:val="CharStyle10"/>
                <w:spacing w:val="3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10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10"/>
                <w:spacing w:val="1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CharStyle1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0"/>
                <w:shd w:val="clear" w:color="auto" w:fill="000000"/>
              </w:rPr>
              <w:t>​</w:t>
            </w:r>
            <w:r>
              <w:rPr>
                <w:rStyle w:val="CharStyle10"/>
                <w:spacing w:val="8"/>
                <w:shd w:val="clear" w:color="auto" w:fill="000000"/>
              </w:rPr>
              <w:t>..</w:t>
            </w:r>
            <w:r>
              <w:rPr>
                <w:rStyle w:val="CharStyle10"/>
                <w:spacing w:val="9"/>
                <w:shd w:val="clear" w:color="auto" w:fill="000000"/>
              </w:rPr>
              <w:t>...</w:t>
            </w:r>
            <w:r>
              <w:rPr>
                <w:rStyle w:val="CharStyle10"/>
                <w:shd w:val="clear" w:color="auto" w:fill="000000"/>
              </w:rPr>
              <w:t>​</w:t>
            </w:r>
            <w:r>
              <w:rPr>
                <w:rStyle w:val="CharStyle10"/>
                <w:spacing w:val="8"/>
                <w:shd w:val="clear" w:color="auto" w:fill="000000"/>
              </w:rPr>
              <w:t>.</w:t>
            </w:r>
            <w:r>
              <w:rPr>
                <w:rStyle w:val="CharStyle10"/>
                <w:spacing w:val="9"/>
                <w:shd w:val="clear" w:color="auto" w:fill="000000"/>
              </w:rPr>
              <w:t>.....</w:t>
            </w:r>
            <w:r>
              <w:rPr>
                <w:rStyle w:val="CharStyle10"/>
                <w:shd w:val="clear" w:color="auto" w:fill="000000"/>
              </w:rPr>
              <w:t>​</w:t>
            </w:r>
            <w:r>
              <w:rPr>
                <w:rStyle w:val="CharStyle10"/>
                <w:spacing w:val="6"/>
                <w:shd w:val="clear" w:color="auto" w:fill="000000"/>
              </w:rPr>
              <w:t>....</w:t>
            </w:r>
            <w:r>
              <w:rPr>
                <w:rStyle w:val="CharStyle10"/>
                <w:spacing w:val="7"/>
                <w:shd w:val="clear" w:color="auto" w:fill="000000"/>
              </w:rPr>
              <w:t>..</w:t>
            </w:r>
            <w:r>
              <w:rPr>
                <w:rStyle w:val="CharStyle10"/>
                <w:shd w:val="clear" w:color="auto" w:fill="000000"/>
              </w:rPr>
              <w:t>​</w:t>
            </w:r>
            <w:r>
              <w:rPr>
                <w:rStyle w:val="CharStyle10"/>
                <w:spacing w:val="10"/>
                <w:shd w:val="clear" w:color="auto" w:fill="000000"/>
              </w:rPr>
              <w:t>..</w:t>
            </w:r>
            <w:r>
              <w:rPr>
                <w:rStyle w:val="CharStyle10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IČ:</w:t>
            </w:r>
          </w:p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</w:rPr>
              <w:t>00346292</w:t>
            </w:r>
          </w:p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</w:rPr>
              <w:t>CZ00346292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</w:rPr>
              <w:t>Krajský soud v Brně sp. zn. Pr 1245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8866" w:h="2506" w:vSpace="470" w:wrap="none" w:vAnchor="text" w:hAnchor="page" w:x="1369" w:y="13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0"/>
              </w:rPr>
              <w:t>MONETA Money Bank, a.s., č. ú. 117203514/0600</w:t>
            </w:r>
          </w:p>
        </w:tc>
      </w:tr>
    </w:tbl>
    <w:p>
      <w:pPr>
        <w:framePr w:w="8866" w:h="2506" w:vSpace="470" w:wrap="none" w:vAnchor="text" w:hAnchor="page" w:x="1369" w:y="1311"/>
        <w:widowControl w:val="0"/>
        <w:spacing w:line="1" w:lineRule="exact"/>
      </w:pPr>
    </w:p>
    <w:p>
      <w:pPr>
        <w:pStyle w:val="Style26"/>
        <w:keepNext w:val="0"/>
        <w:keepLines w:val="0"/>
        <w:framePr w:w="2246" w:h="269" w:wrap="none" w:vAnchor="text" w:hAnchor="page" w:x="1374" w:y="40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7"/>
        </w:rPr>
        <w:t xml:space="preserve">(dále jen </w:t>
      </w:r>
      <w:r>
        <w:rPr>
          <w:rStyle w:val="CharStyle27"/>
          <w:i/>
          <w:iCs/>
        </w:rPr>
        <w:t>„objednatel)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Jméno: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Sídlo: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Jednající: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Kontaktní osoba: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IČ: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DIČ: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Zápis v OR: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7"/>
        </w:rPr>
        <w:t>Bankovní spojení (číslo účtu):</w:t>
      </w:r>
    </w:p>
    <w:p>
      <w:pPr>
        <w:pStyle w:val="Style6"/>
        <w:keepNext w:val="0"/>
        <w:keepLines w:val="0"/>
        <w:framePr w:w="2837" w:h="2467" w:wrap="none" w:vAnchor="text" w:hAnchor="page" w:x="1340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 xml:space="preserve">(dále jen </w:t>
      </w:r>
      <w:r>
        <w:rPr>
          <w:rStyle w:val="CharStyle7"/>
          <w:i/>
          <w:iCs/>
        </w:rPr>
        <w:t>„zhotovitel“)</w:t>
      </w:r>
    </w:p>
    <w:p>
      <w:pPr>
        <w:pStyle w:val="Style6"/>
        <w:keepNext w:val="0"/>
        <w:keepLines w:val="0"/>
        <w:framePr w:w="3682" w:h="1978" w:wrap="none" w:vAnchor="text" w:hAnchor="page" w:x="4762" w:y="502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  <w:b/>
          <w:bCs/>
        </w:rPr>
        <w:t>GLANZO s.r.o.</w:t>
      </w:r>
    </w:p>
    <w:p>
      <w:pPr>
        <w:pStyle w:val="Style6"/>
        <w:keepNext w:val="0"/>
        <w:keepLines w:val="0"/>
        <w:framePr w:w="3682" w:h="1978" w:wrap="none" w:vAnchor="text" w:hAnchor="page" w:x="4762" w:y="502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Kurzova 2222/16, 155 00 Praha 5</w:t>
      </w:r>
    </w:p>
    <w:p>
      <w:pPr>
        <w:pStyle w:val="Style6"/>
        <w:keepNext w:val="0"/>
        <w:keepLines w:val="0"/>
        <w:framePr w:w="3682" w:h="1978" w:wrap="none" w:vAnchor="text" w:hAnchor="page" w:x="4762" w:y="502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Jan Dvořák - jednatel</w:t>
      </w:r>
    </w:p>
    <w:p>
      <w:pPr>
        <w:pStyle w:val="Style6"/>
        <w:keepNext w:val="0"/>
        <w:keepLines w:val="0"/>
        <w:framePr w:w="3682" w:h="1978" w:wrap="none" w:vAnchor="text" w:hAnchor="page" w:x="4762" w:y="502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  <w:spacing w:val="7"/>
          <w:shd w:val="clear" w:color="auto" w:fill="000000"/>
        </w:rPr>
        <w:t>......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1"/>
          <w:shd w:val="clear" w:color="auto" w:fill="000000"/>
        </w:rPr>
        <w:t>.....</w:t>
      </w:r>
      <w:r>
        <w:rPr>
          <w:rStyle w:val="CharStyle7"/>
          <w:spacing w:val="2"/>
          <w:shd w:val="clear" w:color="auto" w:fill="000000"/>
        </w:rPr>
        <w:t>......</w:t>
      </w:r>
    </w:p>
    <w:p>
      <w:pPr>
        <w:pStyle w:val="Style6"/>
        <w:keepNext w:val="0"/>
        <w:keepLines w:val="0"/>
        <w:framePr w:w="3682" w:h="1978" w:wrap="none" w:vAnchor="text" w:hAnchor="page" w:x="4762" w:y="502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09198679</w:t>
      </w:r>
    </w:p>
    <w:p>
      <w:pPr>
        <w:pStyle w:val="Style6"/>
        <w:keepNext w:val="0"/>
        <w:keepLines w:val="0"/>
        <w:framePr w:w="3682" w:h="1978" w:wrap="none" w:vAnchor="text" w:hAnchor="page" w:x="4762" w:y="502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CZ09198679</w:t>
      </w:r>
    </w:p>
    <w:p>
      <w:pPr>
        <w:pStyle w:val="Style6"/>
        <w:keepNext w:val="0"/>
        <w:keepLines w:val="0"/>
        <w:framePr w:w="3682" w:h="1978" w:wrap="none" w:vAnchor="text" w:hAnchor="page" w:x="4762" w:y="502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</w:rPr>
        <w:t>Městský soud v Praze, sp. zn. C 332431 111100098/5500</w:t>
      </w:r>
    </w:p>
    <w:p>
      <w:pPr>
        <w:pStyle w:val="Style34"/>
        <w:keepNext w:val="0"/>
        <w:keepLines w:val="0"/>
        <w:framePr w:w="2093" w:h="850" w:wrap="none" w:vAnchor="text" w:hAnchor="page" w:x="9442" w:y="66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5"/>
        </w:rPr>
        <w:t>Zdravotnická záchranná služba</w:t>
        <w:br/>
        <w:t>Jihomoravského kraje, o o.</w:t>
      </w:r>
    </w:p>
    <w:p>
      <w:pPr>
        <w:pStyle w:val="Style36"/>
        <w:keepNext/>
        <w:keepLines/>
        <w:framePr w:w="2093" w:h="850" w:wrap="none" w:vAnchor="text" w:hAnchor="page" w:x="9442" w:y="6663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bookmarkStart w:id="0" w:name="bookmark0"/>
      <w:r>
        <w:rPr>
          <w:rStyle w:val="CharStyle37"/>
          <w:i/>
          <w:iCs/>
        </w:rPr>
        <w:t>T/fa</w:t>
      </w:r>
      <w:bookmarkEnd w:id="0"/>
    </w:p>
    <w:p>
      <w:pPr>
        <w:pStyle w:val="Style38"/>
        <w:keepNext w:val="0"/>
        <w:keepLines w:val="0"/>
        <w:framePr w:w="1075" w:h="298" w:wrap="none" w:vAnchor="text" w:hAnchor="page" w:x="9927" w:y="75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9"/>
        </w:rPr>
        <w:t>3 0. ú. 2023</w:t>
      </w:r>
    </w:p>
    <w:p>
      <w:pPr>
        <w:pStyle w:val="Style6"/>
        <w:keepNext w:val="0"/>
        <w:keepLines w:val="0"/>
        <w:framePr w:w="6336" w:h="994" w:wrap="none" w:vAnchor="text" w:hAnchor="page" w:x="1335" w:y="8180"/>
        <w:widowControl w:val="0"/>
        <w:shd w:val="clear" w:color="auto" w:fill="auto"/>
        <w:bidi w:val="0"/>
        <w:spacing w:before="0" w:after="100" w:line="240" w:lineRule="auto"/>
        <w:ind w:left="4340" w:right="0" w:firstLine="0"/>
        <w:jc w:val="left"/>
      </w:pPr>
      <w:r>
        <w:rPr>
          <w:rStyle w:val="CharStyle7"/>
        </w:rPr>
        <w:t>1.</w:t>
      </w:r>
    </w:p>
    <w:p>
      <w:pPr>
        <w:pStyle w:val="Style6"/>
        <w:keepNext w:val="0"/>
        <w:keepLines w:val="0"/>
        <w:framePr w:w="6336" w:h="994" w:wrap="none" w:vAnchor="text" w:hAnchor="page" w:x="1335" w:y="818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7"/>
        </w:rPr>
        <w:t>Článek 2 smlouvy se mění a nadále zní takto:</w:t>
      </w:r>
    </w:p>
    <w:p>
      <w:pPr>
        <w:pStyle w:val="Style6"/>
        <w:keepNext w:val="0"/>
        <w:keepLines w:val="0"/>
        <w:framePr w:w="6336" w:h="994" w:wrap="none" w:vAnchor="text" w:hAnchor="page" w:x="1335" w:y="818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rStyle w:val="CharStyle7"/>
        </w:rPr>
        <w:t>Úklidem podle čl. 1 této smlouvy se pro účely této smlouvy rozumí:</w:t>
      </w:r>
    </w:p>
    <w:p>
      <w:pPr>
        <w:pStyle w:val="Style34"/>
        <w:keepNext w:val="0"/>
        <w:keepLines w:val="0"/>
        <w:framePr w:w="1258" w:h="326" w:wrap="none" w:vAnchor="text" w:hAnchor="page" w:x="9423" w:y="8459"/>
        <w:widowControl w:val="0"/>
        <w:shd w:val="clear" w:color="auto" w:fill="auto"/>
        <w:bidi w:val="0"/>
        <w:spacing w:before="8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rStyle w:val="CharStyle35"/>
          <w:sz w:val="15"/>
          <w:szCs w:val="15"/>
          <w:u w:val="single"/>
        </w:rPr>
        <w:t>Počet</w:t>
      </w:r>
      <w:r>
        <w:rPr>
          <w:rStyle w:val="CharStyle35"/>
          <w:sz w:val="15"/>
          <w:szCs w:val="15"/>
        </w:rPr>
        <w:t xml:space="preserve"> listů</w:t>
      </w:r>
      <w:r>
        <w:rPr>
          <w:rStyle w:val="CharStyle35"/>
          <w:sz w:val="15"/>
          <w:szCs w:val="15"/>
          <w:u w:val="single"/>
        </w:rPr>
        <w:t>/přiloh:</w:t>
      </w:r>
    </w:p>
    <w:p>
      <w:pPr>
        <w:pStyle w:val="Style6"/>
        <w:keepNext w:val="0"/>
        <w:keepLines w:val="0"/>
        <w:framePr w:w="8242" w:h="2054" w:wrap="none" w:vAnchor="text" w:hAnchor="page" w:x="1311" w:y="9265"/>
        <w:widowControl w:val="0"/>
        <w:numPr>
          <w:ilvl w:val="0"/>
          <w:numId w:val="1"/>
        </w:numPr>
        <w:shd w:val="clear" w:color="auto" w:fill="auto"/>
        <w:tabs>
          <w:tab w:pos="939" w:val="left"/>
        </w:tabs>
        <w:bidi w:val="0"/>
        <w:spacing w:before="0" w:after="0" w:line="353" w:lineRule="auto"/>
        <w:ind w:left="0" w:right="0" w:firstLine="680"/>
        <w:jc w:val="both"/>
      </w:pPr>
      <w:r>
        <w:rPr>
          <w:rStyle w:val="CharStyle7"/>
        </w:rPr>
        <w:t>Denní úklid, čímž se rozumí provedení prací dle přílohy č. 1 - 2 této smlouvy,</w:t>
      </w:r>
    </w:p>
    <w:p>
      <w:pPr>
        <w:pStyle w:val="Style6"/>
        <w:keepNext w:val="0"/>
        <w:keepLines w:val="0"/>
        <w:framePr w:w="8242" w:h="2054" w:wrap="none" w:vAnchor="text" w:hAnchor="page" w:x="1311" w:y="9265"/>
        <w:widowControl w:val="0"/>
        <w:numPr>
          <w:ilvl w:val="0"/>
          <w:numId w:val="1"/>
        </w:numPr>
        <w:shd w:val="clear" w:color="auto" w:fill="auto"/>
        <w:tabs>
          <w:tab w:pos="946" w:val="left"/>
        </w:tabs>
        <w:bidi w:val="0"/>
        <w:spacing w:before="0" w:after="0" w:line="353" w:lineRule="auto"/>
        <w:ind w:left="0" w:right="0" w:firstLine="700"/>
        <w:jc w:val="left"/>
      </w:pPr>
      <w:r>
        <w:rPr>
          <w:rStyle w:val="CharStyle7"/>
        </w:rPr>
        <w:t xml:space="preserve">Týdenní úklid, čímž se rozumí provedení prací dle přílohy č. 1 této smlouvy, c) Měsíční úklid, čímž se rozumí </w:t>
      </w:r>
      <w:r>
        <w:rPr>
          <w:rStyle w:val="CharStyle7"/>
          <w:i/>
          <w:iCs/>
        </w:rPr>
        <w:t>provedeni prací dle přílohy č.</w:t>
      </w:r>
      <w:r>
        <w:rPr>
          <w:rStyle w:val="CharStyle7"/>
        </w:rPr>
        <w:t xml:space="preserve"> 1 této smlouvy, d) Půlroční úklid, čímž se rozumí provedení prací dle přílohy č. 1 této smlouvy, e) Nepravidelný úklid, čímž se rozumí mytí vozidel objednatele, a to na výzvu objednatele.</w:t>
      </w:r>
    </w:p>
    <w:p>
      <w:pPr>
        <w:pStyle w:val="Style6"/>
        <w:keepNext w:val="0"/>
        <w:keepLines w:val="0"/>
        <w:framePr w:w="211" w:h="250" w:wrap="none" w:vAnchor="text" w:hAnchor="page" w:x="5622" w:y="11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2.</w:t>
      </w:r>
    </w:p>
    <w:p>
      <w:pPr>
        <w:pStyle w:val="Style6"/>
        <w:keepNext w:val="0"/>
        <w:keepLines w:val="0"/>
        <w:framePr w:w="5131" w:h="274" w:wrap="none" w:vAnchor="text" w:hAnchor="page" w:x="1306" w:y="11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Za čl. 7 smlouvy se vkládá nový čl. 7a, který zní takto:</w:t>
      </w:r>
    </w:p>
    <w:p>
      <w:pPr>
        <w:pStyle w:val="Style6"/>
        <w:keepNext w:val="0"/>
        <w:keepLines w:val="0"/>
        <w:framePr w:w="8856" w:h="586" w:wrap="none" w:vAnchor="text" w:hAnchor="page" w:x="1302" w:y="12347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7"/>
        </w:rPr>
        <w:t>Objednatel se zavazuje platit zhotoviteli za dílo podle čl. 2e této smlouvy hodinovou sazbu 413,22 Kč bez DPH, tj. 500 Kč vč. DPH.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12" w:right="366" w:bottom="1312" w:left="1301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00" w:line="240" w:lineRule="auto"/>
        <w:ind w:left="434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0" w:right="0" w:firstLine="0"/>
        <w:jc w:val="left"/>
      </w:pPr>
      <w:r>
        <w:rPr>
          <w:rStyle w:val="CharStyle7"/>
        </w:rPr>
        <w:t>ČI. 8 smlouvy se mění a nadále zní takto: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62" w:lineRule="auto"/>
        <w:ind w:left="0" w:right="0" w:firstLine="0"/>
        <w:jc w:val="both"/>
      </w:pPr>
      <w:r>
        <w:rPr>
          <w:rStyle w:val="CharStyle7"/>
        </w:rPr>
        <w:t>Není-li dále ujednáno jinak, je součástí ceny díla podle čl. 7 a čl. 7a této smlouvy i náhrada veškerých nákladů, které zhotovitel vynaloží na splnění jeho závazků podle této smlouvy nebo v souvislosti s ním.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00"/>
        <w:ind w:left="434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rStyle w:val="CharStyle7"/>
        </w:rPr>
        <w:t>Čl. 9 smlouvy, první věta, se mění a nadále zní takto: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59" w:lineRule="auto"/>
        <w:ind w:left="0" w:right="0" w:firstLine="0"/>
        <w:jc w:val="both"/>
      </w:pPr>
      <w:r>
        <w:rPr>
          <w:rStyle w:val="CharStyle7"/>
        </w:rPr>
        <w:t>Cena díla podle čl. 7 a čl. 7a této smlouvy je splatná vždy po skončení příslušného kalendářního měsíce za celé dílo odvedené v tomto měsíci ve lhůtě do 30 dnů od předložení jejího písemného vyúčtování / faktury/daňového dokladu /.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00"/>
        <w:ind w:left="434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rStyle w:val="CharStyle7"/>
        </w:rPr>
        <w:t>V Příloze č. 1 smlouvy se přidává technická specifikace nepravidelného úklidu: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rStyle w:val="CharStyle7"/>
        </w:rPr>
        <w:t>Nepravidelný úklid (práce budou prováděny na výzvu objednatele):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rStyle w:val="CharStyle7"/>
        </w:rPr>
        <w:t>Čištění interiérů vozidel s prováděním dezinfekce (odvíjí se od potřeb objednatele). Z vozidla jsou vystěhovány všechny zdravotnické přístroje, nosítka, zdravotnický materiál i kyslíkové láhve. Čistí se a dezinfikují všechny vnitřní plochy jako stěny, poličky, přihrádky, strop, lehátko, sedadlo, podlaha. Součástí tohoto čištění je mytí kabiny řidiče sanitního vozidla a prosklených ploch.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00"/>
        <w:ind w:left="434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both"/>
      </w:pPr>
      <w:r>
        <w:rPr>
          <w:rStyle w:val="CharStyle7"/>
        </w:rPr>
        <w:t>Ostatní ujednání smlouvy nejsou tímto dodatkem nijak dotčena.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00"/>
        <w:ind w:left="434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left"/>
      </w:pPr>
      <w:r>
        <w:rPr>
          <w:rStyle w:val="CharStyle7"/>
        </w:rPr>
        <w:t>Tento dodatek nabývá platnosti a účinnosti dnem jeho uzavření.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00"/>
        <w:ind w:left="434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611" w:right="735" w:bottom="2395" w:left="1465" w:header="1183" w:footer="3" w:gutter="0"/>
          <w:cols w:space="720"/>
          <w:noEndnote/>
          <w:rtlGutter w:val="0"/>
          <w:docGrid w:linePitch="360"/>
        </w:sectPr>
      </w:pPr>
      <w:r>
        <w:rPr>
          <w:rStyle w:val="CharStyle7"/>
        </w:rPr>
        <w:t>Dáno v Brně dne 28. 11.2023 ve dvou originálních písemných vyhotoveních, z nichž každá ze smluvních stran obdrží po jednom.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1" w:right="0" w:bottom="107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framePr w:w="2587" w:h="763" w:wrap="none" w:vAnchor="text" w:hAnchor="page" w:x="1811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43"/>
          <w:color w:val="000000"/>
          <w:spacing w:val="1"/>
          <w:shd w:val="clear" w:color="auto" w:fill="000000"/>
        </w:rPr>
        <w:t>.............</w:t>
      </w:r>
      <w:r>
        <w:rPr>
          <w:rStyle w:val="CharStyle43"/>
          <w:color w:val="000000"/>
          <w:spacing w:val="2"/>
          <w:shd w:val="clear" w:color="auto" w:fill="000000"/>
        </w:rPr>
        <w:t>........</w:t>
      </w:r>
      <w:r>
        <w:rPr>
          <w:rStyle w:val="CharStyle43"/>
          <w:color w:val="000000"/>
          <w:shd w:val="clear" w:color="auto" w:fill="000000"/>
        </w:rPr>
        <w:t>​.......................</w:t>
      </w:r>
      <w:r>
        <w:rPr>
          <w:rStyle w:val="CharStyle43"/>
          <w:color w:val="000000"/>
          <w:spacing w:val="1"/>
          <w:shd w:val="clear" w:color="auto" w:fill="000000"/>
        </w:rPr>
        <w:t>....</w:t>
      </w:r>
      <w:r>
        <w:rPr>
          <w:rStyle w:val="CharStyle43"/>
        </w:rPr>
        <w:t xml:space="preserve"> </w:t>
      </w:r>
      <w:r>
        <w:rPr>
          <w:rStyle w:val="CharStyle43"/>
          <w:color w:val="000000"/>
          <w:shd w:val="clear" w:color="auto" w:fill="000000"/>
        </w:rPr>
        <w:t>​..................</w:t>
      </w:r>
      <w:r>
        <w:rPr>
          <w:rStyle w:val="CharStyle43"/>
          <w:color w:val="000000"/>
          <w:spacing w:val="1"/>
          <w:shd w:val="clear" w:color="auto" w:fill="000000"/>
        </w:rPr>
        <w:t>.........</w:t>
      </w:r>
      <w:r>
        <w:rPr>
          <w:rStyle w:val="CharStyle43"/>
          <w:color w:val="000000"/>
          <w:shd w:val="clear" w:color="auto" w:fill="000000"/>
        </w:rPr>
        <w:t>​</w:t>
      </w:r>
      <w:r>
        <w:rPr>
          <w:rStyle w:val="CharStyle43"/>
          <w:color w:val="000000"/>
          <w:spacing w:val="8"/>
          <w:shd w:val="clear" w:color="auto" w:fill="000000"/>
        </w:rPr>
        <w:t>.....</w:t>
      </w:r>
      <w:r>
        <w:rPr>
          <w:rStyle w:val="CharStyle43"/>
          <w:color w:val="000000"/>
          <w:spacing w:val="7"/>
          <w:shd w:val="clear" w:color="auto" w:fill="000000"/>
          <w:vertAlign w:val="subscript"/>
        </w:rPr>
        <w:t>.</w:t>
      </w:r>
      <w:r>
        <w:rPr>
          <w:rStyle w:val="CharStyle43"/>
          <w:color w:val="000000"/>
          <w:shd w:val="clear" w:color="auto" w:fill="000000"/>
        </w:rPr>
        <w:t>.​</w:t>
      </w:r>
      <w:r>
        <w:rPr>
          <w:rStyle w:val="CharStyle43"/>
          <w:color w:val="000000"/>
          <w:spacing w:val="5"/>
          <w:shd w:val="clear" w:color="auto" w:fill="000000"/>
        </w:rPr>
        <w:t>..</w:t>
      </w:r>
      <w:r>
        <w:rPr>
          <w:rStyle w:val="CharStyle43"/>
          <w:color w:val="000000"/>
          <w:shd w:val="clear" w:color="auto" w:fill="000000"/>
          <w:vertAlign w:val="subscript"/>
        </w:rPr>
        <w:t>​.</w:t>
      </w:r>
      <w:r>
        <w:rPr>
          <w:rStyle w:val="CharStyle43"/>
          <w:color w:val="000000"/>
          <w:spacing w:val="1"/>
          <w:shd w:val="clear" w:color="auto" w:fill="000000"/>
          <w:vertAlign w:val="subscript"/>
        </w:rPr>
        <w:t>.</w:t>
      </w:r>
      <w:r>
        <w:rPr>
          <w:rStyle w:val="CharStyle43"/>
          <w:vertAlign w:val="subscript"/>
        </w:rPr>
        <w:t xml:space="preserve"> </w:t>
      </w:r>
      <w:r>
        <w:rPr>
          <w:rStyle w:val="CharStyle43"/>
          <w:color w:val="000000"/>
          <w:shd w:val="clear" w:color="auto" w:fill="000000"/>
        </w:rPr>
        <w:t>​.................​</w:t>
      </w:r>
      <w:r>
        <w:rPr>
          <w:rStyle w:val="CharStyle43"/>
          <w:color w:val="000000"/>
          <w:spacing w:val="3"/>
          <w:shd w:val="clear" w:color="auto" w:fill="000000"/>
        </w:rPr>
        <w:t>..........</w:t>
      </w:r>
      <w:r>
        <w:rPr>
          <w:rStyle w:val="CharStyle43"/>
          <w:color w:val="000000"/>
          <w:spacing w:val="4"/>
          <w:shd w:val="clear" w:color="auto" w:fill="000000"/>
        </w:rPr>
        <w:t>.</w:t>
      </w:r>
      <w:r>
        <w:rPr>
          <w:rStyle w:val="CharStyle43"/>
          <w:color w:val="000000"/>
          <w:shd w:val="clear" w:color="auto" w:fill="000000"/>
        </w:rPr>
        <w:t>​</w:t>
      </w:r>
      <w:r>
        <w:rPr>
          <w:rStyle w:val="CharStyle43"/>
          <w:color w:val="000000"/>
          <w:spacing w:val="2"/>
          <w:shd w:val="clear" w:color="auto" w:fill="000000"/>
        </w:rPr>
        <w:t>...............</w:t>
      </w:r>
    </w:p>
    <w:p>
      <w:pPr>
        <w:pStyle w:val="Style52"/>
        <w:keepNext/>
        <w:keepLines/>
        <w:framePr w:w="1714" w:h="1219" w:wrap="none" w:vAnchor="text" w:hAnchor="page" w:x="6146" w:y="3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Style w:val="CharStyle53"/>
          <w:spacing w:val="22"/>
          <w:shd w:val="clear" w:color="auto" w:fill="000000"/>
        </w:rPr>
        <w:t>....</w:t>
      </w:r>
      <w:r>
        <w:rPr>
          <w:rStyle w:val="CharStyle53"/>
          <w:spacing w:val="23"/>
          <w:shd w:val="clear" w:color="auto" w:fill="000000"/>
        </w:rPr>
        <w:t>.</w:t>
      </w:r>
      <w:bookmarkStart w:id="2" w:name="bookmark2"/>
      <w:bookmarkEnd w:id="2"/>
    </w:p>
    <w:p>
      <w:pPr>
        <w:pStyle w:val="Style52"/>
        <w:keepNext/>
        <w:keepLines/>
        <w:framePr w:w="1714" w:h="1219" w:wrap="none" w:vAnchor="text" w:hAnchor="page" w:x="6146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3"/>
          <w:spacing w:val="5"/>
          <w:shd w:val="clear" w:color="auto" w:fill="000000"/>
        </w:rPr>
        <w:t>...........</w:t>
      </w:r>
    </w:p>
    <w:p>
      <w:pPr>
        <w:pStyle w:val="Style57"/>
        <w:keepNext w:val="0"/>
        <w:keepLines w:val="0"/>
        <w:framePr w:w="1651" w:h="1248" w:wrap="none" w:vAnchor="text" w:hAnchor="page" w:x="781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8"/>
          <w:spacing w:val="1"/>
          <w:shd w:val="clear" w:color="auto" w:fill="000000"/>
        </w:rPr>
        <w:t>.............</w:t>
      </w:r>
      <w:r>
        <w:rPr>
          <w:rStyle w:val="CharStyle58"/>
          <w:spacing w:val="2"/>
          <w:shd w:val="clear" w:color="auto" w:fill="000000"/>
        </w:rPr>
        <w:t>.....</w:t>
      </w:r>
      <w:r>
        <w:rPr>
          <w:rStyle w:val="CharStyle58"/>
        </w:rPr>
        <w:t xml:space="preserve"> </w:t>
      </w:r>
      <w:r>
        <w:rPr>
          <w:rStyle w:val="CharStyle58"/>
          <w:shd w:val="clear" w:color="auto" w:fill="000000"/>
        </w:rPr>
        <w:t>​</w:t>
      </w:r>
      <w:r>
        <w:rPr>
          <w:rStyle w:val="CharStyle58"/>
          <w:spacing w:val="3"/>
          <w:shd w:val="clear" w:color="auto" w:fill="000000"/>
        </w:rPr>
        <w:t>..................</w:t>
      </w:r>
      <w:r>
        <w:rPr>
          <w:rStyle w:val="CharStyle58"/>
        </w:rPr>
        <w:t xml:space="preserve"> </w:t>
      </w:r>
      <w:r>
        <w:rPr>
          <w:rStyle w:val="CharStyle58"/>
          <w:shd w:val="clear" w:color="auto" w:fill="000000"/>
        </w:rPr>
        <w:t>​</w:t>
      </w:r>
      <w:r>
        <w:rPr>
          <w:rStyle w:val="CharStyle58"/>
          <w:spacing w:val="9"/>
          <w:shd w:val="clear" w:color="auto" w:fill="000000"/>
        </w:rPr>
        <w:t>.......</w:t>
      </w:r>
      <w:r>
        <w:rPr>
          <w:rStyle w:val="CharStyle58"/>
          <w:shd w:val="clear" w:color="auto" w:fill="000000"/>
        </w:rPr>
        <w:t>​</w:t>
      </w:r>
      <w:r>
        <w:rPr>
          <w:rStyle w:val="CharStyle58"/>
          <w:spacing w:val="2"/>
          <w:shd w:val="clear" w:color="auto" w:fill="000000"/>
        </w:rPr>
        <w:t>..........</w:t>
      </w:r>
      <w:r>
        <w:rPr>
          <w:rStyle w:val="CharStyle58"/>
          <w:spacing w:val="3"/>
          <w:shd w:val="clear" w:color="auto" w:fill="000000"/>
        </w:rPr>
        <w:t>....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2341245</wp:posOffset>
            </wp:positionH>
            <wp:positionV relativeFrom="paragraph">
              <wp:posOffset>527050</wp:posOffset>
            </wp:positionV>
            <wp:extent cx="182880" cy="7302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82880" cy="730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1685925</wp:posOffset>
            </wp:positionH>
            <wp:positionV relativeFrom="paragraph">
              <wp:posOffset>795655</wp:posOffset>
            </wp:positionV>
            <wp:extent cx="835025" cy="27432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35025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11" w:right="735" w:bottom="1079" w:left="14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317500</wp:posOffset>
                </wp:positionV>
                <wp:extent cx="862330" cy="16129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3.30000000000001pt;margin-top:25.pt;width:67.900000000000006pt;height:12.7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za zhotovitele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7"/>
        </w:rPr>
        <w:t>MUDr. Hana Albrechtová</w:t>
        <w:br/>
        <w:t>ředitelka</w:t>
        <w:br/>
        <w:t>za objednatele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11" w:right="4234" w:bottom="1611" w:left="148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9876790</wp:posOffset>
              </wp:positionV>
              <wp:extent cx="2691130" cy="1339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9113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20-23. Úklid VZ Tišnov, Ivančice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6.950000000000003pt;margin-top:777.70000000000005pt;width:211.90000000000001pt;height:10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20-23. Úklid VZ Tišnov, Ivančice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975995</wp:posOffset>
              </wp:positionH>
              <wp:positionV relativeFrom="page">
                <wp:posOffset>9944735</wp:posOffset>
              </wp:positionV>
              <wp:extent cx="2688590" cy="14033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8859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3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20-23. Úklid VZ Tišnov, Ivančice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6.850000000000009pt;margin-top:783.05000000000007pt;width:211.70000000000002pt;height:11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20-23. Úklid VZ Tišnov, Ivančice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5528945</wp:posOffset>
              </wp:positionH>
              <wp:positionV relativeFrom="page">
                <wp:posOffset>690245</wp:posOffset>
              </wp:positionV>
              <wp:extent cx="55753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75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3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2023009095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5.35000000000002pt;margin-top:54.350000000000001pt;width:43.899999999999999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3"/>
                        <w:rFonts w:ascii="Arial" w:eastAsia="Arial" w:hAnsi="Arial" w:cs="Arial"/>
                        <w:sz w:val="14"/>
                        <w:szCs w:val="14"/>
                      </w:rPr>
                      <w:t>2023009095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5">
    <w:name w:val="Základní text (3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color w:val="97AFC7"/>
      <w:sz w:val="14"/>
      <w:szCs w:val="14"/>
      <w:u w:val="none"/>
    </w:rPr>
  </w:style>
  <w:style w:type="character" w:customStyle="1" w:styleId="CharStyle37">
    <w:name w:val="Nadpis #2_"/>
    <w:basedOn w:val="DefaultParagraphFont"/>
    <w:link w:val="Style36"/>
    <w:rPr>
      <w:rFonts w:ascii="Arial" w:eastAsia="Arial" w:hAnsi="Arial" w:cs="Arial"/>
      <w:b w:val="0"/>
      <w:bCs w:val="0"/>
      <w:i/>
      <w:iCs/>
      <w:smallCaps w:val="0"/>
      <w:strike w:val="0"/>
      <w:color w:val="655E94"/>
      <w:sz w:val="40"/>
      <w:szCs w:val="40"/>
      <w:u w:val="none"/>
    </w:rPr>
  </w:style>
  <w:style w:type="character" w:customStyle="1" w:styleId="CharStyle39">
    <w:name w:val="Základní text (5)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AFC7"/>
      <w:sz w:val="22"/>
      <w:szCs w:val="22"/>
      <w:u w:val="none"/>
    </w:rPr>
  </w:style>
  <w:style w:type="character" w:customStyle="1" w:styleId="CharStyle43">
    <w:name w:val="Základní text (2)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428FDA"/>
      <w:sz w:val="18"/>
      <w:szCs w:val="18"/>
      <w:u w:val="none"/>
    </w:rPr>
  </w:style>
  <w:style w:type="character" w:customStyle="1" w:styleId="CharStyle53">
    <w:name w:val="Nadpis #1_"/>
    <w:basedOn w:val="DefaultParagraphFont"/>
    <w:link w:val="Style52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58">
    <w:name w:val="Základní text (4)_"/>
    <w:basedOn w:val="DefaultParagraphFont"/>
    <w:link w:val="Style5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34">
    <w:name w:val="Základní text (3)"/>
    <w:basedOn w:val="Normal"/>
    <w:link w:val="CharStyle35"/>
    <w:pPr>
      <w:widowControl w:val="0"/>
      <w:shd w:val="clear" w:color="auto" w:fill="auto"/>
      <w:spacing w:before="40" w:line="33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7AFC7"/>
      <w:sz w:val="14"/>
      <w:szCs w:val="14"/>
      <w:u w:val="none"/>
    </w:rPr>
  </w:style>
  <w:style w:type="paragraph" w:customStyle="1" w:styleId="Style36">
    <w:name w:val="Nadpis #2"/>
    <w:basedOn w:val="Normal"/>
    <w:link w:val="CharStyle37"/>
    <w:pPr>
      <w:widowControl w:val="0"/>
      <w:shd w:val="clear" w:color="auto" w:fill="auto"/>
      <w:spacing w:line="180" w:lineRule="auto"/>
      <w:jc w:val="right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655E94"/>
      <w:sz w:val="40"/>
      <w:szCs w:val="40"/>
      <w:u w:val="none"/>
    </w:rPr>
  </w:style>
  <w:style w:type="paragraph" w:customStyle="1" w:styleId="Style38">
    <w:name w:val="Základní text (5)"/>
    <w:basedOn w:val="Normal"/>
    <w:link w:val="CharStyle39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AFC7"/>
      <w:sz w:val="22"/>
      <w:szCs w:val="22"/>
      <w:u w:val="none"/>
    </w:rPr>
  </w:style>
  <w:style w:type="paragraph" w:customStyle="1" w:styleId="Style42">
    <w:name w:val="Základní text (2)"/>
    <w:basedOn w:val="Normal"/>
    <w:link w:val="CharStyle4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8FDA"/>
      <w:sz w:val="18"/>
      <w:szCs w:val="18"/>
      <w:u w:val="none"/>
    </w:rPr>
  </w:style>
  <w:style w:type="paragraph" w:customStyle="1" w:styleId="Style52">
    <w:name w:val="Nadpis #1"/>
    <w:basedOn w:val="Normal"/>
    <w:link w:val="CharStyle53"/>
    <w:pPr>
      <w:widowControl w:val="0"/>
      <w:shd w:val="clear" w:color="auto" w:fill="auto"/>
      <w:spacing w:after="3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Style57">
    <w:name w:val="Základní text (4)"/>
    <w:basedOn w:val="Normal"/>
    <w:link w:val="CharStyle58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/Relationships>
</file>