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4" w:rsidRDefault="00FA3DBB">
      <w:pPr>
        <w:pStyle w:val="Nadpis10"/>
        <w:keepNext/>
        <w:keepLines/>
        <w:shd w:val="clear" w:color="auto" w:fill="auto"/>
        <w:spacing w:after="460"/>
      </w:pPr>
      <w:bookmarkStart w:id="0" w:name="bookmark0"/>
      <w:bookmarkStart w:id="1" w:name="bookmark1"/>
      <w:r>
        <w:t>SMLOUVA O POSKYTNUTÍ ČÁSTI VÝTĚŽKU VEŘEJNÉ</w:t>
      </w:r>
      <w:r>
        <w:br/>
        <w:t>SBÍRKY</w:t>
      </w:r>
      <w:bookmarkEnd w:id="0"/>
      <w:bookmarkEnd w:id="1"/>
    </w:p>
    <w:p w:rsidR="00314924" w:rsidRDefault="00FA3DBB">
      <w:pPr>
        <w:pStyle w:val="Zkladntext1"/>
        <w:shd w:val="clear" w:color="auto" w:fill="auto"/>
        <w:spacing w:after="220" w:line="259" w:lineRule="auto"/>
      </w:pPr>
      <w:r>
        <w:t xml:space="preserve">uzavřená podle ustanovení § 1746 odst. 2 z. </w:t>
      </w:r>
      <w:proofErr w:type="gramStart"/>
      <w:r>
        <w:t>č.</w:t>
      </w:r>
      <w:proofErr w:type="gramEnd"/>
      <w:r>
        <w:t xml:space="preserve"> 89/2012 </w:t>
      </w:r>
      <w:proofErr w:type="spellStart"/>
      <w:r>
        <w:t>Sb</w:t>
      </w:r>
      <w:proofErr w:type="spellEnd"/>
      <w:r>
        <w:t>„ občanského zákoníku</w:t>
      </w:r>
    </w:p>
    <w:p w:rsidR="00314924" w:rsidRDefault="00FA3DBB">
      <w:pPr>
        <w:pStyle w:val="Zkladntext1"/>
        <w:shd w:val="clear" w:color="auto" w:fill="auto"/>
        <w:spacing w:after="460" w:line="259" w:lineRule="auto"/>
      </w:pPr>
      <w:r>
        <w:t xml:space="preserve">(dále jen </w:t>
      </w:r>
      <w:r>
        <w:rPr>
          <w:b/>
          <w:bCs/>
        </w:rPr>
        <w:t>„smlouva")</w:t>
      </w:r>
    </w:p>
    <w:p w:rsidR="00314924" w:rsidRDefault="00FA3DBB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na základě které společnost</w:t>
      </w:r>
      <w:bookmarkEnd w:id="2"/>
      <w:bookmarkEnd w:id="3"/>
    </w:p>
    <w:p w:rsidR="00314924" w:rsidRPr="007D1016" w:rsidRDefault="00FA3DBB">
      <w:pPr>
        <w:pStyle w:val="Zkladntext1"/>
        <w:shd w:val="clear" w:color="auto" w:fill="auto"/>
        <w:spacing w:after="220" w:line="259" w:lineRule="auto"/>
      </w:pPr>
      <w:proofErr w:type="spellStart"/>
      <w:r>
        <w:rPr>
          <w:b/>
          <w:bCs/>
        </w:rPr>
        <w:t>Donio</w:t>
      </w:r>
      <w:proofErr w:type="spellEnd"/>
      <w:r>
        <w:rPr>
          <w:b/>
          <w:bCs/>
        </w:rPr>
        <w:t xml:space="preserve"> s.r.o., </w:t>
      </w:r>
      <w:r>
        <w:t xml:space="preserve">IČO: 084 13 371, se sídlem Světová 523/1, Libeň, 180 00 Praha 8, zapsaná v obchodním rejstříku vedeném Městským soudem v Praze, oddíl C, vložka 317514, zastoupená </w:t>
      </w:r>
      <w:r w:rsidRPr="007D1016">
        <w:t>XXXX</w:t>
      </w:r>
    </w:p>
    <w:p w:rsidR="00314924" w:rsidRPr="007D1016" w:rsidRDefault="00FA3DBB">
      <w:pPr>
        <w:pStyle w:val="Zkladntext1"/>
        <w:shd w:val="clear" w:color="auto" w:fill="auto"/>
        <w:spacing w:after="460" w:line="259" w:lineRule="auto"/>
      </w:pPr>
      <w:r w:rsidRPr="007D1016">
        <w:t xml:space="preserve">(dále jen </w:t>
      </w:r>
      <w:r w:rsidRPr="007D1016">
        <w:rPr>
          <w:b/>
          <w:bCs/>
        </w:rPr>
        <w:t>„pořadatel")</w:t>
      </w:r>
    </w:p>
    <w:p w:rsidR="00314924" w:rsidRPr="007D1016" w:rsidRDefault="00FA3DBB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 w:rsidRPr="007D1016">
        <w:t>s potěšením poskytuje</w:t>
      </w:r>
      <w:bookmarkEnd w:id="4"/>
      <w:bookmarkEnd w:id="5"/>
    </w:p>
    <w:p w:rsidR="00314924" w:rsidRPr="007D1016" w:rsidRDefault="00FA3DBB">
      <w:pPr>
        <w:pStyle w:val="Zkladntext1"/>
        <w:shd w:val="clear" w:color="auto" w:fill="auto"/>
        <w:spacing w:after="220" w:line="259" w:lineRule="auto"/>
      </w:pPr>
      <w:r w:rsidRPr="007D1016">
        <w:t>Nemocnice Nové Město na Moravě, příspěvková organizace, IČO: 00842001, se sídlem Žďárská 610„ 592 31, Nové Město na Moravě, Česko, kterou zastupuje XXXX</w:t>
      </w:r>
    </w:p>
    <w:p w:rsidR="00314924" w:rsidRDefault="00FA3DBB">
      <w:pPr>
        <w:pStyle w:val="Zkladntext1"/>
        <w:shd w:val="clear" w:color="auto" w:fill="auto"/>
        <w:spacing w:after="460" w:line="259" w:lineRule="auto"/>
      </w:pPr>
      <w:r w:rsidRPr="007D1016">
        <w:t xml:space="preserve">(dále jen </w:t>
      </w:r>
      <w:r w:rsidRPr="007D1016">
        <w:rPr>
          <w:b/>
          <w:bCs/>
        </w:rPr>
        <w:t>„příjemce")</w:t>
      </w:r>
    </w:p>
    <w:p w:rsidR="00314924" w:rsidRDefault="00FA3DBB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část čistého výtěžku veřejné sbírky ve výši</w:t>
      </w:r>
      <w:bookmarkEnd w:id="6"/>
      <w:bookmarkEnd w:id="7"/>
    </w:p>
    <w:p w:rsidR="00314924" w:rsidRDefault="00FA3DBB">
      <w:pPr>
        <w:pStyle w:val="Nadpis10"/>
        <w:keepNext/>
        <w:keepLines/>
        <w:shd w:val="clear" w:color="auto" w:fill="auto"/>
        <w:spacing w:after="720"/>
      </w:pPr>
      <w:bookmarkStart w:id="8" w:name="bookmark8"/>
      <w:bookmarkStart w:id="9" w:name="bookmark9"/>
      <w:r>
        <w:t>130 600 Kč</w:t>
      </w:r>
      <w:bookmarkEnd w:id="8"/>
      <w:bookmarkEnd w:id="9"/>
    </w:p>
    <w:p w:rsidR="00314924" w:rsidRDefault="00FA3DBB">
      <w:pPr>
        <w:pStyle w:val="Nadpis20"/>
        <w:keepNext/>
        <w:keepLines/>
        <w:shd w:val="clear" w:color="auto" w:fill="auto"/>
        <w:spacing w:after="400"/>
        <w:jc w:val="left"/>
      </w:pPr>
      <w:bookmarkStart w:id="10" w:name="bookmark10"/>
      <w:bookmarkStart w:id="11" w:name="bookmark11"/>
      <w:r>
        <w:t>VZHLEDEM K TOMU, ŽE:</w:t>
      </w:r>
      <w:bookmarkEnd w:id="10"/>
      <w:bookmarkEnd w:id="11"/>
    </w:p>
    <w:p w:rsidR="00314924" w:rsidRDefault="00FA3DBB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140" w:line="262" w:lineRule="auto"/>
        <w:ind w:left="580" w:hanging="280"/>
      </w:pPr>
      <w:r>
        <w:t xml:space="preserve">Pořadatel počínaje dnem 27. 2. 2020 pořádá veřejnou sbírku pod označením „pomoc </w:t>
      </w:r>
      <w:r>
        <w:rPr>
          <w:i/>
          <w:iCs/>
        </w:rPr>
        <w:t>lidem v těžké situaci a podpora právnických osob"</w:t>
      </w:r>
      <w:r>
        <w:t xml:space="preserve"> na základě osvědčení vydaného Magistrátem hlavního města Prahy dne 27. 2. 2020 (dále jen </w:t>
      </w:r>
      <w:r>
        <w:rPr>
          <w:b/>
          <w:bCs/>
        </w:rPr>
        <w:t>„veřejná sbírka").</w:t>
      </w:r>
    </w:p>
    <w:p w:rsidR="00314924" w:rsidRDefault="00FA3DBB">
      <w:pPr>
        <w:pStyle w:val="Zkladntext1"/>
        <w:numPr>
          <w:ilvl w:val="0"/>
          <w:numId w:val="1"/>
        </w:numPr>
        <w:shd w:val="clear" w:color="auto" w:fill="auto"/>
        <w:tabs>
          <w:tab w:val="left" w:pos="682"/>
        </w:tabs>
        <w:spacing w:after="460" w:line="262" w:lineRule="auto"/>
        <w:ind w:left="580" w:hanging="280"/>
      </w:pPr>
      <w:r>
        <w:t xml:space="preserve">Pořadatel si přeje převést část čistého výtěžku veřejné sbírky ve výši 130 600 Kč (dále jen </w:t>
      </w:r>
      <w:r>
        <w:rPr>
          <w:b/>
          <w:bCs/>
        </w:rPr>
        <w:t xml:space="preserve">„část výtěžku") </w:t>
      </w:r>
      <w:r>
        <w:t xml:space="preserve">do vlastnictví příjemce, aby jej tento použil k pořízení rehabilitačního stroje </w:t>
      </w:r>
      <w:proofErr w:type="spellStart"/>
      <w:r>
        <w:t>Kinetec</w:t>
      </w:r>
      <w:proofErr w:type="spellEnd"/>
      <w:r>
        <w:t xml:space="preserve"> </w:t>
      </w:r>
      <w:proofErr w:type="spellStart"/>
      <w:r>
        <w:t>Kinevia</w:t>
      </w:r>
      <w:proofErr w:type="spellEnd"/>
      <w:r>
        <w:t xml:space="preserve"> Duo, případně dalších pomůcek (dále jen </w:t>
      </w:r>
      <w:r>
        <w:rPr>
          <w:b/>
          <w:bCs/>
        </w:rPr>
        <w:t>„stanovený účel")</w:t>
      </w:r>
      <w:r>
        <w:br w:type="page"/>
      </w:r>
    </w:p>
    <w:p w:rsidR="00314924" w:rsidRDefault="00FA3DBB">
      <w:pPr>
        <w:pStyle w:val="Nadpis20"/>
        <w:keepNext/>
        <w:keepLines/>
        <w:shd w:val="clear" w:color="auto" w:fill="auto"/>
        <w:spacing w:after="360"/>
        <w:jc w:val="left"/>
      </w:pPr>
      <w:bookmarkStart w:id="12" w:name="bookmark12"/>
      <w:bookmarkStart w:id="13" w:name="bookmark13"/>
      <w:r>
        <w:lastRenderedPageBreak/>
        <w:t>BYLO DOHODNUTO NÁSLEDUJÍCÍ:</w:t>
      </w:r>
      <w:bookmarkEnd w:id="12"/>
      <w:bookmarkEnd w:id="13"/>
    </w:p>
    <w:p w:rsidR="00314924" w:rsidRDefault="00FA3DBB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jc w:val="both"/>
      </w:pPr>
      <w:bookmarkStart w:id="14" w:name="bookmark14"/>
      <w:bookmarkStart w:id="15" w:name="bookmark15"/>
      <w:r>
        <w:t>Převod vlastnického práva</w:t>
      </w:r>
      <w:bookmarkEnd w:id="14"/>
      <w:bookmarkEnd w:id="15"/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39"/>
        </w:tabs>
        <w:spacing w:after="60"/>
        <w:ind w:left="420" w:hanging="420"/>
        <w:jc w:val="both"/>
      </w:pPr>
      <w:r>
        <w:t>Pořadatel tímto převádí na příjemce vlastnické právo k části výtěžku. Příjemce tímto část výtěžku od pořadatele přijímá.</w:t>
      </w:r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48"/>
        </w:tabs>
        <w:ind w:left="420" w:hanging="420"/>
        <w:jc w:val="both"/>
      </w:pPr>
      <w:r>
        <w:t xml:space="preserve">Část výtěžku bude příjemci převedena na bankovní účet č. </w:t>
      </w:r>
      <w:r w:rsidRPr="007D1016">
        <w:t>XXXX</w:t>
      </w:r>
      <w:r>
        <w:t>, který vede Komerční banka nejpozději do 14 dnů ode dne uzavření této smlouvy, nebo bude vyplacena přímo na účet dodavatele oproti faktuře.</w:t>
      </w:r>
    </w:p>
    <w:p w:rsidR="00314924" w:rsidRDefault="00FA3DBB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jc w:val="both"/>
      </w:pPr>
      <w:bookmarkStart w:id="16" w:name="bookmark16"/>
      <w:bookmarkStart w:id="17" w:name="bookmark17"/>
      <w:r>
        <w:t>Použití části výtěžku a součinnost příjemce</w:t>
      </w:r>
      <w:bookmarkEnd w:id="16"/>
      <w:bookmarkEnd w:id="17"/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48"/>
        </w:tabs>
        <w:spacing w:after="60"/>
        <w:ind w:left="420" w:hanging="420"/>
        <w:jc w:val="both"/>
      </w:pPr>
      <w:r>
        <w:t>Příjemce se zavazuje použít část výtěžku v souladu s právními předpisy, a to výlučně ke stanovenému účelu a k účelu veřejné sbírky ve smyslu § 23 odst. 4 zákona o veřejných sbírkách. Příjemce se zavazuje alespoň po dobu pěti (5) let uschovat veškerou potřebnou dokumentaci k prokázání, zda a jakým způsobem využil část výtěžku.</w:t>
      </w:r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58"/>
        </w:tabs>
        <w:spacing w:after="0" w:line="233" w:lineRule="auto"/>
        <w:jc w:val="both"/>
      </w:pPr>
      <w:r>
        <w:t>Plnění povinností uvedených v článku 2.1 příjemce bezodkladně prokáže:</w:t>
      </w:r>
    </w:p>
    <w:p w:rsidR="00314924" w:rsidRDefault="00FA3DBB">
      <w:pPr>
        <w:pStyle w:val="Zkladntext1"/>
        <w:numPr>
          <w:ilvl w:val="0"/>
          <w:numId w:val="3"/>
        </w:numPr>
        <w:shd w:val="clear" w:color="auto" w:fill="auto"/>
        <w:tabs>
          <w:tab w:val="left" w:pos="840"/>
        </w:tabs>
        <w:spacing w:after="0" w:line="233" w:lineRule="auto"/>
        <w:ind w:firstLine="420"/>
        <w:jc w:val="both"/>
      </w:pPr>
      <w:r>
        <w:t>pořadateli, a to kdykoliv o to pořadatel požádá; a</w:t>
      </w:r>
    </w:p>
    <w:p w:rsidR="00314924" w:rsidRDefault="00FA3DBB">
      <w:pPr>
        <w:pStyle w:val="Zkladntext1"/>
        <w:numPr>
          <w:ilvl w:val="0"/>
          <w:numId w:val="3"/>
        </w:numPr>
        <w:shd w:val="clear" w:color="auto" w:fill="auto"/>
        <w:tabs>
          <w:tab w:val="left" w:pos="868"/>
        </w:tabs>
        <w:spacing w:after="60" w:line="233" w:lineRule="auto"/>
        <w:ind w:left="420" w:firstLine="20"/>
        <w:jc w:val="both"/>
      </w:pPr>
      <w:r>
        <w:t>Magistrátu hlavního města Prahy v souladu s § 24 odst. 5 zákona o veřejných sbírkách.</w:t>
      </w:r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63"/>
        </w:tabs>
        <w:spacing w:after="60"/>
        <w:ind w:left="420" w:hanging="420"/>
        <w:jc w:val="both"/>
      </w:pPr>
      <w:r>
        <w:t>Příjemce poskytne pořadateli součinnost při plnění povinností souvisejících s veřejnou sbírkou vyplývajících ze zákona o veřejných sbírkách a souvisejících právních předpisů.</w:t>
      </w:r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72"/>
        </w:tabs>
        <w:spacing w:after="60"/>
        <w:ind w:left="420" w:hanging="420"/>
        <w:jc w:val="both"/>
      </w:pPr>
      <w:r>
        <w:t>V případě porušení kterékoliv povinnosti příjemce uvedené v článku 2.1, 2.2 a 2.3 se příjemce zavazuje bezodkladně vrátit část výtěžku pořadateli, a to nejpozději do pěti (5) dnů ode dne, kdy jej pořadatel vyzve k vrácení části výtěžku.</w:t>
      </w:r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72"/>
        </w:tabs>
        <w:ind w:left="420" w:hanging="420"/>
        <w:jc w:val="both"/>
      </w:pPr>
      <w:r>
        <w:t>Příjemce se dále zavazuje pořadateli nahradit veškerou újmu, která pořadateli vznikne v souvislosti s porušením povinností příjemce uvedených v článku 2.1, 2.2 a 2.3 a dalších zákonných povinností příjemce v souvislosti s poskytnutím části výtěžku, a to zejména nikoliv však výlučně, v důsledku sankčních opatření uložených pořadateli Magistrátem hlavního města Prahy.</w:t>
      </w:r>
    </w:p>
    <w:p w:rsidR="00314924" w:rsidRDefault="00FA3DBB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jc w:val="both"/>
      </w:pPr>
      <w:bookmarkStart w:id="18" w:name="bookmark18"/>
      <w:bookmarkStart w:id="19" w:name="bookmark19"/>
      <w:r>
        <w:t>Závěrečná ustanovení</w:t>
      </w:r>
      <w:bookmarkEnd w:id="18"/>
      <w:bookmarkEnd w:id="19"/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48"/>
        </w:tabs>
        <w:spacing w:after="60"/>
        <w:ind w:left="420" w:hanging="420"/>
        <w:jc w:val="both"/>
      </w:pPr>
      <w:r>
        <w:t xml:space="preserve">Tato smlouva byla uzavřena v souladu s českým právem a řídí se platnými právními předpisy České republiky. Na smlouvu se přiměřeně uplatní právní úprava darování upravená v § 2055 a násl. z. </w:t>
      </w:r>
      <w:proofErr w:type="gramStart"/>
      <w:r>
        <w:t>č.</w:t>
      </w:r>
      <w:proofErr w:type="gramEnd"/>
      <w:r>
        <w:t xml:space="preserve"> 89/2012 Sb., občanského zákoníku.</w:t>
      </w:r>
    </w:p>
    <w:p w:rsidR="00314924" w:rsidRDefault="00FA3DBB">
      <w:pPr>
        <w:pStyle w:val="Zkladntext1"/>
        <w:numPr>
          <w:ilvl w:val="1"/>
          <w:numId w:val="2"/>
        </w:numPr>
        <w:shd w:val="clear" w:color="auto" w:fill="auto"/>
        <w:tabs>
          <w:tab w:val="left" w:pos="463"/>
        </w:tabs>
        <w:spacing w:after="280" w:line="233" w:lineRule="auto"/>
        <w:ind w:left="420" w:hanging="420"/>
        <w:jc w:val="both"/>
      </w:pPr>
      <w:r>
        <w:t>Tato Smlouva byla vyhotovena a podepsána ve dvou (2) stejnopisech v českém jazyce. Pořadatel a příjemce obdrží každý po jednom (1) vyhotovení.</w:t>
      </w:r>
    </w:p>
    <w:p w:rsidR="00314924" w:rsidRDefault="00FA3DBB">
      <w:pPr>
        <w:pStyle w:val="Nadpis30"/>
        <w:keepNext/>
        <w:keepLines/>
        <w:shd w:val="clear" w:color="auto" w:fill="auto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177800</wp:posOffset>
                </wp:positionV>
                <wp:extent cx="569341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4924" w:rsidRDefault="00FA3DB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pravou a svobodnou vůli, na důkaz čehož připojují níže své podpisy.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25pt;margin-top:14.pt;width:448.30000000000001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pravou a svobodnou vůli, na důkaz čehož připojují níže své podpisy.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317500</wp:posOffset>
                </wp:positionV>
                <wp:extent cx="5693410" cy="2374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4924" w:rsidRDefault="00FA3DBB">
                            <w:pPr>
                              <w:pStyle w:val="Titulekobrzku0"/>
                              <w:shd w:val="clear" w:color="auto" w:fill="auto"/>
                              <w:ind w:left="6400"/>
                              <w:jc w:val="right"/>
                            </w:pPr>
                            <w:r w:rsidRPr="007D1016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72.25pt;margin-top:25pt;width:448.3pt;height:18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" filled="f" stroked="f">
                <v:textbox inset="0,0,0,0">
                  <w:txbxContent>
                    <w:p w:rsidR="00314924" w:rsidRDefault="00FA3DBB">
                      <w:pPr>
                        <w:pStyle w:val="Titulekobrzku0"/>
                        <w:shd w:val="clear" w:color="auto" w:fill="auto"/>
                        <w:ind w:left="6400"/>
                        <w:jc w:val="right"/>
                      </w:pPr>
                      <w:r w:rsidRPr="007D1016"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536575</wp:posOffset>
                </wp:positionV>
                <wp:extent cx="1374775" cy="2832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4924" w:rsidRDefault="00FA3DBB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underscore" w:pos="926"/>
                              </w:tabs>
                              <w:spacing w:line="18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7D1016"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left:0;text-align:left;margin-left:392.9pt;margin-top:42.25pt;width:108.25pt;height:22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" filled="f" stroked="f">
                <v:textbox inset="0,0,0,0">
                  <w:txbxContent>
                    <w:p w:rsidR="00314924" w:rsidRDefault="00FA3DBB">
                      <w:pPr>
                        <w:pStyle w:val="Titulekobrzku0"/>
                        <w:shd w:val="clear" w:color="auto" w:fill="auto"/>
                        <w:tabs>
                          <w:tab w:val="left" w:leader="underscore" w:pos="926"/>
                        </w:tabs>
                        <w:spacing w:line="180" w:lineRule="auto"/>
                        <w:ind w:left="0"/>
                        <w:rPr>
                          <w:sz w:val="26"/>
                          <w:szCs w:val="26"/>
                        </w:rPr>
                      </w:pPr>
                      <w:r w:rsidRPr="007D1016"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0" w:name="bookmark20"/>
      <w:bookmarkStart w:id="21" w:name="bookmark21"/>
      <w:r>
        <w:t>Pořadatel a příjemce tímto výslovně prohlašují, že tato smlouva vyjadřuje jejich</w:t>
      </w:r>
      <w:bookmarkEnd w:id="20"/>
      <w:bookmarkEnd w:id="21"/>
    </w:p>
    <w:p w:rsidR="00314924" w:rsidRDefault="00FA3DBB">
      <w:pPr>
        <w:pStyle w:val="Zkladntext30"/>
        <w:shd w:val="clear" w:color="auto" w:fill="auto"/>
        <w:spacing w:after="0"/>
        <w:ind w:left="1200"/>
        <w:jc w:val="left"/>
      </w:pPr>
      <w:r w:rsidRPr="007D1016">
        <w:t>XXXX</w:t>
      </w:r>
    </w:p>
    <w:p w:rsidR="00FA3DBB" w:rsidRDefault="00FA3DBB" w:rsidP="00FA3DBB">
      <w:pPr>
        <w:pStyle w:val="Zkladntext30"/>
        <w:shd w:val="clear" w:color="auto" w:fill="auto"/>
        <w:spacing w:after="0"/>
        <w:ind w:left="0"/>
        <w:jc w:val="left"/>
      </w:pPr>
    </w:p>
    <w:p w:rsidR="00314924" w:rsidRDefault="00FA3DBB">
      <w:pPr>
        <w:pStyle w:val="Zkladntext30"/>
        <w:pBdr>
          <w:top w:val="single" w:sz="4" w:space="0" w:color="auto"/>
        </w:pBdr>
        <w:shd w:val="clear" w:color="auto" w:fill="auto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7219534C" wp14:editId="509D8D49">
                <wp:simplePos x="0" y="0"/>
                <wp:positionH relativeFrom="page">
                  <wp:posOffset>923925</wp:posOffset>
                </wp:positionH>
                <wp:positionV relativeFrom="paragraph">
                  <wp:posOffset>342900</wp:posOffset>
                </wp:positionV>
                <wp:extent cx="1630680" cy="51816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DBB" w:rsidRDefault="00FA3DB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 w:rsidRPr="007D1016">
                              <w:t>XXXX</w:t>
                            </w:r>
                            <w:r>
                              <w:t xml:space="preserve"> </w:t>
                            </w:r>
                          </w:p>
                          <w:p w:rsidR="00314924" w:rsidRDefault="00FA3DB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Dne 17. 10. 2023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left:0;text-align:left;margin-left:72.75pt;margin-top:27pt;width:128.4pt;height:40.8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" filled="f" stroked="f">
                <v:textbox inset="0,0,0,0">
                  <w:txbxContent>
                    <w:p w:rsidR="00FA3DBB" w:rsidRDefault="00FA3DBB">
                      <w:pPr>
                        <w:pStyle w:val="Zkladntext1"/>
                        <w:shd w:val="clear" w:color="auto" w:fill="auto"/>
                        <w:spacing w:after="0"/>
                      </w:pPr>
                      <w:r w:rsidRPr="007D1016">
                        <w:t>XXXX</w:t>
                      </w:r>
                      <w:r>
                        <w:t xml:space="preserve"> </w:t>
                      </w:r>
                    </w:p>
                    <w:p w:rsidR="00314924" w:rsidRDefault="00FA3DB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Dne 17. 10. 2023 v Praze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D1016">
        <w:t>XXXX</w:t>
      </w:r>
    </w:p>
    <w:p w:rsidR="00FA3DBB" w:rsidRDefault="00FA3DBB">
      <w:pPr>
        <w:pStyle w:val="Zkladntext30"/>
        <w:pBdr>
          <w:top w:val="single" w:sz="4" w:space="0" w:color="auto"/>
        </w:pBdr>
        <w:shd w:val="clear" w:color="auto" w:fill="auto"/>
        <w:ind w:left="0"/>
      </w:pPr>
    </w:p>
    <w:p w:rsidR="00314924" w:rsidRDefault="00FA3DBB">
      <w:pPr>
        <w:pStyle w:val="Zkladntext40"/>
        <w:shd w:val="clear" w:color="auto" w:fill="auto"/>
        <w:tabs>
          <w:tab w:val="right" w:leader="dot" w:pos="1872"/>
        </w:tabs>
        <w:rPr>
          <w:sz w:val="22"/>
          <w:szCs w:val="22"/>
        </w:rPr>
      </w:pPr>
      <w:bookmarkStart w:id="22" w:name="_GoBack"/>
      <w:r w:rsidRPr="007D1016">
        <w:t>XXXX</w:t>
      </w:r>
      <w:r>
        <w:t xml:space="preserve"> 1</w:t>
      </w:r>
      <w:bookmarkEnd w:id="22"/>
      <w:r>
        <w:t xml:space="preserve"> 5. 11. 2023 </w:t>
      </w:r>
      <w:r>
        <w:rPr>
          <w:rFonts w:ascii="Cambria" w:eastAsia="Cambria" w:hAnsi="Cambria" w:cs="Cambria"/>
          <w:w w:val="100"/>
          <w:sz w:val="22"/>
          <w:szCs w:val="22"/>
        </w:rPr>
        <w:t>Dne</w:t>
      </w:r>
      <w:r>
        <w:rPr>
          <w:rFonts w:ascii="Cambria" w:eastAsia="Cambria" w:hAnsi="Cambria" w:cs="Cambria"/>
          <w:w w:val="100"/>
          <w:sz w:val="22"/>
          <w:szCs w:val="22"/>
        </w:rPr>
        <w:tab/>
        <w:t xml:space="preserve">  v Novém Městě na Moravě</w:t>
      </w:r>
    </w:p>
    <w:p w:rsidR="00FA3DBB" w:rsidRDefault="00FA3DBB">
      <w:pPr>
        <w:pStyle w:val="Nadpis30"/>
        <w:keepNext/>
        <w:keepLines/>
        <w:shd w:val="clear" w:color="auto" w:fill="auto"/>
        <w:spacing w:after="180" w:line="276" w:lineRule="auto"/>
        <w:jc w:val="center"/>
        <w:rPr>
          <w:rFonts w:ascii="Arial" w:eastAsia="Arial" w:hAnsi="Arial" w:cs="Arial"/>
        </w:rPr>
      </w:pPr>
      <w:bookmarkStart w:id="23" w:name="bookmark24"/>
      <w:bookmarkStart w:id="24" w:name="bookmark25"/>
    </w:p>
    <w:p w:rsidR="00FA3DBB" w:rsidRDefault="00FA3DBB">
      <w:pPr>
        <w:pStyle w:val="Nadpis30"/>
        <w:keepNext/>
        <w:keepLines/>
        <w:shd w:val="clear" w:color="auto" w:fill="auto"/>
        <w:spacing w:after="180" w:line="276" w:lineRule="auto"/>
        <w:jc w:val="center"/>
        <w:rPr>
          <w:rFonts w:ascii="Arial" w:eastAsia="Arial" w:hAnsi="Arial" w:cs="Arial"/>
        </w:rPr>
      </w:pPr>
    </w:p>
    <w:p w:rsidR="00314924" w:rsidRDefault="00FA3DBB">
      <w:pPr>
        <w:pStyle w:val="Nadpis30"/>
        <w:keepNext/>
        <w:keepLines/>
        <w:shd w:val="clear" w:color="auto" w:fill="auto"/>
        <w:spacing w:after="180" w:line="276" w:lineRule="auto"/>
        <w:jc w:val="center"/>
      </w:pPr>
      <w:r>
        <w:rPr>
          <w:rFonts w:ascii="Arial" w:eastAsia="Arial" w:hAnsi="Arial" w:cs="Arial"/>
        </w:rPr>
        <w:t>Schvalovací doložka</w:t>
      </w:r>
      <w:bookmarkEnd w:id="23"/>
      <w:bookmarkEnd w:id="24"/>
    </w:p>
    <w:p w:rsidR="00314924" w:rsidRDefault="00FA3DBB">
      <w:pPr>
        <w:pStyle w:val="Zkladntext20"/>
        <w:shd w:val="clear" w:color="auto" w:fill="auto"/>
        <w:spacing w:line="283" w:lineRule="auto"/>
        <w:jc w:val="center"/>
      </w:pPr>
      <w:r>
        <w:t>dle § 37b zákona č. 250/2000 Sb., o rozpočtových pravidlech územních rozpočtů, ve znění</w:t>
      </w:r>
      <w:r>
        <w:br/>
        <w:t>pozdějších předpisů</w:t>
      </w:r>
    </w:p>
    <w:p w:rsidR="00314924" w:rsidRDefault="00FA3DBB">
      <w:pPr>
        <w:pStyle w:val="Zkladntext20"/>
        <w:shd w:val="clear" w:color="auto" w:fill="auto"/>
        <w:jc w:val="both"/>
      </w:pPr>
      <w:r>
        <w:t xml:space="preserve">S uzavřením této smlouvy mezi společností </w:t>
      </w:r>
      <w:proofErr w:type="spellStart"/>
      <w:r>
        <w:t>Donio</w:t>
      </w:r>
      <w:proofErr w:type="spellEnd"/>
      <w:r>
        <w:t xml:space="preserve"> s.r.o. jako dárcem a Nemocnicí Nové Město na Moravě, příspěvkovou organizací, jako obdarovaným, jejímž předmětem je poskytnutí části čistého výtěžku veřejné sbírky ve výši 130 600,- Kč za účelem nákupu rehabilitačního stroje </w:t>
      </w:r>
      <w:proofErr w:type="spellStart"/>
      <w:r>
        <w:t>Kinetec</w:t>
      </w:r>
      <w:proofErr w:type="spellEnd"/>
      <w:r>
        <w:t xml:space="preserve"> </w:t>
      </w:r>
      <w:proofErr w:type="spellStart"/>
      <w:r>
        <w:t>Kinevia</w:t>
      </w:r>
      <w:proofErr w:type="spellEnd"/>
      <w:r>
        <w:t xml:space="preserve"> Duo, vyslovil souhlas Kraj Vysočina, a to usnesením Rady Kraje Vysočina na zasedání dne </w:t>
      </w:r>
      <w:proofErr w:type="gramStart"/>
      <w:r>
        <w:t>14.11.2023</w:t>
      </w:r>
      <w:proofErr w:type="gramEnd"/>
      <w:r>
        <w:t xml:space="preserve"> č. 1986/34/2023/RK.</w:t>
      </w:r>
    </w:p>
    <w:sectPr w:rsidR="00314924">
      <w:headerReference w:type="default" r:id="rId8"/>
      <w:pgSz w:w="11900" w:h="16840"/>
      <w:pgMar w:top="1622" w:right="1410" w:bottom="2461" w:left="1371" w:header="1194" w:footer="20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7B" w:rsidRDefault="00FA3DBB">
      <w:r>
        <w:separator/>
      </w:r>
    </w:p>
  </w:endnote>
  <w:endnote w:type="continuationSeparator" w:id="0">
    <w:p w:rsidR="00A7227B" w:rsidRDefault="00FA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24" w:rsidRDefault="00314924"/>
  </w:footnote>
  <w:footnote w:type="continuationSeparator" w:id="0">
    <w:p w:rsidR="00314924" w:rsidRDefault="003149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BB" w:rsidRDefault="00FA3DBB">
    <w:pPr>
      <w:pStyle w:val="Zhlav"/>
    </w:pPr>
    <w:r>
      <w:t xml:space="preserve">                                                                                                                  2034061123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BD6"/>
    <w:multiLevelType w:val="multilevel"/>
    <w:tmpl w:val="091007F4"/>
    <w:lvl w:ilvl="0">
      <w:start w:val="1"/>
      <w:numFmt w:val="upp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E4463"/>
    <w:multiLevelType w:val="multilevel"/>
    <w:tmpl w:val="74F077D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34ECC"/>
    <w:multiLevelType w:val="multilevel"/>
    <w:tmpl w:val="684EDEF0"/>
    <w:lvl w:ilvl="0">
      <w:start w:val="1"/>
      <w:numFmt w:val="lowerLetter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4924"/>
    <w:rsid w:val="00314924"/>
    <w:rsid w:val="007D1016"/>
    <w:rsid w:val="00A7227B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Cambria" w:eastAsia="Cambria" w:hAnsi="Cambria" w:cs="Cambria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200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90" w:line="257" w:lineRule="auto"/>
      <w:jc w:val="center"/>
      <w:outlineLvl w:val="0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60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142" w:lineRule="auto"/>
      <w:jc w:val="center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76" w:lineRule="auto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3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DB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A3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D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Cambria" w:eastAsia="Cambria" w:hAnsi="Cambria" w:cs="Cambria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200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90" w:line="257" w:lineRule="auto"/>
      <w:jc w:val="center"/>
      <w:outlineLvl w:val="0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60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  <w:ind w:left="60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142" w:lineRule="auto"/>
      <w:jc w:val="center"/>
    </w:pPr>
    <w:rPr>
      <w:rFonts w:ascii="Arial" w:eastAsia="Arial" w:hAnsi="Arial" w:cs="Arial"/>
      <w:w w:val="6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76" w:lineRule="auto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3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DB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A3D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2023-12-04T09:09:00Z</dcterms:created>
  <dcterms:modified xsi:type="dcterms:W3CDTF">2023-12-05T06:24:00Z</dcterms:modified>
</cp:coreProperties>
</file>