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402A" w14:textId="77777777" w:rsidR="00012ED7" w:rsidRDefault="00012ED7" w:rsidP="002D2A9E">
      <w:pPr>
        <w:pStyle w:val="Nzev"/>
        <w:jc w:val="left"/>
        <w:rPr>
          <w:rFonts w:ascii="Calibri" w:hAnsi="Calibri"/>
          <w:b w:val="0"/>
          <w:sz w:val="16"/>
          <w:szCs w:val="16"/>
        </w:rPr>
      </w:pPr>
    </w:p>
    <w:p w14:paraId="2E80E15E" w14:textId="77777777" w:rsidR="00012ED7" w:rsidRDefault="00012ED7" w:rsidP="002D2A9E">
      <w:pPr>
        <w:pStyle w:val="Nzev"/>
        <w:jc w:val="left"/>
        <w:rPr>
          <w:rFonts w:ascii="Calibri" w:hAnsi="Calibri"/>
          <w:b w:val="0"/>
          <w:sz w:val="16"/>
          <w:szCs w:val="16"/>
        </w:rPr>
      </w:pPr>
    </w:p>
    <w:p w14:paraId="79D7ADB2" w14:textId="77777777" w:rsidR="00012ED7" w:rsidRDefault="00012ED7" w:rsidP="002D2A9E">
      <w:pPr>
        <w:pStyle w:val="Nzev"/>
        <w:jc w:val="left"/>
        <w:rPr>
          <w:rFonts w:ascii="Calibri" w:hAnsi="Calibri"/>
          <w:b w:val="0"/>
          <w:sz w:val="16"/>
          <w:szCs w:val="16"/>
        </w:rPr>
      </w:pPr>
    </w:p>
    <w:p w14:paraId="67E28B9F" w14:textId="1C274236" w:rsidR="00012ED7" w:rsidRDefault="00012ED7" w:rsidP="00012ED7">
      <w:pPr>
        <w:rPr>
          <w:rFonts w:eastAsia="Calibri" w:cs="Arial"/>
          <w:szCs w:val="22"/>
        </w:rPr>
      </w:pPr>
    </w:p>
    <w:p w14:paraId="3C6EDF8C" w14:textId="47146D21" w:rsidR="007B575F" w:rsidRPr="00052F7B" w:rsidRDefault="00496C21" w:rsidP="0039034F">
      <w:pPr>
        <w:pStyle w:val="Nzev"/>
        <w:rPr>
          <w:rFonts w:ascii="Calibri" w:hAnsi="Calibri"/>
          <w:sz w:val="32"/>
          <w:szCs w:val="22"/>
        </w:rPr>
      </w:pPr>
      <w:r w:rsidRPr="00052F7B">
        <w:rPr>
          <w:rFonts w:ascii="Calibri" w:hAnsi="Calibri"/>
          <w:sz w:val="32"/>
          <w:szCs w:val="22"/>
        </w:rPr>
        <w:t>Kupní smlouva</w:t>
      </w:r>
    </w:p>
    <w:p w14:paraId="6E371B81" w14:textId="2FB7464C" w:rsidR="001D19D3" w:rsidRPr="00BC7F78" w:rsidRDefault="007B575F" w:rsidP="00B731E0">
      <w:pPr>
        <w:spacing w:line="276" w:lineRule="auto"/>
        <w:jc w:val="center"/>
        <w:rPr>
          <w:rFonts w:ascii="Calibri" w:hAnsi="Calibri"/>
          <w:b/>
          <w:sz w:val="22"/>
          <w:szCs w:val="22"/>
        </w:rPr>
      </w:pPr>
      <w:r w:rsidRPr="00052F7B">
        <w:rPr>
          <w:rFonts w:ascii="Calibri" w:hAnsi="Calibri"/>
          <w:bCs/>
          <w:sz w:val="22"/>
          <w:szCs w:val="22"/>
        </w:rPr>
        <w:t xml:space="preserve">uzavřená podle ustanovení § </w:t>
      </w:r>
      <w:r w:rsidR="000B7017" w:rsidRPr="00052F7B">
        <w:rPr>
          <w:rFonts w:ascii="Calibri" w:hAnsi="Calibri"/>
          <w:bCs/>
          <w:sz w:val="22"/>
          <w:szCs w:val="22"/>
        </w:rPr>
        <w:t>2</w:t>
      </w:r>
      <w:r w:rsidR="001D19D3" w:rsidRPr="00052F7B">
        <w:rPr>
          <w:rFonts w:ascii="Calibri" w:hAnsi="Calibri"/>
          <w:bCs/>
          <w:sz w:val="22"/>
          <w:szCs w:val="22"/>
        </w:rPr>
        <w:t>0</w:t>
      </w:r>
      <w:r w:rsidR="000B7017" w:rsidRPr="00052F7B">
        <w:rPr>
          <w:rFonts w:ascii="Calibri" w:hAnsi="Calibri"/>
          <w:bCs/>
          <w:sz w:val="22"/>
          <w:szCs w:val="22"/>
        </w:rPr>
        <w:t>8</w:t>
      </w:r>
      <w:r w:rsidR="00496C21" w:rsidRPr="00052F7B">
        <w:rPr>
          <w:rFonts w:ascii="Calibri" w:hAnsi="Calibri"/>
          <w:bCs/>
          <w:sz w:val="22"/>
          <w:szCs w:val="22"/>
        </w:rPr>
        <w:t>5</w:t>
      </w:r>
      <w:r w:rsidRPr="00052F7B">
        <w:rPr>
          <w:rFonts w:ascii="Calibri" w:hAnsi="Calibri"/>
          <w:bCs/>
          <w:sz w:val="22"/>
          <w:szCs w:val="22"/>
        </w:rPr>
        <w:t xml:space="preserve"> a násl</w:t>
      </w:r>
      <w:r w:rsidR="00FF0BC5" w:rsidRPr="00052F7B">
        <w:rPr>
          <w:rFonts w:ascii="Calibri" w:hAnsi="Calibri"/>
          <w:bCs/>
          <w:sz w:val="22"/>
          <w:szCs w:val="22"/>
        </w:rPr>
        <w:t>.</w:t>
      </w:r>
      <w:r w:rsidRPr="00052F7B">
        <w:rPr>
          <w:rFonts w:ascii="Calibri" w:hAnsi="Calibri"/>
          <w:bCs/>
          <w:sz w:val="22"/>
          <w:szCs w:val="22"/>
        </w:rPr>
        <w:t xml:space="preserve"> zákona č. </w:t>
      </w:r>
      <w:r w:rsidR="000B7017" w:rsidRPr="00052F7B">
        <w:rPr>
          <w:rFonts w:ascii="Calibri" w:hAnsi="Calibri"/>
          <w:bCs/>
          <w:sz w:val="22"/>
          <w:szCs w:val="22"/>
        </w:rPr>
        <w:t>89</w:t>
      </w:r>
      <w:r w:rsidRPr="00052F7B">
        <w:rPr>
          <w:rFonts w:ascii="Calibri" w:hAnsi="Calibri"/>
          <w:bCs/>
          <w:sz w:val="22"/>
          <w:szCs w:val="22"/>
        </w:rPr>
        <w:t>/</w:t>
      </w:r>
      <w:r w:rsidR="000B7017" w:rsidRPr="00052F7B">
        <w:rPr>
          <w:rFonts w:ascii="Calibri" w:hAnsi="Calibri"/>
          <w:bCs/>
          <w:sz w:val="22"/>
          <w:szCs w:val="22"/>
        </w:rPr>
        <w:t>2012</w:t>
      </w:r>
      <w:r w:rsidRPr="00052F7B">
        <w:rPr>
          <w:rFonts w:ascii="Calibri" w:hAnsi="Calibri"/>
          <w:bCs/>
          <w:sz w:val="22"/>
          <w:szCs w:val="22"/>
        </w:rPr>
        <w:t xml:space="preserve"> Sb., o</w:t>
      </w:r>
      <w:r w:rsidR="000B7017" w:rsidRPr="00052F7B">
        <w:rPr>
          <w:rFonts w:ascii="Calibri" w:hAnsi="Calibri"/>
          <w:bCs/>
          <w:sz w:val="22"/>
          <w:szCs w:val="22"/>
        </w:rPr>
        <w:t>bčanský</w:t>
      </w:r>
      <w:r w:rsidRPr="00052F7B">
        <w:rPr>
          <w:rFonts w:ascii="Calibri" w:hAnsi="Calibri"/>
          <w:bCs/>
          <w:sz w:val="22"/>
          <w:szCs w:val="22"/>
        </w:rPr>
        <w:t xml:space="preserve"> zákoník</w:t>
      </w:r>
      <w:r w:rsidR="00D51E41" w:rsidRPr="00052F7B">
        <w:rPr>
          <w:rFonts w:ascii="Calibri" w:hAnsi="Calibri"/>
          <w:bCs/>
          <w:sz w:val="22"/>
          <w:szCs w:val="22"/>
        </w:rPr>
        <w:t xml:space="preserve"> (dále jen</w:t>
      </w:r>
      <w:r w:rsidR="00D51E41" w:rsidRPr="00052F7B">
        <w:rPr>
          <w:rFonts w:ascii="Calibri" w:hAnsi="Calibri"/>
          <w:b/>
          <w:sz w:val="22"/>
          <w:szCs w:val="22"/>
        </w:rPr>
        <w:t xml:space="preserve"> „</w:t>
      </w:r>
      <w:r w:rsidR="00B64F4E" w:rsidRPr="00052F7B">
        <w:rPr>
          <w:rFonts w:ascii="Calibri" w:hAnsi="Calibri"/>
          <w:b/>
          <w:sz w:val="22"/>
          <w:szCs w:val="22"/>
        </w:rPr>
        <w:t>občanský zákoník</w:t>
      </w:r>
      <w:r w:rsidR="00D51E41" w:rsidRPr="00052F7B">
        <w:rPr>
          <w:rFonts w:ascii="Calibri" w:hAnsi="Calibri"/>
          <w:b/>
          <w:sz w:val="22"/>
          <w:szCs w:val="22"/>
        </w:rPr>
        <w:t>“</w:t>
      </w:r>
      <w:r w:rsidR="00D51E41" w:rsidRPr="00052F7B">
        <w:rPr>
          <w:rFonts w:ascii="Calibri" w:hAnsi="Calibri"/>
          <w:bCs/>
          <w:sz w:val="22"/>
          <w:szCs w:val="22"/>
        </w:rPr>
        <w:t>)</w:t>
      </w:r>
      <w:r w:rsidRPr="00052F7B">
        <w:rPr>
          <w:rFonts w:ascii="Calibri" w:hAnsi="Calibri"/>
          <w:bCs/>
          <w:sz w:val="22"/>
          <w:szCs w:val="22"/>
        </w:rPr>
        <w:t xml:space="preserve">  </w:t>
      </w:r>
      <w:r w:rsidRPr="00052F7B">
        <w:rPr>
          <w:rFonts w:ascii="Calibri" w:hAnsi="Calibri"/>
          <w:b/>
          <w:sz w:val="22"/>
          <w:szCs w:val="22"/>
        </w:rPr>
        <w:t xml:space="preserve"> </w:t>
      </w:r>
    </w:p>
    <w:p w14:paraId="37F09F5D" w14:textId="77777777" w:rsidR="001D19D3" w:rsidRPr="00BC7F78" w:rsidRDefault="001D19D3" w:rsidP="00B731E0">
      <w:pPr>
        <w:spacing w:line="276" w:lineRule="auto"/>
        <w:jc w:val="center"/>
        <w:rPr>
          <w:rFonts w:ascii="Calibri" w:hAnsi="Calibri"/>
          <w:b/>
          <w:sz w:val="22"/>
          <w:szCs w:val="22"/>
        </w:rPr>
      </w:pPr>
    </w:p>
    <w:p w14:paraId="773659C5" w14:textId="77777777" w:rsidR="007B575F" w:rsidRPr="00BC7F78" w:rsidRDefault="007B575F" w:rsidP="00052F7B">
      <w:pPr>
        <w:pStyle w:val="Podnadpis"/>
        <w:rPr>
          <w:szCs w:val="22"/>
        </w:rPr>
      </w:pPr>
      <w:r w:rsidRPr="00BC7F78">
        <w:rPr>
          <w:szCs w:val="22"/>
        </w:rPr>
        <w:t>Smluvní strany</w:t>
      </w:r>
    </w:p>
    <w:p w14:paraId="663D9175" w14:textId="77777777" w:rsidR="007B575F" w:rsidRPr="00BC7F78" w:rsidRDefault="009E410C" w:rsidP="00B731E0">
      <w:pPr>
        <w:spacing w:line="276" w:lineRule="auto"/>
        <w:jc w:val="both"/>
        <w:rPr>
          <w:rFonts w:ascii="Calibri" w:hAnsi="Calibri"/>
          <w:b/>
          <w:sz w:val="22"/>
          <w:szCs w:val="22"/>
        </w:rPr>
      </w:pPr>
      <w:r w:rsidRPr="00BC7F78">
        <w:rPr>
          <w:rFonts w:ascii="Calibri" w:hAnsi="Calibri"/>
          <w:b/>
          <w:sz w:val="22"/>
          <w:szCs w:val="22"/>
        </w:rPr>
        <w:t xml:space="preserve">Kancelář architekta města Brna, </w:t>
      </w:r>
      <w:proofErr w:type="spellStart"/>
      <w:r w:rsidRPr="00BC7F78">
        <w:rPr>
          <w:rFonts w:ascii="Calibri" w:hAnsi="Calibri"/>
          <w:b/>
          <w:sz w:val="22"/>
          <w:szCs w:val="22"/>
        </w:rPr>
        <w:t>p.o</w:t>
      </w:r>
      <w:proofErr w:type="spellEnd"/>
      <w:r w:rsidRPr="00BC7F78">
        <w:rPr>
          <w:rFonts w:ascii="Calibri" w:hAnsi="Calibri"/>
          <w:b/>
          <w:sz w:val="22"/>
          <w:szCs w:val="22"/>
        </w:rPr>
        <w:t>.</w:t>
      </w:r>
    </w:p>
    <w:p w14:paraId="63021EA0" w14:textId="352FB706" w:rsidR="007B575F" w:rsidRPr="00BC7F78" w:rsidRDefault="00123CBF" w:rsidP="00B731E0">
      <w:pPr>
        <w:spacing w:line="276" w:lineRule="auto"/>
        <w:jc w:val="both"/>
        <w:rPr>
          <w:rFonts w:ascii="Calibri" w:hAnsi="Calibri"/>
          <w:sz w:val="22"/>
          <w:szCs w:val="22"/>
        </w:rPr>
      </w:pPr>
      <w:r w:rsidRPr="00BC7F78">
        <w:rPr>
          <w:rFonts w:ascii="Calibri" w:hAnsi="Calibri"/>
          <w:sz w:val="22"/>
          <w:szCs w:val="22"/>
        </w:rPr>
        <w:t>S</w:t>
      </w:r>
      <w:r w:rsidR="009E410C" w:rsidRPr="00BC7F78">
        <w:rPr>
          <w:rFonts w:ascii="Calibri" w:hAnsi="Calibri"/>
          <w:sz w:val="22"/>
          <w:szCs w:val="22"/>
        </w:rPr>
        <w:t>í</w:t>
      </w:r>
      <w:r w:rsidR="00F91B13" w:rsidRPr="00BC7F78">
        <w:rPr>
          <w:rFonts w:ascii="Calibri" w:hAnsi="Calibri"/>
          <w:sz w:val="22"/>
          <w:szCs w:val="22"/>
        </w:rPr>
        <w:t>dl</w:t>
      </w:r>
      <w:r w:rsidRPr="00BC7F78">
        <w:rPr>
          <w:rFonts w:ascii="Calibri" w:hAnsi="Calibri"/>
          <w:sz w:val="22"/>
          <w:szCs w:val="22"/>
        </w:rPr>
        <w:t>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9E410C" w:rsidRPr="00BC7F78">
        <w:rPr>
          <w:rFonts w:ascii="Calibri" w:hAnsi="Calibri"/>
          <w:sz w:val="22"/>
          <w:szCs w:val="22"/>
        </w:rPr>
        <w:t xml:space="preserve">Zelný trh 331/13, </w:t>
      </w:r>
      <w:r w:rsidR="007B575F" w:rsidRPr="00BC7F78">
        <w:rPr>
          <w:rFonts w:ascii="Calibri" w:hAnsi="Calibri"/>
          <w:sz w:val="22"/>
          <w:szCs w:val="22"/>
        </w:rPr>
        <w:t>60</w:t>
      </w:r>
      <w:r w:rsidR="009204F9" w:rsidRPr="00BC7F78">
        <w:rPr>
          <w:rFonts w:ascii="Calibri" w:hAnsi="Calibri"/>
          <w:sz w:val="22"/>
          <w:szCs w:val="22"/>
        </w:rPr>
        <w:t>2</w:t>
      </w:r>
      <w:r w:rsidR="007B575F" w:rsidRPr="00BC7F78">
        <w:rPr>
          <w:rFonts w:ascii="Calibri" w:hAnsi="Calibri"/>
          <w:sz w:val="22"/>
          <w:szCs w:val="22"/>
        </w:rPr>
        <w:t xml:space="preserve"> </w:t>
      </w:r>
      <w:r w:rsidR="009204F9" w:rsidRPr="00BC7F78">
        <w:rPr>
          <w:rFonts w:ascii="Calibri" w:hAnsi="Calibri"/>
          <w:sz w:val="22"/>
          <w:szCs w:val="22"/>
        </w:rPr>
        <w:t>00</w:t>
      </w:r>
      <w:r w:rsidR="007B575F" w:rsidRPr="00BC7F78">
        <w:rPr>
          <w:rFonts w:ascii="Calibri" w:hAnsi="Calibri"/>
          <w:sz w:val="22"/>
          <w:szCs w:val="22"/>
        </w:rPr>
        <w:t xml:space="preserve"> Brno,</w:t>
      </w:r>
    </w:p>
    <w:p w14:paraId="228AF2AA" w14:textId="410E92CF" w:rsidR="007B575F" w:rsidRPr="00BC7F78" w:rsidRDefault="009E410C" w:rsidP="00B731E0">
      <w:pPr>
        <w:spacing w:line="276" w:lineRule="auto"/>
        <w:jc w:val="both"/>
        <w:rPr>
          <w:rFonts w:ascii="Calibri" w:hAnsi="Calibri"/>
          <w:sz w:val="22"/>
          <w:szCs w:val="22"/>
        </w:rPr>
      </w:pPr>
      <w:r w:rsidRPr="00BC7F78">
        <w:rPr>
          <w:rFonts w:ascii="Calibri" w:hAnsi="Calibri"/>
          <w:sz w:val="22"/>
          <w:szCs w:val="22"/>
        </w:rPr>
        <w:t>IČ:</w:t>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Pr="00BC7F78">
        <w:rPr>
          <w:rFonts w:ascii="Calibri" w:hAnsi="Calibri"/>
          <w:sz w:val="22"/>
          <w:szCs w:val="22"/>
        </w:rPr>
        <w:t>05128820</w:t>
      </w:r>
    </w:p>
    <w:p w14:paraId="1746E563" w14:textId="72AD51CE" w:rsidR="00123CBF" w:rsidRPr="00BC7F78" w:rsidRDefault="00123CBF" w:rsidP="00B731E0">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t>CZ05128820, není plátce DPH</w:t>
      </w:r>
    </w:p>
    <w:p w14:paraId="00D61A64" w14:textId="7A078D6A" w:rsidR="007B575F" w:rsidRPr="00BC7F78" w:rsidRDefault="009E410C" w:rsidP="003F6BB8">
      <w:pPr>
        <w:spacing w:line="276" w:lineRule="auto"/>
        <w:jc w:val="both"/>
        <w:rPr>
          <w:rFonts w:ascii="Calibri" w:hAnsi="Calibri"/>
          <w:sz w:val="22"/>
          <w:szCs w:val="22"/>
        </w:rPr>
      </w:pPr>
      <w:r w:rsidRPr="00BC7F78">
        <w:rPr>
          <w:rFonts w:ascii="Calibri" w:hAnsi="Calibri"/>
          <w:sz w:val="22"/>
          <w:szCs w:val="22"/>
        </w:rPr>
        <w:t>číslo účtu:</w:t>
      </w:r>
      <w:r w:rsidR="003F6BB8" w:rsidRPr="00BC7F78">
        <w:rPr>
          <w:rFonts w:ascii="Calibri" w:hAnsi="Calibri"/>
          <w:sz w:val="22"/>
          <w:szCs w:val="22"/>
        </w:rPr>
        <w:tab/>
      </w:r>
      <w:r w:rsidR="003F6BB8" w:rsidRPr="00BC7F78">
        <w:rPr>
          <w:rFonts w:ascii="Calibri" w:hAnsi="Calibri"/>
          <w:sz w:val="22"/>
          <w:szCs w:val="22"/>
        </w:rPr>
        <w:tab/>
      </w:r>
      <w:r w:rsidR="003F6BB8" w:rsidRPr="00BC7F78">
        <w:rPr>
          <w:rFonts w:ascii="Calibri" w:hAnsi="Calibri"/>
          <w:sz w:val="22"/>
          <w:szCs w:val="22"/>
        </w:rPr>
        <w:tab/>
      </w:r>
      <w:r w:rsidRPr="00BC7F78">
        <w:rPr>
          <w:rFonts w:ascii="Calibri" w:hAnsi="Calibri"/>
          <w:sz w:val="22"/>
          <w:szCs w:val="22"/>
        </w:rPr>
        <w:t>2001018746/2010</w:t>
      </w:r>
    </w:p>
    <w:p w14:paraId="5512FA48" w14:textId="22DA7C10" w:rsidR="003F6BB8" w:rsidRPr="00BC7F78" w:rsidRDefault="003F6BB8" w:rsidP="00052F7B">
      <w:pPr>
        <w:spacing w:line="276" w:lineRule="auto"/>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ve</w:t>
      </w:r>
      <w:r w:rsidRPr="00BC7F78">
        <w:rPr>
          <w:rFonts w:ascii="Calibri" w:hAnsi="Calibri"/>
          <w:sz w:val="22"/>
          <w:szCs w:val="22"/>
        </w:rPr>
        <w:t xml:space="preserve"> 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t xml:space="preserve">příspěvková organizace zapsaná v obchodním rejstříku pod </w:t>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proofErr w:type="spellStart"/>
      <w:r w:rsidRPr="00BC7F78">
        <w:rPr>
          <w:rFonts w:ascii="Calibri" w:hAnsi="Calibri"/>
          <w:sz w:val="22"/>
          <w:szCs w:val="22"/>
        </w:rPr>
        <w:t>sp</w:t>
      </w:r>
      <w:proofErr w:type="spellEnd"/>
      <w:r w:rsidRPr="00BC7F78">
        <w:rPr>
          <w:rFonts w:ascii="Calibri" w:hAnsi="Calibri"/>
          <w:sz w:val="22"/>
          <w:szCs w:val="22"/>
        </w:rPr>
        <w:t>. zn. Pr1951 vedenou u Krajského soudu v Brně</w:t>
      </w:r>
    </w:p>
    <w:p w14:paraId="30BF275A" w14:textId="70DD24D7" w:rsidR="007B575F" w:rsidRPr="00BC7F78" w:rsidRDefault="003F6BB8" w:rsidP="001D19D3">
      <w:pPr>
        <w:spacing w:line="276" w:lineRule="auto"/>
        <w:rPr>
          <w:rFonts w:ascii="Calibri" w:hAnsi="Calibri"/>
          <w:sz w:val="22"/>
          <w:szCs w:val="22"/>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A64C33" w:rsidRPr="00BC7F78">
        <w:rPr>
          <w:rFonts w:ascii="Calibri" w:hAnsi="Calibri"/>
          <w:sz w:val="22"/>
          <w:szCs w:val="22"/>
        </w:rPr>
        <w:t xml:space="preserve">Ing. arch. </w:t>
      </w:r>
      <w:r w:rsidR="007C314B" w:rsidRPr="00BC7F78">
        <w:rPr>
          <w:rFonts w:ascii="Calibri" w:hAnsi="Calibri"/>
          <w:sz w:val="22"/>
          <w:szCs w:val="22"/>
        </w:rPr>
        <w:t>Jan Tesárek</w:t>
      </w:r>
      <w:r w:rsidR="00012ED7" w:rsidRPr="00BC7F78">
        <w:rPr>
          <w:rFonts w:ascii="Calibri" w:hAnsi="Calibri"/>
          <w:sz w:val="22"/>
          <w:szCs w:val="22"/>
        </w:rPr>
        <w:t>,</w:t>
      </w:r>
      <w:r w:rsidR="00A64C33" w:rsidRPr="00BC7F78">
        <w:rPr>
          <w:rFonts w:ascii="Calibri" w:hAnsi="Calibri"/>
          <w:sz w:val="22"/>
          <w:szCs w:val="22"/>
        </w:rPr>
        <w:t xml:space="preserve"> ředitel </w:t>
      </w:r>
      <w:r w:rsidR="007C314B" w:rsidRPr="00BC7F78">
        <w:rPr>
          <w:rFonts w:ascii="Calibri" w:hAnsi="Calibri"/>
          <w:sz w:val="22"/>
          <w:szCs w:val="22"/>
        </w:rPr>
        <w:br/>
        <w:t xml:space="preserve">kontaktní osoba: </w:t>
      </w:r>
      <w:r w:rsidR="007C314B" w:rsidRPr="00BC7F78">
        <w:rPr>
          <w:rFonts w:ascii="Calibri" w:hAnsi="Calibri"/>
          <w:sz w:val="22"/>
          <w:szCs w:val="22"/>
        </w:rPr>
        <w:tab/>
      </w:r>
      <w:r w:rsidR="007C314B" w:rsidRPr="00BC7F78">
        <w:rPr>
          <w:rFonts w:ascii="Calibri" w:hAnsi="Calibri"/>
          <w:sz w:val="22"/>
          <w:szCs w:val="22"/>
        </w:rPr>
        <w:tab/>
      </w:r>
      <w:proofErr w:type="spellStart"/>
      <w:r w:rsidR="0072083C">
        <w:rPr>
          <w:rFonts w:ascii="Calibri" w:hAnsi="Calibri"/>
          <w:sz w:val="22"/>
          <w:szCs w:val="22"/>
        </w:rPr>
        <w:t>xxxxx</w:t>
      </w:r>
      <w:proofErr w:type="spellEnd"/>
    </w:p>
    <w:p w14:paraId="305563F1" w14:textId="1770C0BC" w:rsidR="007B575F" w:rsidRPr="00BC7F78" w:rsidRDefault="003F6BB8" w:rsidP="00B731E0">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AC2F94">
        <w:rPr>
          <w:rFonts w:ascii="Calibri" w:hAnsi="Calibri"/>
          <w:sz w:val="22"/>
          <w:szCs w:val="22"/>
        </w:rPr>
        <w:t>xxxxx</w:t>
      </w:r>
      <w:proofErr w:type="spellEnd"/>
    </w:p>
    <w:p w14:paraId="3E050599" w14:textId="4E632367"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AC2F94">
        <w:rPr>
          <w:rFonts w:ascii="Calibri" w:hAnsi="Calibri"/>
          <w:sz w:val="22"/>
          <w:szCs w:val="22"/>
        </w:rPr>
        <w:t>xxxxx</w:t>
      </w:r>
      <w:proofErr w:type="spellEnd"/>
    </w:p>
    <w:p w14:paraId="56E7D507" w14:textId="0E943722"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K</w:t>
      </w:r>
      <w:r w:rsidR="007434F1" w:rsidRPr="00BC7F78">
        <w:rPr>
          <w:rFonts w:ascii="Calibri" w:hAnsi="Calibri"/>
          <w:b/>
          <w:bCs/>
          <w:sz w:val="22"/>
          <w:szCs w:val="22"/>
        </w:rPr>
        <w:t>upující</w:t>
      </w:r>
      <w:r w:rsidR="007B575F" w:rsidRPr="00BC7F78">
        <w:rPr>
          <w:rFonts w:ascii="Calibri" w:hAnsi="Calibri"/>
          <w:b/>
          <w:bCs/>
          <w:sz w:val="22"/>
          <w:szCs w:val="22"/>
        </w:rPr>
        <w:t>“</w:t>
      </w:r>
      <w:r w:rsidRPr="00BC7F78">
        <w:rPr>
          <w:rFonts w:ascii="Calibri" w:hAnsi="Calibri"/>
          <w:sz w:val="22"/>
          <w:szCs w:val="22"/>
        </w:rPr>
        <w:t>)</w:t>
      </w:r>
    </w:p>
    <w:p w14:paraId="16E43FC8" w14:textId="77777777" w:rsidR="007B575F" w:rsidRPr="00BC7F78" w:rsidRDefault="007B575F" w:rsidP="00B731E0">
      <w:pPr>
        <w:spacing w:line="276" w:lineRule="auto"/>
        <w:jc w:val="both"/>
        <w:rPr>
          <w:rFonts w:ascii="Calibri" w:hAnsi="Calibri"/>
          <w:sz w:val="22"/>
          <w:szCs w:val="22"/>
        </w:rPr>
      </w:pPr>
    </w:p>
    <w:p w14:paraId="63F44DE7" w14:textId="75714252" w:rsidR="00245F29" w:rsidRPr="00052F7B" w:rsidRDefault="00362B22" w:rsidP="00B731E0">
      <w:pPr>
        <w:spacing w:line="276" w:lineRule="auto"/>
        <w:jc w:val="both"/>
        <w:rPr>
          <w:rFonts w:ascii="Calibri" w:hAnsi="Calibri" w:cs="Calibri"/>
          <w:b/>
          <w:bCs/>
          <w:sz w:val="22"/>
          <w:szCs w:val="22"/>
        </w:rPr>
      </w:pPr>
      <w:r>
        <w:rPr>
          <w:rFonts w:ascii="Calibri" w:hAnsi="Calibri" w:cs="Calibri"/>
          <w:b/>
          <w:bCs/>
          <w:sz w:val="22"/>
          <w:szCs w:val="22"/>
          <w:lang w:eastAsia="en-US" w:bidi="en-US"/>
        </w:rPr>
        <w:t>AUTOCONT a.s.</w:t>
      </w:r>
    </w:p>
    <w:p w14:paraId="3886216F" w14:textId="6DE4587B" w:rsidR="003F6BB8" w:rsidRPr="00052F7B" w:rsidRDefault="003F6BB8" w:rsidP="003F6BB8">
      <w:pPr>
        <w:spacing w:line="276" w:lineRule="auto"/>
        <w:jc w:val="both"/>
        <w:rPr>
          <w:rFonts w:ascii="Calibri" w:hAnsi="Calibri" w:cs="Calibri"/>
          <w:sz w:val="22"/>
          <w:szCs w:val="22"/>
        </w:rPr>
      </w:pPr>
      <w:r w:rsidRPr="00BC7F78">
        <w:rPr>
          <w:rFonts w:ascii="Calibri" w:hAnsi="Calibri"/>
          <w:sz w:val="22"/>
          <w:szCs w:val="22"/>
        </w:rPr>
        <w:t>Sídlo: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362B22">
        <w:rPr>
          <w:rFonts w:ascii="Calibri" w:hAnsi="Calibri" w:cs="Calibri"/>
          <w:sz w:val="22"/>
          <w:szCs w:val="22"/>
          <w:lang w:eastAsia="en-US" w:bidi="en-US"/>
        </w:rPr>
        <w:t>Hornopolní 3322/34, 702 00 Ostrava</w:t>
      </w:r>
    </w:p>
    <w:p w14:paraId="0CBD726C" w14:textId="0BF5D68F"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362B22">
        <w:rPr>
          <w:rFonts w:ascii="Calibri" w:hAnsi="Calibri" w:cs="Calibri"/>
          <w:sz w:val="22"/>
          <w:szCs w:val="22"/>
          <w:lang w:eastAsia="en-US" w:bidi="en-US"/>
        </w:rPr>
        <w:t>04308697</w:t>
      </w:r>
    </w:p>
    <w:p w14:paraId="5ADB5D91" w14:textId="19F5621D"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362B22">
        <w:rPr>
          <w:rFonts w:ascii="Calibri" w:hAnsi="Calibri" w:cs="Calibri"/>
          <w:sz w:val="22"/>
          <w:szCs w:val="22"/>
          <w:lang w:eastAsia="en-US" w:bidi="en-US"/>
        </w:rPr>
        <w:t>CZ04308697</w:t>
      </w:r>
    </w:p>
    <w:p w14:paraId="2CA176B1" w14:textId="7EA8359E"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číslo účtu:</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362B22">
        <w:rPr>
          <w:rFonts w:ascii="Calibri" w:hAnsi="Calibri" w:cs="Calibri"/>
          <w:sz w:val="22"/>
          <w:szCs w:val="22"/>
          <w:lang w:eastAsia="en-US" w:bidi="en-US"/>
        </w:rPr>
        <w:t>117878773/0300</w:t>
      </w:r>
    </w:p>
    <w:p w14:paraId="187868C8" w14:textId="7D720AE5" w:rsidR="003F6BB8" w:rsidRPr="00BC7F78" w:rsidRDefault="003F6BB8" w:rsidP="00362B22">
      <w:pPr>
        <w:spacing w:line="276" w:lineRule="auto"/>
        <w:ind w:left="2835" w:hanging="2835"/>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 xml:space="preserve">ve </w:t>
      </w:r>
      <w:r w:rsidRPr="00BC7F78">
        <w:rPr>
          <w:rFonts w:ascii="Calibri" w:hAnsi="Calibri"/>
          <w:sz w:val="22"/>
          <w:szCs w:val="22"/>
        </w:rPr>
        <w:t>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r>
      <w:r w:rsidR="00362B22">
        <w:rPr>
          <w:rFonts w:ascii="Calibri" w:hAnsi="Calibri" w:cs="Calibri"/>
          <w:sz w:val="22"/>
          <w:szCs w:val="22"/>
          <w:lang w:eastAsia="en-US" w:bidi="en-US"/>
        </w:rPr>
        <w:t xml:space="preserve">zapsaná u rejstříkového soudu v Ostravě pod spisovou značkou </w:t>
      </w:r>
      <w:r w:rsidR="00362B22">
        <w:rPr>
          <w:rFonts w:ascii="Calibri" w:hAnsi="Calibri" w:cs="Calibri"/>
          <w:sz w:val="22"/>
          <w:szCs w:val="22"/>
          <w:lang w:eastAsia="en-US" w:bidi="en-US"/>
        </w:rPr>
        <w:br/>
        <w:t>B11012</w:t>
      </w:r>
    </w:p>
    <w:p w14:paraId="5CF41CBB" w14:textId="58D6E826" w:rsidR="003F6BB8" w:rsidRPr="00BC7F78" w:rsidRDefault="003F6BB8" w:rsidP="001D19D3">
      <w:pPr>
        <w:spacing w:line="276" w:lineRule="auto"/>
        <w:rPr>
          <w:rFonts w:ascii="Calibri" w:hAnsi="Calibri" w:cs="Calibri"/>
          <w:sz w:val="22"/>
          <w:szCs w:val="22"/>
          <w:lang w:eastAsia="en-US" w:bidi="en-US"/>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362B22">
        <w:rPr>
          <w:rFonts w:ascii="Calibri" w:hAnsi="Calibri" w:cs="Calibri"/>
          <w:sz w:val="22"/>
          <w:szCs w:val="22"/>
          <w:lang w:eastAsia="en-US" w:bidi="en-US"/>
        </w:rPr>
        <w:t>Petr Konečný, na základě plné moci</w:t>
      </w:r>
      <w:r w:rsidR="007C314B" w:rsidRPr="00BC7F78">
        <w:rPr>
          <w:rFonts w:ascii="Calibri" w:hAnsi="Calibri" w:cs="Calibri"/>
          <w:sz w:val="22"/>
          <w:szCs w:val="22"/>
          <w:lang w:eastAsia="en-US" w:bidi="en-US"/>
        </w:rPr>
        <w:br/>
        <w:t>kontaktní osoba:</w:t>
      </w:r>
      <w:r w:rsidR="007C314B" w:rsidRPr="00BC7F78">
        <w:rPr>
          <w:rFonts w:ascii="Calibri" w:hAnsi="Calibri" w:cs="Calibri"/>
          <w:sz w:val="22"/>
          <w:szCs w:val="22"/>
          <w:lang w:eastAsia="en-US" w:bidi="en-US"/>
        </w:rPr>
        <w:tab/>
      </w:r>
      <w:r w:rsidR="007C314B" w:rsidRPr="00BC7F78">
        <w:rPr>
          <w:rFonts w:ascii="Calibri" w:hAnsi="Calibri" w:cs="Calibri"/>
          <w:sz w:val="22"/>
          <w:szCs w:val="22"/>
          <w:lang w:eastAsia="en-US" w:bidi="en-US"/>
        </w:rPr>
        <w:tab/>
      </w:r>
      <w:proofErr w:type="spellStart"/>
      <w:r w:rsidR="0072083C">
        <w:rPr>
          <w:rFonts w:ascii="Calibri" w:hAnsi="Calibri" w:cs="Calibri"/>
          <w:sz w:val="22"/>
          <w:szCs w:val="22"/>
          <w:lang w:eastAsia="en-US" w:bidi="en-US"/>
        </w:rPr>
        <w:t>xxxxx</w:t>
      </w:r>
      <w:proofErr w:type="spellEnd"/>
    </w:p>
    <w:p w14:paraId="74609E09" w14:textId="2E5462AF"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AC2F94">
        <w:rPr>
          <w:rFonts w:ascii="Calibri" w:hAnsi="Calibri" w:cs="Calibri"/>
          <w:sz w:val="22"/>
          <w:szCs w:val="22"/>
          <w:lang w:eastAsia="en-US" w:bidi="en-US"/>
        </w:rPr>
        <w:t>xxxxx</w:t>
      </w:r>
      <w:proofErr w:type="spellEnd"/>
    </w:p>
    <w:p w14:paraId="399BA266" w14:textId="3BB9EE6A"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AC2F94">
        <w:rPr>
          <w:rFonts w:ascii="Calibri" w:hAnsi="Calibri" w:cs="Calibri"/>
          <w:sz w:val="22"/>
          <w:szCs w:val="22"/>
          <w:lang w:eastAsia="en-US" w:bidi="en-US"/>
        </w:rPr>
        <w:t>xxxxx</w:t>
      </w:r>
      <w:proofErr w:type="spellEnd"/>
    </w:p>
    <w:p w14:paraId="036CE7AD" w14:textId="3770CC47"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P</w:t>
      </w:r>
      <w:r w:rsidR="007434F1" w:rsidRPr="00BC7F78">
        <w:rPr>
          <w:rFonts w:ascii="Calibri" w:hAnsi="Calibri"/>
          <w:b/>
          <w:bCs/>
          <w:sz w:val="22"/>
          <w:szCs w:val="22"/>
        </w:rPr>
        <w:t>rodávající</w:t>
      </w:r>
      <w:r w:rsidR="007B575F" w:rsidRPr="00BC7F78">
        <w:rPr>
          <w:rFonts w:ascii="Calibri" w:hAnsi="Calibri"/>
          <w:b/>
          <w:bCs/>
          <w:sz w:val="22"/>
          <w:szCs w:val="22"/>
        </w:rPr>
        <w:t>“</w:t>
      </w:r>
      <w:r w:rsidRPr="00BC7F78">
        <w:rPr>
          <w:rFonts w:ascii="Calibri" w:hAnsi="Calibri"/>
          <w:sz w:val="22"/>
          <w:szCs w:val="22"/>
        </w:rPr>
        <w:t>)</w:t>
      </w:r>
    </w:p>
    <w:p w14:paraId="167BCDC3" w14:textId="58E49E20" w:rsidR="003C7B74" w:rsidRPr="00BC7F78" w:rsidRDefault="003C7B74" w:rsidP="00B731E0">
      <w:pPr>
        <w:spacing w:line="276" w:lineRule="auto"/>
        <w:jc w:val="both"/>
        <w:rPr>
          <w:rFonts w:ascii="Calibri" w:hAnsi="Calibri"/>
          <w:sz w:val="22"/>
          <w:szCs w:val="22"/>
        </w:rPr>
      </w:pPr>
      <w:r w:rsidRPr="00BC7F78">
        <w:rPr>
          <w:rFonts w:ascii="Calibri" w:hAnsi="Calibri"/>
          <w:sz w:val="22"/>
          <w:szCs w:val="22"/>
        </w:rPr>
        <w:t>(Kupující a Prodávající dále společně též „</w:t>
      </w:r>
      <w:r w:rsidRPr="00BC7F78">
        <w:rPr>
          <w:rFonts w:ascii="Calibri" w:hAnsi="Calibri"/>
          <w:b/>
          <w:bCs/>
          <w:sz w:val="22"/>
          <w:szCs w:val="22"/>
        </w:rPr>
        <w:t>Smluvní strany</w:t>
      </w:r>
      <w:r w:rsidRPr="00BC7F78">
        <w:rPr>
          <w:rFonts w:ascii="Calibri" w:hAnsi="Calibri"/>
          <w:sz w:val="22"/>
          <w:szCs w:val="22"/>
        </w:rPr>
        <w:t>“)</w:t>
      </w:r>
    </w:p>
    <w:p w14:paraId="04008050" w14:textId="77777777" w:rsidR="009D3236" w:rsidRPr="00BC7F78" w:rsidRDefault="009D3236" w:rsidP="00B731E0">
      <w:pPr>
        <w:spacing w:line="276" w:lineRule="auto"/>
        <w:jc w:val="both"/>
        <w:rPr>
          <w:rFonts w:ascii="Calibri" w:hAnsi="Calibri"/>
          <w:sz w:val="22"/>
          <w:szCs w:val="22"/>
        </w:rPr>
      </w:pPr>
    </w:p>
    <w:p w14:paraId="4D14898C" w14:textId="77777777" w:rsidR="001D19D3" w:rsidRPr="00BC7F78" w:rsidRDefault="001D19D3" w:rsidP="0011554B">
      <w:pPr>
        <w:spacing w:line="276" w:lineRule="auto"/>
        <w:jc w:val="both"/>
        <w:rPr>
          <w:rFonts w:ascii="Calibri" w:hAnsi="Calibri"/>
          <w:sz w:val="22"/>
          <w:szCs w:val="22"/>
        </w:rPr>
      </w:pPr>
    </w:p>
    <w:p w14:paraId="224733D6" w14:textId="2053F983" w:rsidR="009D3236" w:rsidRDefault="009740E5" w:rsidP="0011554B">
      <w:pPr>
        <w:spacing w:line="276" w:lineRule="auto"/>
        <w:jc w:val="both"/>
        <w:rPr>
          <w:rFonts w:ascii="Calibri" w:hAnsi="Calibri"/>
          <w:sz w:val="22"/>
          <w:szCs w:val="22"/>
        </w:rPr>
      </w:pPr>
      <w:r w:rsidRPr="00BC7F78">
        <w:rPr>
          <w:rFonts w:ascii="Calibri" w:hAnsi="Calibri"/>
          <w:sz w:val="22"/>
          <w:szCs w:val="22"/>
        </w:rPr>
        <w:t>Kupující</w:t>
      </w:r>
      <w:r w:rsidR="003E7596" w:rsidRPr="00BC7F78">
        <w:rPr>
          <w:rFonts w:ascii="Calibri" w:hAnsi="Calibri"/>
          <w:sz w:val="22"/>
          <w:szCs w:val="22"/>
        </w:rPr>
        <w:t xml:space="preserve">, jakožto zadavatel veřejné zakázky </w:t>
      </w:r>
      <w:r w:rsidR="003E7596" w:rsidRPr="00BC7F78">
        <w:rPr>
          <w:rFonts w:ascii="Calibri" w:hAnsi="Calibri"/>
          <w:b/>
          <w:bCs/>
          <w:sz w:val="22"/>
          <w:szCs w:val="22"/>
        </w:rPr>
        <w:t>Dodávka hardwarového vybavení</w:t>
      </w:r>
      <w:r w:rsidR="000C61B2">
        <w:rPr>
          <w:rFonts w:ascii="Calibri" w:hAnsi="Calibri"/>
          <w:b/>
          <w:bCs/>
          <w:sz w:val="22"/>
          <w:szCs w:val="22"/>
        </w:rPr>
        <w:t>, 2. vypsání</w:t>
      </w:r>
      <w:r w:rsidR="00026A23" w:rsidRPr="00BC7F78">
        <w:rPr>
          <w:rFonts w:ascii="Calibri" w:hAnsi="Calibri"/>
          <w:b/>
          <w:bCs/>
          <w:sz w:val="22"/>
          <w:szCs w:val="22"/>
        </w:rPr>
        <w:t xml:space="preserve"> </w:t>
      </w:r>
      <w:r w:rsidR="0011554B" w:rsidRPr="00BC7F78">
        <w:rPr>
          <w:rFonts w:ascii="Calibri" w:hAnsi="Calibri"/>
          <w:sz w:val="22"/>
          <w:szCs w:val="22"/>
        </w:rPr>
        <w:t xml:space="preserve">(dále jen </w:t>
      </w:r>
      <w:r w:rsidR="0011554B" w:rsidRPr="00BC7F78">
        <w:rPr>
          <w:rFonts w:ascii="Calibri" w:hAnsi="Calibri"/>
          <w:b/>
          <w:bCs/>
          <w:sz w:val="22"/>
          <w:szCs w:val="22"/>
        </w:rPr>
        <w:t>„Veřejná zakázka“</w:t>
      </w:r>
      <w:r w:rsidR="0011554B" w:rsidRPr="00BC7F78">
        <w:rPr>
          <w:rFonts w:ascii="Calibri" w:hAnsi="Calibri"/>
          <w:sz w:val="22"/>
          <w:szCs w:val="22"/>
        </w:rPr>
        <w:t>) zadávané v</w:t>
      </w:r>
      <w:r w:rsidR="001D19D3" w:rsidRPr="00BC7F78">
        <w:rPr>
          <w:rFonts w:ascii="Calibri" w:hAnsi="Calibri"/>
          <w:sz w:val="22"/>
          <w:szCs w:val="22"/>
        </w:rPr>
        <w:t xml:space="preserve"> poptávkovém </w:t>
      </w:r>
      <w:r w:rsidR="0011554B" w:rsidRPr="00BC7F78">
        <w:rPr>
          <w:rFonts w:ascii="Calibri" w:hAnsi="Calibri"/>
          <w:sz w:val="22"/>
          <w:szCs w:val="22"/>
        </w:rPr>
        <w:t>řízení mimo režim zákona č. 134/2016 Sb., o zadávání veřejných zakázek, ve znění pozdějších předpisů, (dále jen „</w:t>
      </w:r>
      <w:r w:rsidR="0011554B" w:rsidRPr="00BC7F78">
        <w:rPr>
          <w:rFonts w:ascii="Calibri" w:hAnsi="Calibri"/>
          <w:b/>
          <w:bCs/>
          <w:sz w:val="22"/>
          <w:szCs w:val="22"/>
        </w:rPr>
        <w:t>ZZVZ</w:t>
      </w:r>
      <w:r w:rsidR="0011554B" w:rsidRPr="00BC7F78">
        <w:rPr>
          <w:rFonts w:ascii="Calibri" w:hAnsi="Calibri"/>
          <w:sz w:val="22"/>
          <w:szCs w:val="22"/>
        </w:rPr>
        <w:t>“) rozhodl o výběru Prodávajícího ke splnění Veřejné zakázky. Kupující</w:t>
      </w:r>
      <w:r w:rsidRPr="00BC7F78">
        <w:rPr>
          <w:rFonts w:ascii="Calibri" w:hAnsi="Calibri"/>
          <w:sz w:val="22"/>
          <w:szCs w:val="22"/>
        </w:rPr>
        <w:t xml:space="preserve"> a </w:t>
      </w:r>
      <w:r w:rsidR="00F91B13" w:rsidRPr="00BC7F78">
        <w:rPr>
          <w:rFonts w:ascii="Calibri" w:hAnsi="Calibri"/>
          <w:sz w:val="22"/>
          <w:szCs w:val="22"/>
        </w:rPr>
        <w:t>P</w:t>
      </w:r>
      <w:r w:rsidRPr="00BC7F78">
        <w:rPr>
          <w:rFonts w:ascii="Calibri" w:hAnsi="Calibri"/>
          <w:sz w:val="22"/>
          <w:szCs w:val="22"/>
        </w:rPr>
        <w:t>rodávající</w:t>
      </w:r>
      <w:r w:rsidR="009D3236" w:rsidRPr="00BC7F78">
        <w:rPr>
          <w:rFonts w:ascii="Calibri" w:hAnsi="Calibri"/>
          <w:sz w:val="22"/>
          <w:szCs w:val="22"/>
        </w:rPr>
        <w:t xml:space="preserve"> </w:t>
      </w:r>
      <w:r w:rsidR="0011554B" w:rsidRPr="00BC7F78">
        <w:rPr>
          <w:rFonts w:ascii="Calibri" w:hAnsi="Calibri"/>
          <w:sz w:val="22"/>
          <w:szCs w:val="22"/>
        </w:rPr>
        <w:t>tak uzavírají níže uvedeného dne, měsíce a roku tuto k</w:t>
      </w:r>
      <w:r w:rsidR="007434F1" w:rsidRPr="00BC7F78">
        <w:rPr>
          <w:rFonts w:ascii="Calibri" w:hAnsi="Calibri"/>
          <w:sz w:val="22"/>
          <w:szCs w:val="22"/>
        </w:rPr>
        <w:t>upní smlouv</w:t>
      </w:r>
      <w:r w:rsidR="00DB5B6B">
        <w:rPr>
          <w:rFonts w:ascii="Calibri" w:hAnsi="Calibri"/>
          <w:sz w:val="22"/>
          <w:szCs w:val="22"/>
        </w:rPr>
        <w:t>u</w:t>
      </w:r>
      <w:r w:rsidR="009D3236" w:rsidRPr="00BC7F78">
        <w:rPr>
          <w:rFonts w:ascii="Calibri" w:hAnsi="Calibri"/>
          <w:sz w:val="22"/>
          <w:szCs w:val="22"/>
        </w:rPr>
        <w:t xml:space="preserve"> (dále jen </w:t>
      </w:r>
      <w:r w:rsidR="00CD1F57" w:rsidRPr="00BC7F78">
        <w:rPr>
          <w:rFonts w:ascii="Calibri" w:hAnsi="Calibri"/>
          <w:b/>
          <w:bCs/>
          <w:sz w:val="22"/>
          <w:szCs w:val="22"/>
        </w:rPr>
        <w:t>„</w:t>
      </w:r>
      <w:r w:rsidR="003E7596" w:rsidRPr="00BC7F78">
        <w:rPr>
          <w:rFonts w:ascii="Calibri" w:hAnsi="Calibri"/>
          <w:b/>
          <w:bCs/>
          <w:sz w:val="22"/>
          <w:szCs w:val="22"/>
        </w:rPr>
        <w:t>S</w:t>
      </w:r>
      <w:r w:rsidR="009D3236" w:rsidRPr="00BC7F78">
        <w:rPr>
          <w:rFonts w:ascii="Calibri" w:hAnsi="Calibri"/>
          <w:b/>
          <w:bCs/>
          <w:sz w:val="22"/>
          <w:szCs w:val="22"/>
        </w:rPr>
        <w:t>mlouv</w:t>
      </w:r>
      <w:r w:rsidR="00CD1F57" w:rsidRPr="00BC7F78">
        <w:rPr>
          <w:rFonts w:ascii="Calibri" w:hAnsi="Calibri"/>
          <w:b/>
          <w:bCs/>
          <w:sz w:val="22"/>
          <w:szCs w:val="22"/>
        </w:rPr>
        <w:t>a</w:t>
      </w:r>
      <w:r w:rsidR="009D3236" w:rsidRPr="00BC7F78">
        <w:rPr>
          <w:rFonts w:ascii="Calibri" w:hAnsi="Calibri"/>
          <w:sz w:val="22"/>
          <w:szCs w:val="22"/>
        </w:rPr>
        <w:t>“)</w:t>
      </w:r>
      <w:r w:rsidR="0011554B" w:rsidRPr="00BC7F78">
        <w:rPr>
          <w:rFonts w:ascii="Calibri" w:hAnsi="Calibri"/>
          <w:sz w:val="22"/>
          <w:szCs w:val="22"/>
        </w:rPr>
        <w:t>.</w:t>
      </w:r>
    </w:p>
    <w:p w14:paraId="373F3564" w14:textId="77777777" w:rsidR="00362B22" w:rsidRDefault="00362B22" w:rsidP="0011554B">
      <w:pPr>
        <w:spacing w:line="276" w:lineRule="auto"/>
        <w:jc w:val="both"/>
        <w:rPr>
          <w:rFonts w:ascii="Calibri" w:hAnsi="Calibri"/>
          <w:sz w:val="22"/>
          <w:szCs w:val="22"/>
        </w:rPr>
      </w:pPr>
    </w:p>
    <w:p w14:paraId="28BBE091" w14:textId="77777777" w:rsidR="00362B22" w:rsidRPr="00BC7F78" w:rsidRDefault="00362B22" w:rsidP="0011554B">
      <w:pPr>
        <w:spacing w:line="276" w:lineRule="auto"/>
        <w:jc w:val="both"/>
        <w:rPr>
          <w:rFonts w:ascii="Calibri" w:hAnsi="Calibri"/>
          <w:sz w:val="22"/>
          <w:szCs w:val="22"/>
        </w:rPr>
      </w:pPr>
    </w:p>
    <w:p w14:paraId="5A48BCA5" w14:textId="47BB8789" w:rsidR="00B731E0" w:rsidRPr="00052F7B" w:rsidRDefault="007B575F" w:rsidP="00052F7B">
      <w:pPr>
        <w:pStyle w:val="Podnadpis"/>
        <w:rPr>
          <w:b w:val="0"/>
          <w:szCs w:val="22"/>
        </w:rPr>
      </w:pPr>
      <w:r w:rsidRPr="004B5F67">
        <w:lastRenderedPageBreak/>
        <w:t xml:space="preserve">Předmět </w:t>
      </w:r>
      <w:r w:rsidR="008E375C" w:rsidRPr="004B5F67">
        <w:t>smlouvy</w:t>
      </w:r>
    </w:p>
    <w:p w14:paraId="79F3DC44" w14:textId="049A42D4" w:rsidR="001D19D3" w:rsidRDefault="00EA693A" w:rsidP="001D19D3">
      <w:pPr>
        <w:pStyle w:val="Bezmezer"/>
      </w:pPr>
      <w:r>
        <w:t>Předmětem Smlouvy je závazek Prodávajícího dodat Kupujícímu hardwarové vybavení specifikované v příloze č. 1 této Smlouvy (dále jen „</w:t>
      </w:r>
      <w:r w:rsidRPr="00052F7B">
        <w:rPr>
          <w:b/>
          <w:bCs/>
        </w:rPr>
        <w:t>Zboží</w:t>
      </w:r>
      <w:r>
        <w:t>“) a závazek Kupujícího zaplatit Prodávajícímu</w:t>
      </w:r>
      <w:r w:rsidR="00152F44">
        <w:t xml:space="preserve"> za Zboží</w:t>
      </w:r>
      <w:r>
        <w:t xml:space="preserve"> kupní cenu dle čl. </w:t>
      </w:r>
      <w:r w:rsidR="007544B8">
        <w:fldChar w:fldCharType="begin"/>
      </w:r>
      <w:r w:rsidR="007544B8">
        <w:instrText xml:space="preserve"> REF _Ref150165135 \r \h </w:instrText>
      </w:r>
      <w:r w:rsidR="007544B8">
        <w:fldChar w:fldCharType="separate"/>
      </w:r>
      <w:r w:rsidR="007544B8">
        <w:t>IV</w:t>
      </w:r>
      <w:r w:rsidR="007544B8">
        <w:fldChar w:fldCharType="end"/>
      </w:r>
      <w:r>
        <w:t xml:space="preserve"> této Smlouvy</w:t>
      </w:r>
      <w:r w:rsidR="00DB538C">
        <w:t xml:space="preserve"> a Zboží převzít.</w:t>
      </w:r>
      <w:r>
        <w:t xml:space="preserve"> </w:t>
      </w:r>
    </w:p>
    <w:p w14:paraId="45ABEB7E" w14:textId="6DE3D435" w:rsidR="00EA693A" w:rsidRDefault="0011554B">
      <w:pPr>
        <w:pStyle w:val="Bezmezer"/>
      </w:pPr>
      <w:r>
        <w:t xml:space="preserve">Smlouva je uzavřena na základě výsledků </w:t>
      </w:r>
      <w:r w:rsidR="001D19D3">
        <w:t xml:space="preserve">poptávkového </w:t>
      </w:r>
      <w:r>
        <w:t>řízení Veřejné zakázky. Jednotlivá ujednání Smlouvy tak budou vykládána v souladu se zadávacími podmínkami Veřejné zakázky a</w:t>
      </w:r>
      <w:r w:rsidR="00645E11">
        <w:t> </w:t>
      </w:r>
      <w:r>
        <w:t xml:space="preserve">nabídkou Prodávajícího podanou do </w:t>
      </w:r>
      <w:r w:rsidR="00BC7F78">
        <w:t>poptávkového řízení</w:t>
      </w:r>
      <w:r>
        <w:t xml:space="preserve">. </w:t>
      </w:r>
    </w:p>
    <w:p w14:paraId="10028C2A" w14:textId="77777777" w:rsidR="00EA693A" w:rsidRPr="002A2E4A" w:rsidRDefault="00EA693A" w:rsidP="00EA693A">
      <w:pPr>
        <w:pStyle w:val="Podnadpis"/>
        <w:rPr>
          <w:szCs w:val="22"/>
        </w:rPr>
      </w:pPr>
      <w:r w:rsidRPr="004B5F67">
        <w:t>Doba a místo plnění</w:t>
      </w:r>
    </w:p>
    <w:p w14:paraId="4CC7D8A3" w14:textId="0A2C36E6" w:rsidR="00EA693A" w:rsidRDefault="00B93CC9" w:rsidP="00EA693A">
      <w:pPr>
        <w:pStyle w:val="Bezmezer"/>
      </w:pPr>
      <w:r>
        <w:t xml:space="preserve">Prodávající se zavazuje dodat </w:t>
      </w:r>
      <w:r w:rsidR="00EA693A">
        <w:t>Zboží</w:t>
      </w:r>
      <w:r w:rsidR="00EA693A" w:rsidRPr="004B5F67">
        <w:t xml:space="preserve"> nejpozději do </w:t>
      </w:r>
      <w:r w:rsidR="00EA693A" w:rsidRPr="00362B22">
        <w:t>14 kalendářních dnů</w:t>
      </w:r>
      <w:r w:rsidR="00EA693A" w:rsidRPr="004B5F67">
        <w:t xml:space="preserve"> od </w:t>
      </w:r>
      <w:r w:rsidR="00EA693A">
        <w:t>účinnosti</w:t>
      </w:r>
      <w:r w:rsidR="00EA693A" w:rsidRPr="004B5F67">
        <w:t xml:space="preserve"> </w:t>
      </w:r>
      <w:r w:rsidR="00EA693A">
        <w:t>S</w:t>
      </w:r>
      <w:r w:rsidR="00EA693A" w:rsidRPr="004B5F67">
        <w:t>mlouvy</w:t>
      </w:r>
      <w:r w:rsidR="007544B8">
        <w:t>.</w:t>
      </w:r>
    </w:p>
    <w:p w14:paraId="29CEB397" w14:textId="4D6E9F63" w:rsidR="00EA693A" w:rsidRDefault="00B93CC9" w:rsidP="00052F7B">
      <w:pPr>
        <w:pStyle w:val="Bezmezer"/>
      </w:pPr>
      <w:bookmarkStart w:id="0" w:name="_Ref150165326"/>
      <w:r>
        <w:t xml:space="preserve">Prodávající předá Zboží Kupujícímu </w:t>
      </w:r>
      <w:r w:rsidR="00EA693A" w:rsidRPr="004B5F67">
        <w:t xml:space="preserve">v sídle </w:t>
      </w:r>
      <w:r w:rsidR="00EA693A">
        <w:t>K</w:t>
      </w:r>
      <w:r w:rsidR="00EA693A" w:rsidRPr="004B5F67">
        <w:t>upujícího na adrese</w:t>
      </w:r>
      <w:r w:rsidR="00EA693A">
        <w:t>:</w:t>
      </w:r>
      <w:r w:rsidR="00EA693A" w:rsidRPr="004B5F67">
        <w:t xml:space="preserve"> Zelný trh 331/13, Brno v pracovních dnech, zpravidla od </w:t>
      </w:r>
      <w:r w:rsidR="00EA693A">
        <w:t>8</w:t>
      </w:r>
      <w:r w:rsidR="00EA693A" w:rsidRPr="004B5F67">
        <w:t>.00 hodin do 1</w:t>
      </w:r>
      <w:r w:rsidR="00EA693A">
        <w:t>7</w:t>
      </w:r>
      <w:r w:rsidR="00EA693A" w:rsidRPr="004B5F67">
        <w:t xml:space="preserve">.00 hodin. Prodávající prokazatelně sdělí </w:t>
      </w:r>
      <w:r w:rsidR="00EA693A">
        <w:t>K</w:t>
      </w:r>
      <w:r w:rsidR="00EA693A" w:rsidRPr="004B5F67">
        <w:t>upujícímu termín</w:t>
      </w:r>
      <w:r>
        <w:t xml:space="preserve"> a čas</w:t>
      </w:r>
      <w:r w:rsidR="00EA693A" w:rsidRPr="004B5F67">
        <w:t xml:space="preserve"> dodání na kontaktní emailovou adresu: </w:t>
      </w:r>
      <w:proofErr w:type="spellStart"/>
      <w:r w:rsidR="00AC2F94" w:rsidRPr="00AC2F94">
        <w:rPr>
          <w:szCs w:val="22"/>
        </w:rPr>
        <w:t>xxxxx</w:t>
      </w:r>
      <w:proofErr w:type="spellEnd"/>
      <w:r w:rsidR="00EA693A" w:rsidRPr="004B5F67">
        <w:t xml:space="preserve"> alespoň 1 pracovní den předem.</w:t>
      </w:r>
      <w:bookmarkEnd w:id="0"/>
    </w:p>
    <w:p w14:paraId="79CC818B" w14:textId="7E271242" w:rsidR="00EA693A" w:rsidRDefault="00EA693A" w:rsidP="00EA693A">
      <w:pPr>
        <w:pStyle w:val="Bezmezer"/>
      </w:pPr>
      <w:r>
        <w:t xml:space="preserve">Předání a převzetí Zboží </w:t>
      </w:r>
      <w:r w:rsidR="00BC7F78">
        <w:t xml:space="preserve">bude potvrzeno podpisem obou Smluvních stran na </w:t>
      </w:r>
      <w:r>
        <w:t>dodací</w:t>
      </w:r>
      <w:r w:rsidR="00BC7F78">
        <w:t>m</w:t>
      </w:r>
      <w:r>
        <w:t xml:space="preserve"> listu, popř. předávací</w:t>
      </w:r>
      <w:r w:rsidR="00BC7F78">
        <w:t xml:space="preserve">m </w:t>
      </w:r>
      <w:r>
        <w:t>protokolu</w:t>
      </w:r>
      <w:r w:rsidR="00BC7F78">
        <w:t xml:space="preserve"> (dále jen „</w:t>
      </w:r>
      <w:r w:rsidR="00BC7F78" w:rsidRPr="00052F7B">
        <w:rPr>
          <w:b/>
          <w:bCs/>
        </w:rPr>
        <w:t>Protokol</w:t>
      </w:r>
      <w:r w:rsidR="00BC7F78">
        <w:t>“).</w:t>
      </w:r>
      <w:r w:rsidR="00152F44">
        <w:t xml:space="preserve"> Protokol bude obsahovat alespoň:</w:t>
      </w:r>
    </w:p>
    <w:p w14:paraId="75163DCF" w14:textId="63682489" w:rsidR="00152F44" w:rsidRDefault="00152F44" w:rsidP="00152F44">
      <w:pPr>
        <w:pStyle w:val="Bezmezer"/>
        <w:numPr>
          <w:ilvl w:val="1"/>
          <w:numId w:val="27"/>
        </w:numPr>
      </w:pPr>
      <w:r>
        <w:t>identifikační údaje Kupujícího a Prodávajícího,</w:t>
      </w:r>
    </w:p>
    <w:p w14:paraId="5E27E03A" w14:textId="3A649FBE" w:rsidR="00152F44" w:rsidRDefault="00152F44" w:rsidP="00152F44">
      <w:pPr>
        <w:pStyle w:val="Bezmezer"/>
        <w:numPr>
          <w:ilvl w:val="1"/>
          <w:numId w:val="27"/>
        </w:numPr>
      </w:pPr>
      <w:r>
        <w:t>identifikaci Zboží,</w:t>
      </w:r>
    </w:p>
    <w:p w14:paraId="7E843CA1" w14:textId="128B6DB0" w:rsidR="00152F44" w:rsidRDefault="00152F44" w:rsidP="00152F44">
      <w:pPr>
        <w:pStyle w:val="Bezmezer"/>
        <w:numPr>
          <w:ilvl w:val="1"/>
          <w:numId w:val="27"/>
        </w:numPr>
      </w:pPr>
      <w:r>
        <w:t>informaci o tom, zda bylo Zboží Kupujícím převzato nebo bylo převzetí odmítnuto s ohledem na vady Zboží,</w:t>
      </w:r>
    </w:p>
    <w:p w14:paraId="1117784C" w14:textId="49C5060D" w:rsidR="00152F44" w:rsidRDefault="00152F44" w:rsidP="00152F44">
      <w:pPr>
        <w:pStyle w:val="Bezmezer"/>
        <w:numPr>
          <w:ilvl w:val="1"/>
          <w:numId w:val="27"/>
        </w:numPr>
      </w:pPr>
      <w:r>
        <w:t>pokud Kupující Zboží převzal, informaci o tom, kdy bylo Zboží předáno a převzato,</w:t>
      </w:r>
    </w:p>
    <w:p w14:paraId="041703C9" w14:textId="38BC9E77" w:rsidR="00152F44" w:rsidRDefault="00152F44" w:rsidP="00152F44">
      <w:pPr>
        <w:pStyle w:val="Bezmezer"/>
        <w:numPr>
          <w:ilvl w:val="1"/>
          <w:numId w:val="27"/>
        </w:numPr>
      </w:pPr>
      <w:r>
        <w:t>pokud Kupující odmítl Zboží převzít, informaci o tom, z jakého důvodu a popis případných vad,</w:t>
      </w:r>
    </w:p>
    <w:p w14:paraId="0CFAAAB9" w14:textId="174976BA" w:rsidR="00152F44" w:rsidRDefault="00152F44" w:rsidP="00052F7B">
      <w:pPr>
        <w:pStyle w:val="Bezmezer"/>
        <w:numPr>
          <w:ilvl w:val="1"/>
          <w:numId w:val="27"/>
        </w:numPr>
      </w:pPr>
      <w:r>
        <w:t xml:space="preserve">podpis Kupujícího a Prodávajícího. </w:t>
      </w:r>
    </w:p>
    <w:p w14:paraId="173BFD0A" w14:textId="777D014D" w:rsidR="00B731E0" w:rsidRPr="00052F7B" w:rsidRDefault="00B731E0" w:rsidP="00052F7B">
      <w:pPr>
        <w:pStyle w:val="Podnadpis"/>
        <w:rPr>
          <w:b w:val="0"/>
          <w:szCs w:val="22"/>
        </w:rPr>
      </w:pPr>
      <w:r>
        <w:t>Kupní cena</w:t>
      </w:r>
      <w:bookmarkStart w:id="1" w:name="_Ref150165135"/>
    </w:p>
    <w:bookmarkEnd w:id="1"/>
    <w:p w14:paraId="0E055867" w14:textId="35F3C513" w:rsidR="00B93CC9" w:rsidRPr="00052F7B" w:rsidRDefault="003F30AD">
      <w:pPr>
        <w:pStyle w:val="Bezmezer"/>
      </w:pPr>
      <w:r>
        <w:t xml:space="preserve">Kupní cena </w:t>
      </w:r>
      <w:r w:rsidR="00F95F77">
        <w:t>Zboží</w:t>
      </w:r>
      <w:r>
        <w:t xml:space="preserve"> </w:t>
      </w:r>
      <w:r w:rsidR="007544B8">
        <w:rPr>
          <w:color w:val="000000"/>
        </w:rPr>
        <w:t>je</w:t>
      </w:r>
      <w:r w:rsidR="00B93CC9">
        <w:rPr>
          <w:color w:val="000000"/>
        </w:rPr>
        <w:t xml:space="preserve"> </w:t>
      </w:r>
      <w:r w:rsidR="00362B22">
        <w:rPr>
          <w:rFonts w:cs="Calibri"/>
          <w:szCs w:val="22"/>
          <w:lang w:eastAsia="en-US" w:bidi="en-US"/>
        </w:rPr>
        <w:t xml:space="preserve">65.370,00 </w:t>
      </w:r>
      <w:r w:rsidR="00B93CC9">
        <w:rPr>
          <w:rFonts w:cs="Calibri"/>
          <w:szCs w:val="22"/>
          <w:lang w:eastAsia="en-US" w:bidi="en-US"/>
        </w:rPr>
        <w:t>Kč bez DPH.</w:t>
      </w:r>
    </w:p>
    <w:p w14:paraId="736715D0" w14:textId="27990F82" w:rsidR="003F30AD" w:rsidRDefault="00B93CC9" w:rsidP="00052F7B">
      <w:pPr>
        <w:pStyle w:val="Bezmezer"/>
      </w:pPr>
      <w:r>
        <w:rPr>
          <w:color w:val="000000"/>
        </w:rPr>
        <w:t xml:space="preserve">Kupní cena je stanovena na základě ocenění tabulky s technickou specifikací dle přílohy č. 1 této Smlouvy. </w:t>
      </w:r>
    </w:p>
    <w:p w14:paraId="54BCBAB5" w14:textId="2E546B08" w:rsidR="00B731E0" w:rsidRDefault="00B731E0" w:rsidP="00052F7B">
      <w:pPr>
        <w:pStyle w:val="Bezmezer"/>
      </w:pPr>
      <w:r>
        <w:t xml:space="preserve">Kupní cena je nejvýše přípustná a nemůže být </w:t>
      </w:r>
      <w:r w:rsidR="00EA693A">
        <w:t>P</w:t>
      </w:r>
      <w:r>
        <w:t xml:space="preserve">rodávajícím zvýšena bez výslovného souhlasu </w:t>
      </w:r>
      <w:r w:rsidR="00F91B13">
        <w:t>K</w:t>
      </w:r>
      <w:r>
        <w:t xml:space="preserve">upujícího. </w:t>
      </w:r>
    </w:p>
    <w:p w14:paraId="3517AE58" w14:textId="27D37922" w:rsidR="003F30AD" w:rsidRPr="007544B8" w:rsidRDefault="00B731E0" w:rsidP="00052F7B">
      <w:pPr>
        <w:pStyle w:val="Bezmezer"/>
        <w:rPr>
          <w:szCs w:val="22"/>
        </w:rPr>
      </w:pPr>
      <w:r>
        <w:t xml:space="preserve">Prodávající garantuje, že sjednaná </w:t>
      </w:r>
      <w:r w:rsidR="007544B8">
        <w:t xml:space="preserve">kupní </w:t>
      </w:r>
      <w:r>
        <w:t xml:space="preserve">cena obsahuje veškeré náklady nutné k řádné realizaci předmětu této </w:t>
      </w:r>
      <w:r w:rsidR="00C159F7">
        <w:t>S</w:t>
      </w:r>
      <w:r>
        <w:t>mlouvy</w:t>
      </w:r>
      <w:r w:rsidR="00DB5B6B">
        <w:t>, a to včetně nákladů</w:t>
      </w:r>
      <w:r w:rsidR="00EA693A">
        <w:t xml:space="preserve"> </w:t>
      </w:r>
      <w:r w:rsidR="00B93CC9">
        <w:t>z</w:t>
      </w:r>
      <w:r w:rsidR="00EA693A">
        <w:t xml:space="preserve">a </w:t>
      </w:r>
      <w:r>
        <w:t xml:space="preserve">dopravu, tj. dovoz </w:t>
      </w:r>
      <w:r w:rsidR="00F95F77">
        <w:t>Zboží</w:t>
      </w:r>
      <w:r>
        <w:t xml:space="preserve"> do </w:t>
      </w:r>
      <w:r w:rsidR="00EA693A">
        <w:t>sídla Kupujícího</w:t>
      </w:r>
      <w:r w:rsidR="00B93CC9">
        <w:t xml:space="preserve"> a vynesení do </w:t>
      </w:r>
      <w:r w:rsidR="006F0E12">
        <w:t>2.</w:t>
      </w:r>
      <w:r w:rsidR="00B93CC9">
        <w:t xml:space="preserve"> patra. </w:t>
      </w:r>
    </w:p>
    <w:p w14:paraId="50EDF81B" w14:textId="77777777" w:rsidR="00D52F2C" w:rsidRDefault="0019787D" w:rsidP="00052F7B">
      <w:pPr>
        <w:pStyle w:val="Podnadpis"/>
      </w:pPr>
      <w:r w:rsidRPr="004B5F67">
        <w:t>Platební podmínky</w:t>
      </w:r>
    </w:p>
    <w:p w14:paraId="4B6EEED8" w14:textId="77777777" w:rsidR="00BC7F78" w:rsidRDefault="00DE720F" w:rsidP="00EA693A">
      <w:pPr>
        <w:pStyle w:val="Bezmezer"/>
      </w:pPr>
      <w:r>
        <w:t>Kupující</w:t>
      </w:r>
      <w:r w:rsidR="00EA693A">
        <w:t xml:space="preserve"> uhradí Prodávajícímu kup</w:t>
      </w:r>
      <w:r w:rsidR="00BC7F78">
        <w:t>n</w:t>
      </w:r>
      <w:r w:rsidR="00EA693A">
        <w:t>í cenu na základě faktury – daňového dokladu. Datum uskutečnitelného zdanitelného plnění je den předání a převzetí Zboží uveden</w:t>
      </w:r>
      <w:r w:rsidR="00BC7F78">
        <w:t>ý v Protokolu</w:t>
      </w:r>
      <w:r w:rsidR="00EA693A">
        <w:t xml:space="preserve">. </w:t>
      </w:r>
    </w:p>
    <w:p w14:paraId="6852AA06" w14:textId="5A38EF6F" w:rsidR="00EA693A" w:rsidRDefault="00EA693A" w:rsidP="00EA693A">
      <w:pPr>
        <w:pStyle w:val="Bezmezer"/>
      </w:pPr>
      <w:r>
        <w:lastRenderedPageBreak/>
        <w:t>Prodávající vystaví fakturu do 10 dnů od</w:t>
      </w:r>
      <w:r w:rsidR="00BC7F78">
        <w:t>e dne předání a převzetí Zboží uvedeného v Protokolu.</w:t>
      </w:r>
    </w:p>
    <w:p w14:paraId="6A554E56" w14:textId="781F7F19" w:rsidR="00BC7F78" w:rsidRDefault="00BC7F78" w:rsidP="00BC7F78">
      <w:pPr>
        <w:pStyle w:val="Bezmezer"/>
        <w:rPr>
          <w:lang w:eastAsia="ar-SA"/>
        </w:rPr>
      </w:pPr>
      <w:r>
        <w:rPr>
          <w:lang w:eastAsia="ar-SA"/>
        </w:rPr>
        <w:t>Splatnost faktur bude 30 kalendářních dnů od</w:t>
      </w:r>
      <w:r w:rsidR="007544B8">
        <w:rPr>
          <w:lang w:eastAsia="ar-SA"/>
        </w:rPr>
        <w:t xml:space="preserve">e dne předání a převzetí Zboží uvedeného v Protokolu. </w:t>
      </w:r>
      <w:r>
        <w:rPr>
          <w:lang w:eastAsia="ar-SA"/>
        </w:rPr>
        <w:t xml:space="preserve"> </w:t>
      </w:r>
    </w:p>
    <w:p w14:paraId="65AB230A" w14:textId="60549D71" w:rsidR="00BC7F78" w:rsidRDefault="00BC7F78" w:rsidP="00BC7F78">
      <w:pPr>
        <w:pStyle w:val="Bezmezer"/>
        <w:rPr>
          <w:lang w:eastAsia="ar-SA"/>
        </w:rPr>
      </w:pPr>
      <w:r>
        <w:rPr>
          <w:lang w:eastAsia="ar-SA"/>
        </w:rPr>
        <w:t xml:space="preserve">Úhradu faktur provede Kupující bezhotovostně na bankovní účet Prodávajícího uvedený v této Smlouvě. </w:t>
      </w:r>
    </w:p>
    <w:p w14:paraId="716C22C0" w14:textId="35FBBA90" w:rsidR="00BC7F78" w:rsidRPr="0054267C" w:rsidRDefault="00BC7F78" w:rsidP="00BC7F78">
      <w:pPr>
        <w:pStyle w:val="Bezmezer"/>
        <w:rPr>
          <w:lang w:eastAsia="ar-SA"/>
        </w:rPr>
      </w:pPr>
      <w:r w:rsidRPr="00B02326">
        <w:t xml:space="preserve">Faktura vystavená </w:t>
      </w:r>
      <w:r>
        <w:t>Prodávajícím</w:t>
      </w:r>
      <w:r w:rsidRPr="00B02326">
        <w:t xml:space="preserve"> musí splňovat náležitosti daňového dokladu dle zákona č.</w:t>
      </w:r>
      <w:r w:rsidR="00645E11">
        <w:t> </w:t>
      </w:r>
      <w:r w:rsidRPr="00B02326">
        <w:t>235/2004 Sb., o dani z přidané hodnoty, ve znění pozdějších předpisů. Faktura musí dále splňovat náležitosti účetního dokladu dle zákona č. 563/1991 Sb., o účetnictví, ve znění pozdějších předpisů. Faktura musí vždy splňovat náležitosti stanovené v § 435 občanského zákoníku.</w:t>
      </w:r>
    </w:p>
    <w:p w14:paraId="5C7E2412" w14:textId="0AF682A3" w:rsidR="00BC7F78" w:rsidRDefault="00BC7F78" w:rsidP="00BC7F78">
      <w:pPr>
        <w:pStyle w:val="Bezmezer"/>
      </w:pPr>
      <w:r w:rsidRPr="00B02326">
        <w:t xml:space="preserve">Nebude-li příslušná </w:t>
      </w:r>
      <w:r>
        <w:t>f</w:t>
      </w:r>
      <w:r w:rsidRPr="00B02326">
        <w:t xml:space="preserve">aktura obsahovat některou povinnou nebo dohodnutou náležitost nebo bude-li chybně stanovena </w:t>
      </w:r>
      <w:r>
        <w:t>cena nebo</w:t>
      </w:r>
      <w:r w:rsidRPr="00B02326">
        <w:t xml:space="preserve"> jiná náležitost </w:t>
      </w:r>
      <w:r>
        <w:t>f</w:t>
      </w:r>
      <w:r w:rsidRPr="00B02326">
        <w:t xml:space="preserve">aktury, je </w:t>
      </w:r>
      <w:r>
        <w:t>Kupující</w:t>
      </w:r>
      <w:r w:rsidRPr="00B02326">
        <w:t xml:space="preserve"> oprávněn tuto </w:t>
      </w:r>
      <w:r>
        <w:t>f</w:t>
      </w:r>
      <w:r w:rsidRPr="00B02326">
        <w:t xml:space="preserve">akturu vrátit </w:t>
      </w:r>
      <w:r>
        <w:t>Prodávajícímu</w:t>
      </w:r>
      <w:r w:rsidRPr="00B02326">
        <w:t xml:space="preserve"> k provedení opravy s vyznačením důvodu vrácení. </w:t>
      </w:r>
      <w:r>
        <w:t xml:space="preserve">Prodávající </w:t>
      </w:r>
      <w:r w:rsidRPr="00B02326">
        <w:t xml:space="preserve">provede opravu </w:t>
      </w:r>
      <w:r>
        <w:t>f</w:t>
      </w:r>
      <w:r w:rsidRPr="00B02326">
        <w:t xml:space="preserve">aktury dle pokynů </w:t>
      </w:r>
      <w:r>
        <w:t>Kupujícího. Kupující</w:t>
      </w:r>
      <w:r w:rsidRPr="0054267C">
        <w:t xml:space="preserve"> </w:t>
      </w:r>
      <w:r>
        <w:t xml:space="preserve">v takovém případě </w:t>
      </w:r>
      <w:r w:rsidRPr="0054267C">
        <w:t xml:space="preserve">není do uplynutí nového data splatnosti v prodlení se </w:t>
      </w:r>
      <w:r>
        <w:t>zaplacením</w:t>
      </w:r>
      <w:r w:rsidRPr="0054267C">
        <w:t xml:space="preserve"> faktury.</w:t>
      </w:r>
    </w:p>
    <w:p w14:paraId="68342D75" w14:textId="77C8EABC" w:rsidR="002031C0" w:rsidRPr="004B5F67" w:rsidRDefault="00380D9E" w:rsidP="00052F7B">
      <w:pPr>
        <w:pStyle w:val="Bezmezer"/>
      </w:pPr>
      <w:r>
        <w:t xml:space="preserve">Kupující neposkytuje zálohy. </w:t>
      </w:r>
    </w:p>
    <w:p w14:paraId="3A669135" w14:textId="0C699E53" w:rsidR="00361B2D" w:rsidRPr="00052F7B" w:rsidRDefault="002031C0" w:rsidP="00052F7B">
      <w:pPr>
        <w:pStyle w:val="Podnadpis"/>
        <w:rPr>
          <w:b w:val="0"/>
          <w:szCs w:val="22"/>
        </w:rPr>
      </w:pPr>
      <w:r w:rsidRPr="004B5F67">
        <w:t>Z</w:t>
      </w:r>
      <w:r w:rsidR="006F607D" w:rsidRPr="004B5F67">
        <w:t>áruční doba a odpovědnost za vady</w:t>
      </w:r>
    </w:p>
    <w:p w14:paraId="63EF78BD" w14:textId="76CAEAA9" w:rsidR="00DB5B6B" w:rsidRDefault="00DB5B6B" w:rsidP="00406DFE">
      <w:pPr>
        <w:pStyle w:val="Bezmezer"/>
      </w:pPr>
      <w:r>
        <w:t>Zboží je vadné, neodpovídají-li Smlouvě. Smluvní strany sjednávají, že Zboží bude Smlouvě odpovídat a že práva z vadného plnění lze uplatňovat i po smluvenou záruční dobu. Smluvní strany výslovně utvrzují, že v záruční době lze uplatnit jakékoli vady, které Zboží má, mj. tedy zcela bez ohledu na to, zda vznikly před či po převzetí Zboží Kupujícím, nebo kdy je Kupující měl či mohl zjistit, nebo kdy je zjistil, a to i v případě vad zjevných.</w:t>
      </w:r>
    </w:p>
    <w:p w14:paraId="584990B1" w14:textId="3B262BD5" w:rsidR="00406DFE" w:rsidRDefault="00406DFE" w:rsidP="00406DFE">
      <w:pPr>
        <w:pStyle w:val="Bezmezer"/>
      </w:pPr>
      <w:r>
        <w:t xml:space="preserve">Prodávající poskytuje na Zboží </w:t>
      </w:r>
      <w:r w:rsidRPr="002A2E4A">
        <w:t>záruku za jakost v délce trvání 36 měsíců</w:t>
      </w:r>
      <w:r w:rsidR="00C52150">
        <w:t xml:space="preserve"> pro stolní počítač a 12 měsíců pro tablety</w:t>
      </w:r>
      <w:r w:rsidRPr="00BC7F78">
        <w:t>.</w:t>
      </w:r>
      <w:r>
        <w:t xml:space="preserve"> Záruční lhůta začíná běžet dnem předání a převzetí Zboží uvedeným v Protokolu.</w:t>
      </w:r>
    </w:p>
    <w:p w14:paraId="25C36763" w14:textId="5BAE9BB0" w:rsidR="00DB538C" w:rsidRDefault="00406DFE" w:rsidP="00BC7F78">
      <w:pPr>
        <w:pStyle w:val="Bezmezer"/>
      </w:pPr>
      <w:r>
        <w:t xml:space="preserve">Neodpovídá-li Zboží Smlouvě, má Kupující v záruční době právo zejména na: </w:t>
      </w:r>
    </w:p>
    <w:p w14:paraId="12580E8C" w14:textId="7C92F94E" w:rsidR="00406DFE" w:rsidRDefault="00406DFE" w:rsidP="00406DFE">
      <w:pPr>
        <w:pStyle w:val="Bezmezer"/>
        <w:numPr>
          <w:ilvl w:val="1"/>
          <w:numId w:val="27"/>
        </w:numPr>
      </w:pPr>
      <w:r>
        <w:t xml:space="preserve">odstranění vady dodáním nového Zboží bez vad, </w:t>
      </w:r>
    </w:p>
    <w:p w14:paraId="1AB7F86B" w14:textId="2E7427BD" w:rsidR="00406DFE" w:rsidRDefault="00406DFE" w:rsidP="00406DFE">
      <w:pPr>
        <w:pStyle w:val="Bezmezer"/>
        <w:numPr>
          <w:ilvl w:val="1"/>
          <w:numId w:val="27"/>
        </w:numPr>
      </w:pPr>
      <w:r>
        <w:t>odstranění vady opravou Zboží, pokud je vada opravou odstranitelná,</w:t>
      </w:r>
    </w:p>
    <w:p w14:paraId="647643E7" w14:textId="74B4381B" w:rsidR="00406DFE" w:rsidRDefault="00406DFE" w:rsidP="00406DFE">
      <w:pPr>
        <w:pStyle w:val="Bezmezer"/>
        <w:numPr>
          <w:ilvl w:val="1"/>
          <w:numId w:val="27"/>
        </w:numPr>
      </w:pPr>
      <w:r>
        <w:t>odstranění vady dodáním chybějící věci nebo její součásti,</w:t>
      </w:r>
    </w:p>
    <w:p w14:paraId="441DBDA8" w14:textId="284D4EAB" w:rsidR="00406DFE" w:rsidRDefault="00406DFE" w:rsidP="00406DFE">
      <w:pPr>
        <w:pStyle w:val="Bezmezer"/>
        <w:numPr>
          <w:ilvl w:val="1"/>
          <w:numId w:val="27"/>
        </w:numPr>
      </w:pPr>
      <w:r>
        <w:t xml:space="preserve">přiměřenou slevu z kupní ceny, </w:t>
      </w:r>
    </w:p>
    <w:p w14:paraId="45E94064" w14:textId="29859EF9" w:rsidR="00406DFE" w:rsidRDefault="00406DFE" w:rsidP="00406DFE">
      <w:pPr>
        <w:pStyle w:val="Bezmezer"/>
        <w:numPr>
          <w:ilvl w:val="1"/>
          <w:numId w:val="27"/>
        </w:numPr>
      </w:pPr>
      <w:r>
        <w:t xml:space="preserve">odstoupení od Smlouvy. </w:t>
      </w:r>
    </w:p>
    <w:p w14:paraId="53ED9261" w14:textId="1C8EF2C9" w:rsidR="00406DFE" w:rsidRDefault="00406DFE" w:rsidP="00052F7B">
      <w:pPr>
        <w:pStyle w:val="Bezmezer"/>
        <w:numPr>
          <w:ilvl w:val="0"/>
          <w:numId w:val="0"/>
        </w:numPr>
        <w:ind w:left="567"/>
      </w:pPr>
      <w:r>
        <w:t>Kupující je oprávněn zvolit si a uplatnit kterékoli z uvedených práv dle svého uvážení.</w:t>
      </w:r>
    </w:p>
    <w:p w14:paraId="5159D35F" w14:textId="5497A16D" w:rsidR="00406DFE" w:rsidRDefault="00406DFE" w:rsidP="00BC7F78">
      <w:pPr>
        <w:pStyle w:val="Bezmezer"/>
      </w:pPr>
      <w:r>
        <w:t>Práva z vadného plnění v záruční době uplatní Kupující oznámení</w:t>
      </w:r>
      <w:r w:rsidR="00DB5B6B">
        <w:t>m</w:t>
      </w:r>
      <w:r>
        <w:t xml:space="preserve"> Prodávajícímu (dále jen „</w:t>
      </w:r>
      <w:r w:rsidRPr="00052F7B">
        <w:rPr>
          <w:b/>
          <w:bCs/>
        </w:rPr>
        <w:t>Reklamace</w:t>
      </w:r>
      <w:r>
        <w:t>“), a to kdykoli po zjištění vady. V Reklamaci uvede Kupující, v čem vada spočívá a</w:t>
      </w:r>
      <w:r w:rsidR="007A451B">
        <w:t> </w:t>
      </w:r>
      <w:r>
        <w:t xml:space="preserve">jaké právo z vadného plnění uplatňuje. </w:t>
      </w:r>
    </w:p>
    <w:p w14:paraId="57B65E02" w14:textId="6FDC66E9" w:rsidR="00406DFE" w:rsidRDefault="00406DFE" w:rsidP="00BC7F78">
      <w:pPr>
        <w:pStyle w:val="Bezmezer"/>
      </w:pPr>
      <w:bookmarkStart w:id="2" w:name="_Ref150169549"/>
      <w:r>
        <w:t xml:space="preserve">Uplatněná práva Kupujícího z vadného plnění se Prodávající zavazuje plně uspokojit bezodkladně, nejpozději však do </w:t>
      </w:r>
      <w:r w:rsidRPr="00362B22">
        <w:t xml:space="preserve">30 </w:t>
      </w:r>
      <w:r w:rsidR="00B218F9" w:rsidRPr="00362B22">
        <w:t xml:space="preserve">kalendářních </w:t>
      </w:r>
      <w:r w:rsidRPr="00362B22">
        <w:t>dnů ode dne obdržení Reklamace</w:t>
      </w:r>
      <w:r>
        <w:t>, nebude-li mezi Prodávajícím a Kupujícím dohodnuto jinak.</w:t>
      </w:r>
      <w:bookmarkEnd w:id="2"/>
    </w:p>
    <w:p w14:paraId="7A56FBB5" w14:textId="1ED32457" w:rsidR="007544B8" w:rsidRDefault="007544B8" w:rsidP="007544B8">
      <w:pPr>
        <w:pStyle w:val="Podnadpis"/>
      </w:pPr>
      <w:r>
        <w:lastRenderedPageBreak/>
        <w:t>Sankce a náhrada škody</w:t>
      </w:r>
    </w:p>
    <w:p w14:paraId="3BEF0ACF" w14:textId="28E39484" w:rsidR="007544B8" w:rsidRDefault="007544B8" w:rsidP="007544B8">
      <w:pPr>
        <w:pStyle w:val="Bezmezer"/>
      </w:pPr>
      <w:proofErr w:type="gramStart"/>
      <w:r>
        <w:t>Poruší</w:t>
      </w:r>
      <w:proofErr w:type="gramEnd"/>
      <w:r>
        <w:t>-li P</w:t>
      </w:r>
      <w:r w:rsidR="00152F44">
        <w:t xml:space="preserve">rodávající </w:t>
      </w:r>
      <w:r>
        <w:t xml:space="preserve">povinnost dodat </w:t>
      </w:r>
      <w:r w:rsidR="00B93CC9">
        <w:t>Z</w:t>
      </w:r>
      <w:r>
        <w:t xml:space="preserve">boží v termínu dle odst. </w:t>
      </w:r>
      <w:r>
        <w:fldChar w:fldCharType="begin"/>
      </w:r>
      <w:r>
        <w:instrText xml:space="preserve"> REF _Ref150165326 \r \h </w:instrText>
      </w:r>
      <w:r>
        <w:fldChar w:fldCharType="separate"/>
      </w:r>
      <w:r>
        <w:t>4</w:t>
      </w:r>
      <w:r>
        <w:fldChar w:fldCharType="end"/>
      </w:r>
      <w:r>
        <w:t xml:space="preserve"> Smlouvy, je </w:t>
      </w:r>
      <w:r w:rsidR="00B218F9">
        <w:t xml:space="preserve">Kupující </w:t>
      </w:r>
      <w:r>
        <w:t xml:space="preserve">oprávněn nárokovat smluvní pokutu ve výši </w:t>
      </w:r>
      <w:r w:rsidR="00B93CC9">
        <w:t xml:space="preserve">1 % z ceny </w:t>
      </w:r>
      <w:r w:rsidR="005B2F24">
        <w:t xml:space="preserve">nedoručeného Zboží, a to </w:t>
      </w:r>
      <w:r>
        <w:t xml:space="preserve">za každý den prodlení. </w:t>
      </w:r>
    </w:p>
    <w:p w14:paraId="43CF1447" w14:textId="42610597" w:rsidR="00DB5B6B" w:rsidRDefault="00DB5B6B" w:rsidP="007544B8">
      <w:pPr>
        <w:pStyle w:val="Bezmezer"/>
      </w:pPr>
      <w:proofErr w:type="gramStart"/>
      <w:r>
        <w:t>Poruší</w:t>
      </w:r>
      <w:proofErr w:type="gramEnd"/>
      <w:r>
        <w:t>-li Prodávající povinnost plně uspokojit uplatněná práva Kupujícího z vadného plnění ve</w:t>
      </w:r>
      <w:r w:rsidR="00645E11">
        <w:t> </w:t>
      </w:r>
      <w:r>
        <w:t xml:space="preserve">lhůtě dle odst. </w:t>
      </w:r>
      <w:r>
        <w:fldChar w:fldCharType="begin"/>
      </w:r>
      <w:r>
        <w:instrText xml:space="preserve"> REF _Ref150169549 \r \h </w:instrText>
      </w:r>
      <w:r>
        <w:fldChar w:fldCharType="separate"/>
      </w:r>
      <w:r>
        <w:t>20</w:t>
      </w:r>
      <w:r>
        <w:fldChar w:fldCharType="end"/>
      </w:r>
      <w:r>
        <w:t xml:space="preserve"> Smlouvy, je </w:t>
      </w:r>
      <w:r w:rsidR="00B218F9">
        <w:t xml:space="preserve">Kupující </w:t>
      </w:r>
      <w:r>
        <w:t xml:space="preserve">oprávněn nárokovat smluvní pokutu ve výši </w:t>
      </w:r>
      <w:r w:rsidR="005B2F24">
        <w:t xml:space="preserve">1 % z ceny vadného Zboží, a to </w:t>
      </w:r>
      <w:r>
        <w:t xml:space="preserve">za každý den prodlení. </w:t>
      </w:r>
    </w:p>
    <w:p w14:paraId="3F37179C" w14:textId="1F205164" w:rsidR="00152F44" w:rsidRDefault="00152F44" w:rsidP="007544B8">
      <w:pPr>
        <w:pStyle w:val="Bezmezer"/>
      </w:pPr>
      <w:r>
        <w:t>Poruší-li Kupující povinnost uhradit oprávněně vystavenou fakturu ve sjednané době, je</w:t>
      </w:r>
      <w:r w:rsidR="00645E11">
        <w:t> </w:t>
      </w:r>
      <w:r>
        <w:t xml:space="preserve">povinen uhradit Prodávajícímu zákonný úrok z prodlení ve výši dle platných právních předpisů. </w:t>
      </w:r>
    </w:p>
    <w:p w14:paraId="242DE842" w14:textId="44B2F84D" w:rsidR="00152F44" w:rsidRDefault="00152F44" w:rsidP="007544B8">
      <w:pPr>
        <w:pStyle w:val="Bezmezer"/>
      </w:pPr>
      <w:r>
        <w:t xml:space="preserve">Zaplacení smluvní pokuty nezbavuje Prodávajícího povinnosti splnit dluh smluvní pokutou utvrzený. </w:t>
      </w:r>
    </w:p>
    <w:p w14:paraId="40F5F109" w14:textId="2B53736B" w:rsidR="00152F44" w:rsidRDefault="00152F44" w:rsidP="007544B8">
      <w:pPr>
        <w:pStyle w:val="Bezmezer"/>
      </w:pPr>
      <w:r>
        <w:t xml:space="preserve">Kupující je oprávněn požadovat náhradu škody a nemajetkové újmy způsobené porušením povinností, na kterou se smluvní pokuta vztahuje, a to v plné výši. </w:t>
      </w:r>
    </w:p>
    <w:p w14:paraId="7D76952A" w14:textId="40F97DDF" w:rsidR="00152F44" w:rsidRDefault="00152F44" w:rsidP="007544B8">
      <w:pPr>
        <w:pStyle w:val="Bezmezer"/>
      </w:pPr>
      <w:r>
        <w:t xml:space="preserve">Splatnost smluvních pokut dle Smlouvy bude 14 dnů od doručení písemné výzvy k zaplacení smluvní pokuty straně povinné. </w:t>
      </w:r>
    </w:p>
    <w:p w14:paraId="317C247E" w14:textId="14033AC8" w:rsidR="00C22581" w:rsidRPr="007544B8" w:rsidRDefault="00C22581" w:rsidP="00052F7B">
      <w:pPr>
        <w:pStyle w:val="Bezmezer"/>
      </w:pPr>
      <w:r>
        <w:t xml:space="preserve">Prodávající odpovídá za veškerou způsobenou škodu či jinou újmu, a to vzniklou jak porušením ustanovení této Smlouvy, tak i porušením povinností stanovených platnými a účinnými právními předpisy. Odpovědnost a náhrada škody či jiné újmy se řídí příslušnými ustanoveními občanského zákoníku. </w:t>
      </w:r>
    </w:p>
    <w:p w14:paraId="2E12DAEF" w14:textId="634F957C" w:rsidR="00361B2D" w:rsidRPr="00052F7B" w:rsidRDefault="00F95F77" w:rsidP="00052F7B">
      <w:pPr>
        <w:pStyle w:val="Podnadpis"/>
        <w:rPr>
          <w:b w:val="0"/>
          <w:szCs w:val="22"/>
        </w:rPr>
      </w:pPr>
      <w:r>
        <w:rPr>
          <w:szCs w:val="22"/>
        </w:rPr>
        <w:t xml:space="preserve">ukončení </w:t>
      </w:r>
      <w:r w:rsidR="00DB538C">
        <w:rPr>
          <w:szCs w:val="22"/>
        </w:rPr>
        <w:t>SMLOUVY</w:t>
      </w:r>
    </w:p>
    <w:p w14:paraId="345F571C" w14:textId="2A72132F" w:rsidR="00DB538C" w:rsidRPr="00DB538C" w:rsidRDefault="00DB538C">
      <w:pPr>
        <w:pStyle w:val="Bezmezer"/>
      </w:pPr>
      <w:r w:rsidRPr="00DB538C">
        <w:t xml:space="preserve">Smlouva zaniká </w:t>
      </w:r>
      <w:r>
        <w:t>splněním smluvních povinností obou Smluvních stran</w:t>
      </w:r>
      <w:r w:rsidRPr="00DB538C">
        <w:t>, dohodou Smluvních stran</w:t>
      </w:r>
      <w:r>
        <w:t xml:space="preserve"> nebo </w:t>
      </w:r>
      <w:r w:rsidRPr="00DB538C">
        <w:t xml:space="preserve">odstoupením některé ze Smluvních stran v případě podstatného porušení Smlouvy druhou Smluvní stranou. </w:t>
      </w:r>
    </w:p>
    <w:p w14:paraId="43F033DF" w14:textId="77777777" w:rsidR="00DB538C" w:rsidRDefault="00DB538C" w:rsidP="00DB538C">
      <w:pPr>
        <w:pStyle w:val="Bezmezer"/>
      </w:pPr>
      <w:r w:rsidRPr="00DB538C">
        <w:t xml:space="preserve">Podstatným porušením Smlouvy ze strany </w:t>
      </w:r>
      <w:r>
        <w:t>Prodávajícího</w:t>
      </w:r>
      <w:r w:rsidRPr="00DB538C">
        <w:t xml:space="preserve"> se rozumí zejména</w:t>
      </w:r>
    </w:p>
    <w:p w14:paraId="489D8D9C" w14:textId="2D3B25F9" w:rsidR="00DB538C" w:rsidRDefault="00DB538C" w:rsidP="00DB538C">
      <w:pPr>
        <w:pStyle w:val="Bezmezer"/>
        <w:numPr>
          <w:ilvl w:val="1"/>
          <w:numId w:val="27"/>
        </w:numPr>
      </w:pPr>
      <w:r>
        <w:t xml:space="preserve">prodlení s dodáním Zboží o více </w:t>
      </w:r>
      <w:r w:rsidRPr="00362B22">
        <w:t>než 15 kalendářních dnů,</w:t>
      </w:r>
    </w:p>
    <w:p w14:paraId="6DD612D5" w14:textId="2C0C1C59" w:rsidR="00DB538C" w:rsidRDefault="00DB538C" w:rsidP="00DB538C">
      <w:pPr>
        <w:pStyle w:val="Bezmezer"/>
        <w:numPr>
          <w:ilvl w:val="1"/>
          <w:numId w:val="27"/>
        </w:numPr>
      </w:pPr>
      <w:r>
        <w:t>když Prodávajícím dodané Zboží vykazuje při předání zjevné vady,</w:t>
      </w:r>
    </w:p>
    <w:p w14:paraId="61E1BC40" w14:textId="22FFC4A7" w:rsidR="00DB5B6B" w:rsidRPr="00DB538C" w:rsidRDefault="00B218F9" w:rsidP="00052F7B">
      <w:pPr>
        <w:pStyle w:val="Bezmezer"/>
        <w:numPr>
          <w:ilvl w:val="1"/>
          <w:numId w:val="27"/>
        </w:numPr>
      </w:pPr>
      <w:r>
        <w:t xml:space="preserve">prodlení s plným uspokojením uplatněného práva Kupujícího z vadného plnění o více než </w:t>
      </w:r>
      <w:r w:rsidRPr="00362B22">
        <w:t>15 kalendářních dnů,</w:t>
      </w:r>
      <w:r>
        <w:t xml:space="preserve"> </w:t>
      </w:r>
    </w:p>
    <w:p w14:paraId="60E8AC4B" w14:textId="6D32C3CA" w:rsidR="00DB538C" w:rsidRPr="00DB538C" w:rsidRDefault="00DB538C" w:rsidP="00052F7B">
      <w:pPr>
        <w:pStyle w:val="Bezmezer"/>
        <w:numPr>
          <w:ilvl w:val="1"/>
          <w:numId w:val="27"/>
        </w:numPr>
      </w:pPr>
      <w:r w:rsidRPr="00DB538C">
        <w:t>v případě, že P</w:t>
      </w:r>
      <w:r>
        <w:t>rodávající</w:t>
      </w:r>
      <w:r w:rsidRPr="00DB538C">
        <w:t xml:space="preserve"> v nabídce podané v</w:t>
      </w:r>
      <w:r>
        <w:t> poptávkovém řízení</w:t>
      </w:r>
      <w:r w:rsidRPr="00DB538C">
        <w:t xml:space="preserve"> uvedl informace nebo předložil doklady, které neodpovídají skutečnosti a měly nebo mohly mít vliv na výběr </w:t>
      </w:r>
      <w:r>
        <w:t>Prodávající</w:t>
      </w:r>
      <w:r w:rsidR="007544B8">
        <w:t>ho</w:t>
      </w:r>
      <w:r w:rsidRPr="00DB538C">
        <w:t xml:space="preserve"> ke splnění Veřejné zakázky</w:t>
      </w:r>
      <w:r w:rsidR="007544B8">
        <w:t>.</w:t>
      </w:r>
    </w:p>
    <w:p w14:paraId="3A1EAB0F" w14:textId="36BF60C9" w:rsidR="00DB538C" w:rsidRPr="00DB538C" w:rsidRDefault="00DB538C" w:rsidP="00DB538C">
      <w:pPr>
        <w:pStyle w:val="Bezmezer"/>
      </w:pPr>
      <w:r w:rsidRPr="00DB538C">
        <w:t xml:space="preserve">Podstatným porušením Smlouvy ze strany </w:t>
      </w:r>
      <w:r w:rsidR="007544B8">
        <w:t>Kupujícího</w:t>
      </w:r>
      <w:r w:rsidRPr="00DB538C">
        <w:t xml:space="preserve"> se rozumí zejména:</w:t>
      </w:r>
    </w:p>
    <w:p w14:paraId="45952D80" w14:textId="7921FABE" w:rsidR="00DB538C" w:rsidRPr="00DB538C" w:rsidRDefault="00DB538C" w:rsidP="00052F7B">
      <w:pPr>
        <w:pStyle w:val="Bezmezer"/>
        <w:numPr>
          <w:ilvl w:val="1"/>
          <w:numId w:val="27"/>
        </w:numPr>
      </w:pPr>
      <w:r w:rsidRPr="00DB538C">
        <w:t xml:space="preserve">prodlení s úhradou faktury delší než </w:t>
      </w:r>
      <w:r w:rsidRPr="00362B22">
        <w:t>30 kalendářních dnů,</w:t>
      </w:r>
      <w:r w:rsidRPr="00DB538C">
        <w:t xml:space="preserve"> nezaplatí-li </w:t>
      </w:r>
      <w:r w:rsidR="007544B8">
        <w:t>Kupující</w:t>
      </w:r>
      <w:r w:rsidRPr="00DB538C">
        <w:t xml:space="preserve"> fakturovanou částku ani v přiměřené náhradní lhůtě, která mu k tomu bude </w:t>
      </w:r>
      <w:r w:rsidR="007544B8">
        <w:t>Prodávajícím</w:t>
      </w:r>
      <w:r w:rsidRPr="00DB538C">
        <w:t xml:space="preserve"> poskytnuta</w:t>
      </w:r>
      <w:r w:rsidR="007544B8">
        <w:t>.</w:t>
      </w:r>
    </w:p>
    <w:p w14:paraId="06FF532E" w14:textId="77777777" w:rsidR="00DB538C" w:rsidRPr="00DB538C" w:rsidRDefault="00DB538C" w:rsidP="00DB538C">
      <w:pPr>
        <w:pStyle w:val="Bezmezer"/>
      </w:pPr>
      <w:r w:rsidRPr="00DB538C">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w:t>
      </w:r>
      <w:r w:rsidRPr="00DB538C">
        <w:lastRenderedPageBreak/>
        <w:t>toto porušení předvídala.</w:t>
      </w:r>
    </w:p>
    <w:p w14:paraId="0C26D0B9" w14:textId="77777777" w:rsidR="00DB538C" w:rsidRPr="00DB538C" w:rsidRDefault="00DB538C" w:rsidP="00DB538C">
      <w:pPr>
        <w:pStyle w:val="Bezmezer"/>
      </w:pPr>
      <w:r w:rsidRPr="00DB538C">
        <w:t>Smluvní strany se dále dohodly, že v případě odstoupení od Smlouvy budou zejména ujednání o odpovědnosti za škodu či jinou újmu a o sankcích trvat i po zániku závazků ze Smlouvy.</w:t>
      </w:r>
    </w:p>
    <w:p w14:paraId="482207D9" w14:textId="7556ADA4" w:rsidR="00DB538C" w:rsidRPr="00DB538C" w:rsidRDefault="00DB538C" w:rsidP="00DB538C">
      <w:pPr>
        <w:pStyle w:val="Bezmezer"/>
      </w:pPr>
      <w:r w:rsidRPr="00DB538C">
        <w:t>Odstoupení od Smlouvy musí být provedeno písemně, jinak je neplatné. Zrušení závazků ze</w:t>
      </w:r>
      <w:r w:rsidR="00645E11">
        <w:t> </w:t>
      </w:r>
      <w:r w:rsidRPr="00DB538C">
        <w:t>Smlouvy je účinné doručením písemného oznámení o odstoupení od Smlouvy druhé Smluvní straně.</w:t>
      </w:r>
    </w:p>
    <w:p w14:paraId="1BD574B9" w14:textId="06CF984B" w:rsidR="007B575F" w:rsidRPr="004B5F67" w:rsidRDefault="007B575F" w:rsidP="00052F7B">
      <w:pPr>
        <w:pStyle w:val="Podnadpis"/>
        <w:rPr>
          <w:szCs w:val="22"/>
        </w:rPr>
      </w:pPr>
      <w:r w:rsidRPr="004B5F67">
        <w:rPr>
          <w:szCs w:val="22"/>
        </w:rPr>
        <w:t>Závěrečná u</w:t>
      </w:r>
      <w:r w:rsidR="00361B2D">
        <w:rPr>
          <w:szCs w:val="22"/>
        </w:rPr>
        <w:t>jedná</w:t>
      </w:r>
      <w:r w:rsidRPr="004B5F67">
        <w:rPr>
          <w:szCs w:val="22"/>
        </w:rPr>
        <w:t>ní</w:t>
      </w:r>
    </w:p>
    <w:p w14:paraId="6D7CD964" w14:textId="77777777" w:rsidR="007544B8" w:rsidRPr="007544B8" w:rsidRDefault="007544B8" w:rsidP="00052F7B">
      <w:pPr>
        <w:pStyle w:val="Bezmezer"/>
      </w:pPr>
      <w:r w:rsidRPr="007544B8">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9ACD13A" w14:textId="77777777" w:rsidR="007544B8" w:rsidRPr="007544B8" w:rsidRDefault="007544B8" w:rsidP="00052F7B">
      <w:pPr>
        <w:pStyle w:val="Bezmezer"/>
      </w:pPr>
      <w:r w:rsidRPr="007544B8">
        <w:t>Všechny spory vznikající ze Smlouvy a v souvislosti s ní budou dle vůle Smluvních stran rozhodovány soudy České republiky, jakožto soudy výlučně příslušnými.</w:t>
      </w:r>
    </w:p>
    <w:p w14:paraId="25E3A0AC" w14:textId="77777777" w:rsidR="007544B8" w:rsidRPr="007544B8" w:rsidRDefault="007544B8" w:rsidP="00052F7B">
      <w:pPr>
        <w:pStyle w:val="Bezmezer"/>
      </w:pPr>
      <w:r w:rsidRPr="007544B8">
        <w:t>Smlouvu lze měnit pouze písemnými dodatky. Jakékoli změny Smlouvy učiněné jinou, než písemnou formou jsou vyloučeny.</w:t>
      </w:r>
    </w:p>
    <w:p w14:paraId="2897B0F7" w14:textId="0A24E104" w:rsidR="007544B8" w:rsidRPr="007544B8" w:rsidRDefault="007544B8" w:rsidP="00052F7B">
      <w:pPr>
        <w:pStyle w:val="Bezmezer"/>
      </w:pPr>
      <w:r w:rsidRPr="007544B8">
        <w:t xml:space="preserve">Smlouva je vyhotovena ve dvou stejnopisech, z toho v jednom vyhotovení pro </w:t>
      </w:r>
      <w:r>
        <w:t>Kupujícího</w:t>
      </w:r>
      <w:r w:rsidRPr="007544B8">
        <w:t xml:space="preserve"> a</w:t>
      </w:r>
      <w:r w:rsidR="00645E11">
        <w:t> </w:t>
      </w:r>
      <w:r w:rsidRPr="007544B8">
        <w:t>v</w:t>
      </w:r>
      <w:r w:rsidR="00645E11">
        <w:t> </w:t>
      </w:r>
      <w:r w:rsidRPr="007544B8">
        <w:t xml:space="preserve">jednom vyhotovení pro </w:t>
      </w:r>
      <w:r>
        <w:t>Prodávajícího</w:t>
      </w:r>
      <w:r w:rsidRPr="007544B8">
        <w:t>, z nichž každý má povahu originálu.</w:t>
      </w:r>
      <w:r w:rsidR="005B2F24">
        <w:t xml:space="preserve"> </w:t>
      </w:r>
      <w:r w:rsidR="005B2F24" w:rsidRPr="005B2F24">
        <w:t>V případě, že je Smlouva uzavírána elektronicky za využití uznávaných elektronických podpisů, postačí jedno vyhotovení Smlouvy, na kterém jsou zaznamenány uznávané elektronické podpisy zástupců Smluvních stran.</w:t>
      </w:r>
    </w:p>
    <w:p w14:paraId="5E6CBC56" w14:textId="630A6784" w:rsidR="007544B8" w:rsidRPr="007544B8" w:rsidRDefault="007544B8" w:rsidP="00052F7B">
      <w:pPr>
        <w:pStyle w:val="Bezmezer"/>
      </w:pPr>
      <w:r w:rsidRPr="007544B8">
        <w:t xml:space="preserve">Smlouva nabývá účinnosti dnem jejího uveřejnění podle zákona č. 340/2015 Sb., o zvláštních podmínkách účinnosti některých smluv, uveřejňování těchto smluv a o registru smluv (zákon </w:t>
      </w:r>
      <w:r w:rsidR="00052F7B" w:rsidRPr="007544B8">
        <w:t>o</w:t>
      </w:r>
      <w:r w:rsidR="00052F7B">
        <w:t xml:space="preserve"> registru</w:t>
      </w:r>
      <w:r w:rsidRPr="007544B8">
        <w:t xml:space="preserve"> smluv), ve znění pozdějších předpisů. Smlouvu dle přechozí věty uveřejní </w:t>
      </w:r>
      <w:r>
        <w:t>Kupující</w:t>
      </w:r>
      <w:r w:rsidRPr="007544B8">
        <w:t xml:space="preserve"> a</w:t>
      </w:r>
      <w:r w:rsidR="00645E11">
        <w:t> </w:t>
      </w:r>
      <w:r w:rsidRPr="007544B8">
        <w:t>za uveřejnění odpovídá.</w:t>
      </w:r>
    </w:p>
    <w:p w14:paraId="0C820976" w14:textId="77777777" w:rsidR="007544B8" w:rsidRPr="007544B8" w:rsidRDefault="007544B8" w:rsidP="00052F7B">
      <w:pPr>
        <w:pStyle w:val="Bezmezer"/>
        <w:rPr>
          <w:b/>
        </w:rPr>
      </w:pPr>
      <w:r w:rsidRPr="007544B8">
        <w:t>Nedílnou součást smlouvy tvoří tyto přílohy:</w:t>
      </w:r>
    </w:p>
    <w:p w14:paraId="73B19BA7" w14:textId="7FA23D0E" w:rsidR="007544B8" w:rsidRPr="007544B8" w:rsidRDefault="007544B8" w:rsidP="00052F7B">
      <w:pPr>
        <w:pStyle w:val="Bezmezer"/>
        <w:numPr>
          <w:ilvl w:val="1"/>
          <w:numId w:val="27"/>
        </w:numPr>
        <w:rPr>
          <w:b/>
        </w:rPr>
      </w:pPr>
      <w:r w:rsidRPr="007544B8">
        <w:t xml:space="preserve">Příloha č. 1 </w:t>
      </w:r>
      <w:r>
        <w:t>– Technická specifikace</w:t>
      </w:r>
      <w:r w:rsidRPr="007544B8">
        <w:t>.</w:t>
      </w:r>
    </w:p>
    <w:p w14:paraId="7FAD40D0" w14:textId="77777777" w:rsidR="007544B8" w:rsidRPr="007544B8" w:rsidRDefault="007544B8" w:rsidP="00052F7B">
      <w:pPr>
        <w:pStyle w:val="Bezmezer"/>
        <w:rPr>
          <w:b/>
          <w:bCs/>
        </w:rPr>
      </w:pPr>
      <w:r w:rsidRPr="007544B8">
        <w:rPr>
          <w:bCs/>
        </w:rPr>
        <w:t>Smluvní strany si Smlouvu přečetly, souhlasí s jejím obsahem a prohlašují, že nebyla sepsána v tísni ani za jinak nápadně nevýhodných podmínek. Na důkaz toho připojují své podpisy.</w:t>
      </w:r>
    </w:p>
    <w:p w14:paraId="1E5639BD" w14:textId="77777777" w:rsidR="00B218F9" w:rsidRPr="007544B8" w:rsidRDefault="00B218F9" w:rsidP="00052F7B">
      <w:pPr>
        <w:pStyle w:val="Bezmezer"/>
        <w:numPr>
          <w:ilvl w:val="0"/>
          <w:numId w:val="0"/>
        </w:numPr>
      </w:pPr>
    </w:p>
    <w:p w14:paraId="5BB1F7D9" w14:textId="0004A894" w:rsidR="007544B8" w:rsidRPr="007544B8" w:rsidRDefault="007544B8" w:rsidP="00052F7B">
      <w:pPr>
        <w:pStyle w:val="Bezmezer"/>
        <w:numPr>
          <w:ilvl w:val="0"/>
          <w:numId w:val="0"/>
        </w:numPr>
        <w:ind w:left="567"/>
      </w:pPr>
      <w:r w:rsidRPr="007544B8">
        <w:t xml:space="preserve">V Brně dne </w:t>
      </w:r>
      <w:r w:rsidR="00AC2F94">
        <w:t>2.12.2023</w:t>
      </w:r>
      <w:r w:rsidRPr="007544B8">
        <w:tab/>
      </w:r>
      <w:r w:rsidR="00AC2F94">
        <w:tab/>
      </w:r>
      <w:r w:rsidRPr="007544B8">
        <w:tab/>
      </w:r>
      <w:r w:rsidRPr="007544B8">
        <w:tab/>
        <w:t>V</w:t>
      </w:r>
      <w:r w:rsidR="00362B22">
        <w:t xml:space="preserve"> Brně</w:t>
      </w:r>
      <w:r w:rsidRPr="007544B8">
        <w:t xml:space="preserve"> dne</w:t>
      </w:r>
      <w:r w:rsidR="00AC2F94">
        <w:t xml:space="preserve"> 1.12.2023</w:t>
      </w:r>
    </w:p>
    <w:p w14:paraId="5B597D36" w14:textId="77777777" w:rsidR="007544B8" w:rsidRDefault="007544B8" w:rsidP="007544B8">
      <w:pPr>
        <w:pStyle w:val="Bezmezer"/>
        <w:numPr>
          <w:ilvl w:val="0"/>
          <w:numId w:val="0"/>
        </w:numPr>
        <w:ind w:left="567"/>
        <w:rPr>
          <w:b/>
        </w:rPr>
      </w:pPr>
    </w:p>
    <w:p w14:paraId="63FF3705" w14:textId="786E463B" w:rsidR="00B218F9" w:rsidRDefault="00AC2F94" w:rsidP="007544B8">
      <w:pPr>
        <w:pStyle w:val="Bezmezer"/>
        <w:numPr>
          <w:ilvl w:val="0"/>
          <w:numId w:val="0"/>
        </w:numPr>
        <w:ind w:left="567"/>
        <w:rPr>
          <w:b/>
        </w:rPr>
      </w:pPr>
      <w:proofErr w:type="spellStart"/>
      <w:r w:rsidRPr="00AC2F94">
        <w:rPr>
          <w:bCs/>
        </w:rPr>
        <w:t>xxxxx</w:t>
      </w:r>
      <w:proofErr w:type="spellEnd"/>
      <w:r>
        <w:rPr>
          <w:b/>
        </w:rPr>
        <w:tab/>
      </w:r>
      <w:r>
        <w:rPr>
          <w:b/>
        </w:rPr>
        <w:tab/>
      </w:r>
      <w:r>
        <w:rPr>
          <w:b/>
        </w:rPr>
        <w:tab/>
      </w:r>
      <w:r>
        <w:rPr>
          <w:b/>
        </w:rPr>
        <w:tab/>
      </w:r>
      <w:r>
        <w:rPr>
          <w:b/>
        </w:rPr>
        <w:tab/>
      </w:r>
      <w:r>
        <w:rPr>
          <w:b/>
        </w:rPr>
        <w:tab/>
      </w:r>
      <w:proofErr w:type="spellStart"/>
      <w:r w:rsidRPr="00AC2F94">
        <w:rPr>
          <w:bCs/>
        </w:rPr>
        <w:t>xxxxx</w:t>
      </w:r>
      <w:proofErr w:type="spellEnd"/>
    </w:p>
    <w:p w14:paraId="31FCF702" w14:textId="77777777" w:rsidR="00B218F9" w:rsidRPr="007544B8" w:rsidRDefault="00B218F9" w:rsidP="00052F7B">
      <w:pPr>
        <w:pStyle w:val="Bezmezer"/>
        <w:numPr>
          <w:ilvl w:val="0"/>
          <w:numId w:val="0"/>
        </w:numPr>
        <w:ind w:left="567" w:hanging="567"/>
        <w:rPr>
          <w:b/>
        </w:rPr>
      </w:pPr>
    </w:p>
    <w:p w14:paraId="132570A3" w14:textId="77777777" w:rsidR="007544B8" w:rsidRPr="007544B8" w:rsidRDefault="007544B8" w:rsidP="00052F7B">
      <w:pPr>
        <w:pStyle w:val="Bezmezer"/>
        <w:numPr>
          <w:ilvl w:val="0"/>
          <w:numId w:val="0"/>
        </w:numPr>
        <w:ind w:left="567"/>
      </w:pPr>
      <w:r w:rsidRPr="007544B8">
        <w:t>_____________________________________</w:t>
      </w:r>
      <w:r w:rsidRPr="007544B8">
        <w:tab/>
        <w:t>_________________________________</w:t>
      </w:r>
    </w:p>
    <w:p w14:paraId="1E5EE5E6" w14:textId="506B205C" w:rsidR="007544B8" w:rsidRPr="007544B8" w:rsidRDefault="007544B8" w:rsidP="00052F7B">
      <w:pPr>
        <w:pStyle w:val="Bezmezer"/>
        <w:numPr>
          <w:ilvl w:val="0"/>
          <w:numId w:val="0"/>
        </w:numPr>
        <w:ind w:left="567"/>
        <w:rPr>
          <w:b/>
        </w:rPr>
      </w:pPr>
      <w:r w:rsidRPr="007544B8">
        <w:rPr>
          <w:bCs/>
        </w:rPr>
        <w:t>za</w:t>
      </w:r>
      <w:r w:rsidRPr="007544B8">
        <w:rPr>
          <w:b/>
        </w:rPr>
        <w:t xml:space="preserve"> </w:t>
      </w:r>
      <w:r>
        <w:rPr>
          <w:b/>
        </w:rPr>
        <w:t>Kupujícího</w:t>
      </w:r>
      <w:r w:rsidRPr="007544B8">
        <w:rPr>
          <w:b/>
        </w:rPr>
        <w:tab/>
      </w:r>
      <w:r w:rsidRPr="007544B8">
        <w:rPr>
          <w:b/>
        </w:rPr>
        <w:tab/>
      </w:r>
      <w:r w:rsidRPr="007544B8">
        <w:rPr>
          <w:b/>
        </w:rPr>
        <w:tab/>
      </w:r>
      <w:r w:rsidRPr="007544B8">
        <w:rPr>
          <w:b/>
        </w:rPr>
        <w:tab/>
      </w:r>
      <w:r w:rsidRPr="007544B8">
        <w:rPr>
          <w:b/>
        </w:rPr>
        <w:tab/>
        <w:t>za P</w:t>
      </w:r>
      <w:r>
        <w:rPr>
          <w:b/>
        </w:rPr>
        <w:t>rodávajícího</w:t>
      </w:r>
    </w:p>
    <w:p w14:paraId="39A66360" w14:textId="2D7913BA" w:rsidR="007544B8" w:rsidRPr="007544B8" w:rsidRDefault="007544B8" w:rsidP="00052F7B">
      <w:pPr>
        <w:pStyle w:val="Bezmezer"/>
        <w:numPr>
          <w:ilvl w:val="0"/>
          <w:numId w:val="0"/>
        </w:numPr>
        <w:ind w:left="567"/>
      </w:pPr>
      <w:r w:rsidRPr="007544B8">
        <w:t>Ing. arch. Jan Tesárek</w:t>
      </w:r>
      <w:r w:rsidRPr="007544B8">
        <w:tab/>
      </w:r>
      <w:r w:rsidRPr="007544B8">
        <w:tab/>
      </w:r>
      <w:r w:rsidRPr="007544B8">
        <w:tab/>
      </w:r>
      <w:r w:rsidRPr="007544B8">
        <w:tab/>
      </w:r>
      <w:r w:rsidR="00362B22">
        <w:t>Petr Konečný</w:t>
      </w:r>
    </w:p>
    <w:p w14:paraId="5D82DD44" w14:textId="2BAD235C" w:rsidR="00234650" w:rsidRPr="007C314B" w:rsidRDefault="00362B22" w:rsidP="00052F7B">
      <w:pPr>
        <w:pStyle w:val="Bezmezer"/>
        <w:numPr>
          <w:ilvl w:val="0"/>
          <w:numId w:val="0"/>
        </w:numPr>
        <w:ind w:left="567"/>
        <w:rPr>
          <w:szCs w:val="22"/>
        </w:rPr>
      </w:pPr>
      <w:r w:rsidRPr="007544B8">
        <w:t>Ř</w:t>
      </w:r>
      <w:r w:rsidR="007544B8" w:rsidRPr="007544B8">
        <w:t>editel</w:t>
      </w:r>
      <w:r>
        <w:tab/>
      </w:r>
      <w:r>
        <w:tab/>
      </w:r>
      <w:r>
        <w:tab/>
      </w:r>
      <w:r>
        <w:tab/>
      </w:r>
      <w:r>
        <w:tab/>
      </w:r>
      <w:r>
        <w:tab/>
        <w:t>na základě plné moci</w:t>
      </w:r>
    </w:p>
    <w:sectPr w:rsidR="00234650" w:rsidRPr="007C314B" w:rsidSect="00362B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0788" w14:textId="77777777" w:rsidR="00DD64B6" w:rsidRDefault="00DD64B6">
      <w:r>
        <w:separator/>
      </w:r>
    </w:p>
  </w:endnote>
  <w:endnote w:type="continuationSeparator" w:id="0">
    <w:p w14:paraId="220E8057" w14:textId="77777777" w:rsidR="00DD64B6" w:rsidRDefault="00D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ablanca">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New Roman (Nadpis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8E90" w14:textId="77777777" w:rsidR="00DD64B6" w:rsidRDefault="00DD64B6">
      <w:r>
        <w:separator/>
      </w:r>
    </w:p>
  </w:footnote>
  <w:footnote w:type="continuationSeparator" w:id="0">
    <w:p w14:paraId="373715A6" w14:textId="77777777" w:rsidR="00DD64B6" w:rsidRDefault="00DD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3DE6" w14:textId="77777777" w:rsidR="00362B22" w:rsidRPr="00362B22" w:rsidRDefault="00362B22" w:rsidP="00362B22">
    <w:pPr>
      <w:pStyle w:val="Zhlav"/>
      <w:rPr>
        <w:rFonts w:asciiTheme="minorHAnsi" w:hAnsiTheme="minorHAnsi" w:cstheme="minorHAnsi"/>
        <w:sz w:val="22"/>
        <w:szCs w:val="22"/>
      </w:rPr>
    </w:pPr>
    <w:r w:rsidRPr="00362B22">
      <w:rPr>
        <w:rFonts w:asciiTheme="minorHAnsi" w:hAnsiTheme="minorHAnsi" w:cstheme="minorHAnsi"/>
        <w:sz w:val="22"/>
        <w:szCs w:val="22"/>
      </w:rPr>
      <w:t>Číslo smlouvy: K/002/2023</w:t>
    </w:r>
  </w:p>
  <w:p w14:paraId="3D4B8A34" w14:textId="77777777" w:rsidR="00362B22" w:rsidRDefault="00362B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3019E8"/>
    <w:lvl w:ilvl="0">
      <w:numFmt w:val="bullet"/>
      <w:lvlText w:val="*"/>
      <w:lvlJc w:val="left"/>
      <w:pPr>
        <w:ind w:left="0" w:firstLine="0"/>
      </w:pPr>
    </w:lvl>
  </w:abstractNum>
  <w:abstractNum w:abstractNumId="1" w15:restartNumberingAfterBreak="0">
    <w:nsid w:val="0B1D0FDA"/>
    <w:multiLevelType w:val="multilevel"/>
    <w:tmpl w:val="A54826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F638FD"/>
    <w:multiLevelType w:val="hybridMultilevel"/>
    <w:tmpl w:val="D4A2C26C"/>
    <w:lvl w:ilvl="0" w:tplc="18E6AF4E">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7A30F3F"/>
    <w:multiLevelType w:val="hybridMultilevel"/>
    <w:tmpl w:val="B778FB1C"/>
    <w:lvl w:ilvl="0" w:tplc="27DED7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F771A"/>
    <w:multiLevelType w:val="hybridMultilevel"/>
    <w:tmpl w:val="C6EE389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D86E1D"/>
    <w:multiLevelType w:val="hybridMultilevel"/>
    <w:tmpl w:val="1AE42230"/>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624BF1"/>
    <w:multiLevelType w:val="hybridMultilevel"/>
    <w:tmpl w:val="27CC195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D1517"/>
    <w:multiLevelType w:val="hybridMultilevel"/>
    <w:tmpl w:val="B28E8FBE"/>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3359F8"/>
    <w:multiLevelType w:val="hybridMultilevel"/>
    <w:tmpl w:val="883AA6DE"/>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EDA5FAB"/>
    <w:multiLevelType w:val="hybridMultilevel"/>
    <w:tmpl w:val="C65EA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8400C9"/>
    <w:multiLevelType w:val="hybridMultilevel"/>
    <w:tmpl w:val="BEFC40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EE3396"/>
    <w:multiLevelType w:val="singleLevel"/>
    <w:tmpl w:val="993C28EE"/>
    <w:lvl w:ilvl="0">
      <w:numFmt w:val="bullet"/>
      <w:lvlText w:val="-"/>
      <w:lvlJc w:val="left"/>
      <w:pPr>
        <w:tabs>
          <w:tab w:val="num" w:pos="360"/>
        </w:tabs>
        <w:ind w:left="360" w:hanging="360"/>
      </w:pPr>
    </w:lvl>
  </w:abstractNum>
  <w:abstractNum w:abstractNumId="12" w15:restartNumberingAfterBreak="0">
    <w:nsid w:val="51B96D70"/>
    <w:multiLevelType w:val="multilevel"/>
    <w:tmpl w:val="FABC8C26"/>
    <w:lvl w:ilvl="0">
      <w:start w:val="1"/>
      <w:numFmt w:val="decimal"/>
      <w:pStyle w:val="Bezmezer"/>
      <w:lvlText w:val="%1."/>
      <w:lvlJc w:val="left"/>
      <w:pPr>
        <w:ind w:left="567" w:hanging="567"/>
      </w:pPr>
      <w:rPr>
        <w:rFonts w:hint="default"/>
        <w:b w:val="0"/>
        <w:bCs/>
      </w:rPr>
    </w:lvl>
    <w:lvl w:ilvl="1">
      <w:start w:val="1"/>
      <w:numFmt w:val="decimal"/>
      <w:lvlText w:val="%1.%2."/>
      <w:lvlJc w:val="left"/>
      <w:pPr>
        <w:ind w:left="1134" w:hanging="567"/>
      </w:pPr>
      <w:rPr>
        <w:rFonts w:hint="default"/>
        <w:b w:val="0"/>
        <w:bCs/>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801312"/>
    <w:multiLevelType w:val="hybridMultilevel"/>
    <w:tmpl w:val="BF42EF88"/>
    <w:lvl w:ilvl="0" w:tplc="FF38C0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BF7F74"/>
    <w:multiLevelType w:val="multilevel"/>
    <w:tmpl w:val="AB1029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654651B"/>
    <w:multiLevelType w:val="multilevel"/>
    <w:tmpl w:val="F39A05B6"/>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6C597356"/>
    <w:multiLevelType w:val="multilevel"/>
    <w:tmpl w:val="18E8DB9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D615EB7"/>
    <w:multiLevelType w:val="hybridMultilevel"/>
    <w:tmpl w:val="D4FC4C8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43C05"/>
    <w:multiLevelType w:val="multilevel"/>
    <w:tmpl w:val="8BBC2C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C85835"/>
    <w:multiLevelType w:val="hybridMultilevel"/>
    <w:tmpl w:val="1A5A6D70"/>
    <w:lvl w:ilvl="0" w:tplc="C6DCA23A">
      <w:start w:val="1"/>
      <w:numFmt w:val="upperRoman"/>
      <w:pStyle w:val="Podnadpis"/>
      <w:lvlText w:val="%1."/>
      <w:lvlJc w:val="right"/>
      <w:pPr>
        <w:ind w:left="284" w:hanging="284"/>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17005"/>
    <w:multiLevelType w:val="hybridMultilevel"/>
    <w:tmpl w:val="9BFC77C4"/>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0B4EED"/>
    <w:multiLevelType w:val="hybridMultilevel"/>
    <w:tmpl w:val="30EC46EC"/>
    <w:lvl w:ilvl="0" w:tplc="601205A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667CA7"/>
    <w:multiLevelType w:val="multilevel"/>
    <w:tmpl w:val="B4D859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84C5DFD"/>
    <w:multiLevelType w:val="hybridMultilevel"/>
    <w:tmpl w:val="1226BFAC"/>
    <w:lvl w:ilvl="0" w:tplc="0405000F">
      <w:start w:val="4"/>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9B60E08"/>
    <w:multiLevelType w:val="hybridMultilevel"/>
    <w:tmpl w:val="F33A88A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3C2F5C"/>
    <w:multiLevelType w:val="multilevel"/>
    <w:tmpl w:val="3B28F64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DC4778"/>
    <w:multiLevelType w:val="hybridMultilevel"/>
    <w:tmpl w:val="3162FB9A"/>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06123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95">
    <w:abstractNumId w:val="8"/>
    <w:lvlOverride w:ilvl="0">
      <w:startOverride w:val="1"/>
    </w:lvlOverride>
    <w:lvlOverride w:ilvl="1"/>
    <w:lvlOverride w:ilvl="2"/>
    <w:lvlOverride w:ilvl="3"/>
    <w:lvlOverride w:ilvl="4"/>
    <w:lvlOverride w:ilvl="5"/>
    <w:lvlOverride w:ilvl="6"/>
    <w:lvlOverride w:ilvl="7"/>
    <w:lvlOverride w:ilvl="8"/>
  </w:num>
  <w:num w:numId="3" w16cid:durableId="1585065218">
    <w:abstractNumId w:val="0"/>
    <w:lvlOverride w:ilvl="0">
      <w:lvl w:ilvl="0">
        <w:numFmt w:val="bullet"/>
        <w:lvlText w:val="§"/>
        <w:legacy w:legacy="1" w:legacySpace="0" w:legacyIndent="360"/>
        <w:lvlJc w:val="left"/>
        <w:pPr>
          <w:ind w:left="0" w:firstLine="0"/>
        </w:pPr>
        <w:rPr>
          <w:rFonts w:ascii="Wingdings" w:hAnsi="Wingdings" w:hint="default"/>
          <w:color w:val="000000"/>
        </w:rPr>
      </w:lvl>
    </w:lvlOverride>
  </w:num>
  <w:num w:numId="4" w16cid:durableId="1804034691">
    <w:abstractNumId w:val="11"/>
  </w:num>
  <w:num w:numId="5" w16cid:durableId="368998170">
    <w:abstractNumId w:val="13"/>
  </w:num>
  <w:num w:numId="6" w16cid:durableId="1960988235">
    <w:abstractNumId w:val="23"/>
  </w:num>
  <w:num w:numId="7" w16cid:durableId="1777404427">
    <w:abstractNumId w:val="9"/>
  </w:num>
  <w:num w:numId="8" w16cid:durableId="1752385758">
    <w:abstractNumId w:val="4"/>
  </w:num>
  <w:num w:numId="9" w16cid:durableId="882056148">
    <w:abstractNumId w:val="15"/>
  </w:num>
  <w:num w:numId="10" w16cid:durableId="1218854359">
    <w:abstractNumId w:val="24"/>
  </w:num>
  <w:num w:numId="11" w16cid:durableId="500507041">
    <w:abstractNumId w:val="14"/>
  </w:num>
  <w:num w:numId="12" w16cid:durableId="1423722724">
    <w:abstractNumId w:val="5"/>
  </w:num>
  <w:num w:numId="13" w16cid:durableId="597522629">
    <w:abstractNumId w:val="18"/>
  </w:num>
  <w:num w:numId="14" w16cid:durableId="2008971585">
    <w:abstractNumId w:val="21"/>
  </w:num>
  <w:num w:numId="15" w16cid:durableId="205147779">
    <w:abstractNumId w:val="17"/>
  </w:num>
  <w:num w:numId="16" w16cid:durableId="1178228058">
    <w:abstractNumId w:val="1"/>
  </w:num>
  <w:num w:numId="17" w16cid:durableId="533739348">
    <w:abstractNumId w:val="2"/>
  </w:num>
  <w:num w:numId="18" w16cid:durableId="1231576034">
    <w:abstractNumId w:val="6"/>
  </w:num>
  <w:num w:numId="19" w16cid:durableId="1103647052">
    <w:abstractNumId w:val="7"/>
  </w:num>
  <w:num w:numId="20" w16cid:durableId="246113947">
    <w:abstractNumId w:val="22"/>
  </w:num>
  <w:num w:numId="21" w16cid:durableId="422652556">
    <w:abstractNumId w:val="26"/>
  </w:num>
  <w:num w:numId="22" w16cid:durableId="2108963752">
    <w:abstractNumId w:val="16"/>
  </w:num>
  <w:num w:numId="23" w16cid:durableId="1846936040">
    <w:abstractNumId w:val="20"/>
  </w:num>
  <w:num w:numId="24" w16cid:durableId="1310943260">
    <w:abstractNumId w:val="25"/>
  </w:num>
  <w:num w:numId="25" w16cid:durableId="2104102832">
    <w:abstractNumId w:val="3"/>
  </w:num>
  <w:num w:numId="26" w16cid:durableId="1843081565">
    <w:abstractNumId w:val="19"/>
  </w:num>
  <w:num w:numId="27" w16cid:durableId="905650947">
    <w:abstractNumId w:val="12"/>
  </w:num>
  <w:num w:numId="28" w16cid:durableId="697319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0"/>
    <w:rsid w:val="00004F4E"/>
    <w:rsid w:val="00012ED7"/>
    <w:rsid w:val="0001624A"/>
    <w:rsid w:val="00026A23"/>
    <w:rsid w:val="000279D0"/>
    <w:rsid w:val="000353D4"/>
    <w:rsid w:val="0004115B"/>
    <w:rsid w:val="00042755"/>
    <w:rsid w:val="0004664E"/>
    <w:rsid w:val="00050F2E"/>
    <w:rsid w:val="00050FB4"/>
    <w:rsid w:val="00052F7B"/>
    <w:rsid w:val="00057161"/>
    <w:rsid w:val="00057889"/>
    <w:rsid w:val="0006327E"/>
    <w:rsid w:val="00064780"/>
    <w:rsid w:val="00075D99"/>
    <w:rsid w:val="0008449A"/>
    <w:rsid w:val="000906FE"/>
    <w:rsid w:val="000921CD"/>
    <w:rsid w:val="00094BCC"/>
    <w:rsid w:val="000B23CC"/>
    <w:rsid w:val="000B7017"/>
    <w:rsid w:val="000C61B2"/>
    <w:rsid w:val="000D5ECC"/>
    <w:rsid w:val="000F0C50"/>
    <w:rsid w:val="000F30D9"/>
    <w:rsid w:val="000F5033"/>
    <w:rsid w:val="000F667D"/>
    <w:rsid w:val="0010347D"/>
    <w:rsid w:val="0011554B"/>
    <w:rsid w:val="00117F70"/>
    <w:rsid w:val="001202F6"/>
    <w:rsid w:val="00120D0D"/>
    <w:rsid w:val="001221B1"/>
    <w:rsid w:val="00123C8C"/>
    <w:rsid w:val="00123CBF"/>
    <w:rsid w:val="00127195"/>
    <w:rsid w:val="00131800"/>
    <w:rsid w:val="001453A4"/>
    <w:rsid w:val="00145896"/>
    <w:rsid w:val="00147E68"/>
    <w:rsid w:val="00152F44"/>
    <w:rsid w:val="0015516D"/>
    <w:rsid w:val="00156BFC"/>
    <w:rsid w:val="00160243"/>
    <w:rsid w:val="00160867"/>
    <w:rsid w:val="00175C56"/>
    <w:rsid w:val="00177277"/>
    <w:rsid w:val="00183953"/>
    <w:rsid w:val="0019161A"/>
    <w:rsid w:val="001935FC"/>
    <w:rsid w:val="0019787D"/>
    <w:rsid w:val="001A2BC8"/>
    <w:rsid w:val="001A556B"/>
    <w:rsid w:val="001A5925"/>
    <w:rsid w:val="001A6D53"/>
    <w:rsid w:val="001B041E"/>
    <w:rsid w:val="001C0878"/>
    <w:rsid w:val="001C751D"/>
    <w:rsid w:val="001D035B"/>
    <w:rsid w:val="001D19D3"/>
    <w:rsid w:val="001D6F7B"/>
    <w:rsid w:val="001E2CD5"/>
    <w:rsid w:val="001E35C3"/>
    <w:rsid w:val="001F0FBE"/>
    <w:rsid w:val="002031C0"/>
    <w:rsid w:val="002053C9"/>
    <w:rsid w:val="00215B79"/>
    <w:rsid w:val="00217877"/>
    <w:rsid w:val="00220A1D"/>
    <w:rsid w:val="00220CD7"/>
    <w:rsid w:val="00225DB0"/>
    <w:rsid w:val="00231DF8"/>
    <w:rsid w:val="00233034"/>
    <w:rsid w:val="00234650"/>
    <w:rsid w:val="00245F29"/>
    <w:rsid w:val="002526E4"/>
    <w:rsid w:val="00253C6F"/>
    <w:rsid w:val="00265057"/>
    <w:rsid w:val="00271535"/>
    <w:rsid w:val="002721FF"/>
    <w:rsid w:val="002725F5"/>
    <w:rsid w:val="00272FE1"/>
    <w:rsid w:val="002730F8"/>
    <w:rsid w:val="0028628B"/>
    <w:rsid w:val="002B03E7"/>
    <w:rsid w:val="002B06B6"/>
    <w:rsid w:val="002B3FAF"/>
    <w:rsid w:val="002B4A8E"/>
    <w:rsid w:val="002B75AB"/>
    <w:rsid w:val="002B776F"/>
    <w:rsid w:val="002C0F8D"/>
    <w:rsid w:val="002C6A1E"/>
    <w:rsid w:val="002D2A9E"/>
    <w:rsid w:val="002D7C7A"/>
    <w:rsid w:val="002E4D5B"/>
    <w:rsid w:val="00303D33"/>
    <w:rsid w:val="00313675"/>
    <w:rsid w:val="00316605"/>
    <w:rsid w:val="00325A0A"/>
    <w:rsid w:val="003306FF"/>
    <w:rsid w:val="003433DF"/>
    <w:rsid w:val="00346AE4"/>
    <w:rsid w:val="00350520"/>
    <w:rsid w:val="00352BE2"/>
    <w:rsid w:val="00353D3B"/>
    <w:rsid w:val="00361B2D"/>
    <w:rsid w:val="00362457"/>
    <w:rsid w:val="00362B22"/>
    <w:rsid w:val="003804CB"/>
    <w:rsid w:val="00380D9E"/>
    <w:rsid w:val="003838F2"/>
    <w:rsid w:val="00385995"/>
    <w:rsid w:val="0039034F"/>
    <w:rsid w:val="00391C50"/>
    <w:rsid w:val="0039252D"/>
    <w:rsid w:val="003962DF"/>
    <w:rsid w:val="003B2799"/>
    <w:rsid w:val="003B4162"/>
    <w:rsid w:val="003B6B01"/>
    <w:rsid w:val="003B6FF4"/>
    <w:rsid w:val="003B787A"/>
    <w:rsid w:val="003C578D"/>
    <w:rsid w:val="003C7B74"/>
    <w:rsid w:val="003D5A7E"/>
    <w:rsid w:val="003E41EE"/>
    <w:rsid w:val="003E44C7"/>
    <w:rsid w:val="003E7596"/>
    <w:rsid w:val="003F30AD"/>
    <w:rsid w:val="003F6BB8"/>
    <w:rsid w:val="00402F89"/>
    <w:rsid w:val="0040475B"/>
    <w:rsid w:val="00406DFE"/>
    <w:rsid w:val="004218A2"/>
    <w:rsid w:val="00423278"/>
    <w:rsid w:val="00424E8E"/>
    <w:rsid w:val="004578BB"/>
    <w:rsid w:val="00460B59"/>
    <w:rsid w:val="00463929"/>
    <w:rsid w:val="00472DC1"/>
    <w:rsid w:val="0049260F"/>
    <w:rsid w:val="0049495A"/>
    <w:rsid w:val="00496C21"/>
    <w:rsid w:val="004A4ABA"/>
    <w:rsid w:val="004A6F24"/>
    <w:rsid w:val="004B01DC"/>
    <w:rsid w:val="004B5F67"/>
    <w:rsid w:val="004B7416"/>
    <w:rsid w:val="004B7533"/>
    <w:rsid w:val="004C068D"/>
    <w:rsid w:val="004C6ED5"/>
    <w:rsid w:val="004D1F77"/>
    <w:rsid w:val="004D2E7C"/>
    <w:rsid w:val="004D6C40"/>
    <w:rsid w:val="004D7F12"/>
    <w:rsid w:val="004E023C"/>
    <w:rsid w:val="004E40CE"/>
    <w:rsid w:val="004F1681"/>
    <w:rsid w:val="004F281B"/>
    <w:rsid w:val="005001D8"/>
    <w:rsid w:val="00504A91"/>
    <w:rsid w:val="00506A3A"/>
    <w:rsid w:val="00526604"/>
    <w:rsid w:val="005322A2"/>
    <w:rsid w:val="005327EB"/>
    <w:rsid w:val="00534866"/>
    <w:rsid w:val="00535A37"/>
    <w:rsid w:val="00540680"/>
    <w:rsid w:val="0054418F"/>
    <w:rsid w:val="005461C3"/>
    <w:rsid w:val="00557A93"/>
    <w:rsid w:val="00564BFE"/>
    <w:rsid w:val="005663B5"/>
    <w:rsid w:val="00566E94"/>
    <w:rsid w:val="00567FBB"/>
    <w:rsid w:val="005704D0"/>
    <w:rsid w:val="00580636"/>
    <w:rsid w:val="005A0E70"/>
    <w:rsid w:val="005A3E81"/>
    <w:rsid w:val="005A7589"/>
    <w:rsid w:val="005B2F24"/>
    <w:rsid w:val="005C76CD"/>
    <w:rsid w:val="005D38BD"/>
    <w:rsid w:val="005E1D25"/>
    <w:rsid w:val="005F3FFF"/>
    <w:rsid w:val="005F642F"/>
    <w:rsid w:val="00605753"/>
    <w:rsid w:val="00623200"/>
    <w:rsid w:val="00627A68"/>
    <w:rsid w:val="006313BF"/>
    <w:rsid w:val="00634317"/>
    <w:rsid w:val="00644677"/>
    <w:rsid w:val="00645E11"/>
    <w:rsid w:val="006552B5"/>
    <w:rsid w:val="0066188A"/>
    <w:rsid w:val="00665B61"/>
    <w:rsid w:val="00670C22"/>
    <w:rsid w:val="006812F7"/>
    <w:rsid w:val="0068154C"/>
    <w:rsid w:val="0068393F"/>
    <w:rsid w:val="00692465"/>
    <w:rsid w:val="006951B2"/>
    <w:rsid w:val="00695766"/>
    <w:rsid w:val="00697466"/>
    <w:rsid w:val="006B2CC9"/>
    <w:rsid w:val="006B7F61"/>
    <w:rsid w:val="006C2D9B"/>
    <w:rsid w:val="006C39E2"/>
    <w:rsid w:val="006C6CE5"/>
    <w:rsid w:val="006F0E12"/>
    <w:rsid w:val="006F39E4"/>
    <w:rsid w:val="006F607D"/>
    <w:rsid w:val="006F6841"/>
    <w:rsid w:val="006F7A78"/>
    <w:rsid w:val="00704EF1"/>
    <w:rsid w:val="00707B57"/>
    <w:rsid w:val="00710057"/>
    <w:rsid w:val="00712010"/>
    <w:rsid w:val="0071322C"/>
    <w:rsid w:val="007178E1"/>
    <w:rsid w:val="00717CEC"/>
    <w:rsid w:val="00720613"/>
    <w:rsid w:val="0072083C"/>
    <w:rsid w:val="0072149C"/>
    <w:rsid w:val="00722B0D"/>
    <w:rsid w:val="0072390E"/>
    <w:rsid w:val="00731027"/>
    <w:rsid w:val="007434F1"/>
    <w:rsid w:val="00747933"/>
    <w:rsid w:val="00747F62"/>
    <w:rsid w:val="007523FC"/>
    <w:rsid w:val="0075296D"/>
    <w:rsid w:val="007544B8"/>
    <w:rsid w:val="007571B8"/>
    <w:rsid w:val="00764F0A"/>
    <w:rsid w:val="0077514D"/>
    <w:rsid w:val="00775D14"/>
    <w:rsid w:val="007776D0"/>
    <w:rsid w:val="0078701C"/>
    <w:rsid w:val="00787C4C"/>
    <w:rsid w:val="00790C58"/>
    <w:rsid w:val="007A451B"/>
    <w:rsid w:val="007A62E2"/>
    <w:rsid w:val="007A7D68"/>
    <w:rsid w:val="007B22DE"/>
    <w:rsid w:val="007B56AF"/>
    <w:rsid w:val="007B575F"/>
    <w:rsid w:val="007B6EF3"/>
    <w:rsid w:val="007C114A"/>
    <w:rsid w:val="007C314B"/>
    <w:rsid w:val="007C3552"/>
    <w:rsid w:val="007C366C"/>
    <w:rsid w:val="007C3DBB"/>
    <w:rsid w:val="007C6CF0"/>
    <w:rsid w:val="007D3623"/>
    <w:rsid w:val="007D7501"/>
    <w:rsid w:val="007E6EF8"/>
    <w:rsid w:val="0080694C"/>
    <w:rsid w:val="00806A7F"/>
    <w:rsid w:val="008123D7"/>
    <w:rsid w:val="008125EF"/>
    <w:rsid w:val="00813904"/>
    <w:rsid w:val="00825EFD"/>
    <w:rsid w:val="00826BEE"/>
    <w:rsid w:val="00830F3E"/>
    <w:rsid w:val="008334BA"/>
    <w:rsid w:val="0083606F"/>
    <w:rsid w:val="0083699E"/>
    <w:rsid w:val="0084003C"/>
    <w:rsid w:val="0084270D"/>
    <w:rsid w:val="00851F2B"/>
    <w:rsid w:val="00855083"/>
    <w:rsid w:val="00856188"/>
    <w:rsid w:val="00856C13"/>
    <w:rsid w:val="0087403C"/>
    <w:rsid w:val="00875F15"/>
    <w:rsid w:val="00891C34"/>
    <w:rsid w:val="00897936"/>
    <w:rsid w:val="008B3B9A"/>
    <w:rsid w:val="008B45E0"/>
    <w:rsid w:val="008C7EE7"/>
    <w:rsid w:val="008D08CB"/>
    <w:rsid w:val="008D131F"/>
    <w:rsid w:val="008D55A3"/>
    <w:rsid w:val="008E375C"/>
    <w:rsid w:val="008E3C07"/>
    <w:rsid w:val="008F384C"/>
    <w:rsid w:val="008F75EA"/>
    <w:rsid w:val="00905777"/>
    <w:rsid w:val="00905AFE"/>
    <w:rsid w:val="009109AA"/>
    <w:rsid w:val="009204F9"/>
    <w:rsid w:val="0093161E"/>
    <w:rsid w:val="00940348"/>
    <w:rsid w:val="00941A44"/>
    <w:rsid w:val="00941F4D"/>
    <w:rsid w:val="0094361F"/>
    <w:rsid w:val="00962A29"/>
    <w:rsid w:val="00962C36"/>
    <w:rsid w:val="0097216C"/>
    <w:rsid w:val="009740E5"/>
    <w:rsid w:val="00980C0C"/>
    <w:rsid w:val="00982D3E"/>
    <w:rsid w:val="00985877"/>
    <w:rsid w:val="00987C1C"/>
    <w:rsid w:val="0099038F"/>
    <w:rsid w:val="00990B19"/>
    <w:rsid w:val="00994944"/>
    <w:rsid w:val="009B08BD"/>
    <w:rsid w:val="009C1297"/>
    <w:rsid w:val="009D3236"/>
    <w:rsid w:val="009D5376"/>
    <w:rsid w:val="009D6F9E"/>
    <w:rsid w:val="009E410C"/>
    <w:rsid w:val="009E4B2D"/>
    <w:rsid w:val="009E74DF"/>
    <w:rsid w:val="009F3587"/>
    <w:rsid w:val="009F5758"/>
    <w:rsid w:val="009F6ABB"/>
    <w:rsid w:val="00A01A97"/>
    <w:rsid w:val="00A01CB2"/>
    <w:rsid w:val="00A0615D"/>
    <w:rsid w:val="00A2445D"/>
    <w:rsid w:val="00A3111A"/>
    <w:rsid w:val="00A32389"/>
    <w:rsid w:val="00A33A3C"/>
    <w:rsid w:val="00A33FF2"/>
    <w:rsid w:val="00A3507C"/>
    <w:rsid w:val="00A420EE"/>
    <w:rsid w:val="00A44E83"/>
    <w:rsid w:val="00A47446"/>
    <w:rsid w:val="00A51153"/>
    <w:rsid w:val="00A64C33"/>
    <w:rsid w:val="00A65B77"/>
    <w:rsid w:val="00A665C3"/>
    <w:rsid w:val="00A71CD3"/>
    <w:rsid w:val="00A77C7D"/>
    <w:rsid w:val="00A95CB3"/>
    <w:rsid w:val="00AA2245"/>
    <w:rsid w:val="00AA633A"/>
    <w:rsid w:val="00AB761C"/>
    <w:rsid w:val="00AC1E86"/>
    <w:rsid w:val="00AC2F94"/>
    <w:rsid w:val="00AE1278"/>
    <w:rsid w:val="00AE4096"/>
    <w:rsid w:val="00AF2556"/>
    <w:rsid w:val="00AF2EBB"/>
    <w:rsid w:val="00B12593"/>
    <w:rsid w:val="00B21803"/>
    <w:rsid w:val="00B218F9"/>
    <w:rsid w:val="00B3184E"/>
    <w:rsid w:val="00B402F8"/>
    <w:rsid w:val="00B57A97"/>
    <w:rsid w:val="00B6316C"/>
    <w:rsid w:val="00B64F4E"/>
    <w:rsid w:val="00B731E0"/>
    <w:rsid w:val="00B74B98"/>
    <w:rsid w:val="00B8145D"/>
    <w:rsid w:val="00B86A6E"/>
    <w:rsid w:val="00B87359"/>
    <w:rsid w:val="00B93CC9"/>
    <w:rsid w:val="00B97F1A"/>
    <w:rsid w:val="00BB0B39"/>
    <w:rsid w:val="00BB476E"/>
    <w:rsid w:val="00BC1AE0"/>
    <w:rsid w:val="00BC2447"/>
    <w:rsid w:val="00BC7F78"/>
    <w:rsid w:val="00BD1A5D"/>
    <w:rsid w:val="00BD3F12"/>
    <w:rsid w:val="00BD55B3"/>
    <w:rsid w:val="00BF10A5"/>
    <w:rsid w:val="00BF6A7F"/>
    <w:rsid w:val="00C00C9D"/>
    <w:rsid w:val="00C0549C"/>
    <w:rsid w:val="00C159F7"/>
    <w:rsid w:val="00C16DCF"/>
    <w:rsid w:val="00C1767B"/>
    <w:rsid w:val="00C22581"/>
    <w:rsid w:val="00C23967"/>
    <w:rsid w:val="00C41196"/>
    <w:rsid w:val="00C507E3"/>
    <w:rsid w:val="00C514AC"/>
    <w:rsid w:val="00C52150"/>
    <w:rsid w:val="00C52340"/>
    <w:rsid w:val="00C52740"/>
    <w:rsid w:val="00C56C73"/>
    <w:rsid w:val="00C639B9"/>
    <w:rsid w:val="00C74EBD"/>
    <w:rsid w:val="00C77944"/>
    <w:rsid w:val="00C81AF0"/>
    <w:rsid w:val="00C87B3C"/>
    <w:rsid w:val="00C979BE"/>
    <w:rsid w:val="00CA1220"/>
    <w:rsid w:val="00CA69D1"/>
    <w:rsid w:val="00CB0A9E"/>
    <w:rsid w:val="00CB168F"/>
    <w:rsid w:val="00CB4243"/>
    <w:rsid w:val="00CB5D33"/>
    <w:rsid w:val="00CB61CE"/>
    <w:rsid w:val="00CC5785"/>
    <w:rsid w:val="00CD1F57"/>
    <w:rsid w:val="00CD5A60"/>
    <w:rsid w:val="00CD600B"/>
    <w:rsid w:val="00CD644E"/>
    <w:rsid w:val="00CD6E2A"/>
    <w:rsid w:val="00CE2E11"/>
    <w:rsid w:val="00CE49E7"/>
    <w:rsid w:val="00D003B5"/>
    <w:rsid w:val="00D02D5C"/>
    <w:rsid w:val="00D05FCA"/>
    <w:rsid w:val="00D134C4"/>
    <w:rsid w:val="00D13CDF"/>
    <w:rsid w:val="00D34711"/>
    <w:rsid w:val="00D35EEF"/>
    <w:rsid w:val="00D41075"/>
    <w:rsid w:val="00D42456"/>
    <w:rsid w:val="00D50345"/>
    <w:rsid w:val="00D51E41"/>
    <w:rsid w:val="00D52F2C"/>
    <w:rsid w:val="00D60EAD"/>
    <w:rsid w:val="00D64A18"/>
    <w:rsid w:val="00D64E9A"/>
    <w:rsid w:val="00D7363A"/>
    <w:rsid w:val="00D7412D"/>
    <w:rsid w:val="00D743C8"/>
    <w:rsid w:val="00D84217"/>
    <w:rsid w:val="00DA2E7F"/>
    <w:rsid w:val="00DA2F0B"/>
    <w:rsid w:val="00DB538C"/>
    <w:rsid w:val="00DB5B6B"/>
    <w:rsid w:val="00DB7D1B"/>
    <w:rsid w:val="00DC01C5"/>
    <w:rsid w:val="00DD1BF5"/>
    <w:rsid w:val="00DD4BA8"/>
    <w:rsid w:val="00DD5384"/>
    <w:rsid w:val="00DD64B6"/>
    <w:rsid w:val="00DD6F99"/>
    <w:rsid w:val="00DE720F"/>
    <w:rsid w:val="00DE7A77"/>
    <w:rsid w:val="00DF1793"/>
    <w:rsid w:val="00E00A4D"/>
    <w:rsid w:val="00E015C1"/>
    <w:rsid w:val="00E03AF6"/>
    <w:rsid w:val="00E13349"/>
    <w:rsid w:val="00E13688"/>
    <w:rsid w:val="00E173B9"/>
    <w:rsid w:val="00E24B38"/>
    <w:rsid w:val="00E256B9"/>
    <w:rsid w:val="00E30A1F"/>
    <w:rsid w:val="00E327B6"/>
    <w:rsid w:val="00E35722"/>
    <w:rsid w:val="00E51E82"/>
    <w:rsid w:val="00E54129"/>
    <w:rsid w:val="00E60111"/>
    <w:rsid w:val="00E62FD0"/>
    <w:rsid w:val="00E7521B"/>
    <w:rsid w:val="00E7796A"/>
    <w:rsid w:val="00E85726"/>
    <w:rsid w:val="00E94970"/>
    <w:rsid w:val="00EA2B56"/>
    <w:rsid w:val="00EA693A"/>
    <w:rsid w:val="00EB1450"/>
    <w:rsid w:val="00EB4FF6"/>
    <w:rsid w:val="00EC00BF"/>
    <w:rsid w:val="00ED0901"/>
    <w:rsid w:val="00ED1198"/>
    <w:rsid w:val="00EE25C5"/>
    <w:rsid w:val="00EE5BA9"/>
    <w:rsid w:val="00F15A36"/>
    <w:rsid w:val="00F15F39"/>
    <w:rsid w:val="00F22F74"/>
    <w:rsid w:val="00F31338"/>
    <w:rsid w:val="00F40017"/>
    <w:rsid w:val="00F41974"/>
    <w:rsid w:val="00F52C1C"/>
    <w:rsid w:val="00F83AC5"/>
    <w:rsid w:val="00F861D0"/>
    <w:rsid w:val="00F91B13"/>
    <w:rsid w:val="00F95F77"/>
    <w:rsid w:val="00FA0D66"/>
    <w:rsid w:val="00FA460A"/>
    <w:rsid w:val="00FA4866"/>
    <w:rsid w:val="00FA5AFE"/>
    <w:rsid w:val="00FD074E"/>
    <w:rsid w:val="00FD17DB"/>
    <w:rsid w:val="00FD1916"/>
    <w:rsid w:val="00FD6591"/>
    <w:rsid w:val="00FE0064"/>
    <w:rsid w:val="00FE1920"/>
    <w:rsid w:val="00FE30AF"/>
    <w:rsid w:val="00FE45AA"/>
    <w:rsid w:val="00FF0BC5"/>
    <w:rsid w:val="00FF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3BF0"/>
  <w15:chartTrackingRefBased/>
  <w15:docId w15:val="{2A1DD6F8-A311-43DE-BB98-82B0C06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5726"/>
    <w:pPr>
      <w:widowControl w:val="0"/>
    </w:pPr>
    <w:rPr>
      <w:sz w:val="24"/>
    </w:rPr>
  </w:style>
  <w:style w:type="paragraph" w:styleId="Nadpis1">
    <w:name w:val="heading 1"/>
    <w:basedOn w:val="Normln"/>
    <w:qFormat/>
    <w:rsid w:val="004B7416"/>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B45E0"/>
    <w:pPr>
      <w:jc w:val="center"/>
    </w:pPr>
    <w:rPr>
      <w:lang w:eastAsia="en-US"/>
    </w:rPr>
  </w:style>
  <w:style w:type="paragraph" w:styleId="Normlnweb">
    <w:name w:val="Normal (Web)"/>
    <w:basedOn w:val="Normln"/>
    <w:rsid w:val="004B7416"/>
  </w:style>
  <w:style w:type="paragraph" w:styleId="Textpoznpodarou">
    <w:name w:val="footnote text"/>
    <w:basedOn w:val="Normln"/>
    <w:semiHidden/>
    <w:rsid w:val="004B7416"/>
    <w:rPr>
      <w:sz w:val="20"/>
    </w:rPr>
  </w:style>
  <w:style w:type="character" w:styleId="Znakapoznpodarou">
    <w:name w:val="footnote reference"/>
    <w:semiHidden/>
    <w:rsid w:val="004B7416"/>
    <w:rPr>
      <w:vertAlign w:val="superscript"/>
    </w:rPr>
  </w:style>
  <w:style w:type="paragraph" w:styleId="Nzev">
    <w:name w:val="Title"/>
    <w:basedOn w:val="Normln"/>
    <w:link w:val="NzevChar"/>
    <w:qFormat/>
    <w:rsid w:val="00E85726"/>
    <w:pPr>
      <w:jc w:val="center"/>
    </w:pPr>
    <w:rPr>
      <w:b/>
    </w:rPr>
  </w:style>
  <w:style w:type="paragraph" w:customStyle="1" w:styleId="Import1">
    <w:name w:val="Import 1"/>
    <w:basedOn w:val="Normln"/>
    <w:rsid w:val="00E8572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rPr>
  </w:style>
  <w:style w:type="paragraph" w:styleId="Rozloendokumentu">
    <w:name w:val="Document Map"/>
    <w:basedOn w:val="Normln"/>
    <w:semiHidden/>
    <w:rsid w:val="00C16DCF"/>
    <w:pPr>
      <w:shd w:val="clear" w:color="auto" w:fill="000080"/>
    </w:pPr>
    <w:rPr>
      <w:rFonts w:ascii="Tahoma" w:hAnsi="Tahoma" w:cs="Tahoma"/>
      <w:sz w:val="20"/>
    </w:rPr>
  </w:style>
  <w:style w:type="paragraph" w:customStyle="1" w:styleId="Char">
    <w:name w:val="Char"/>
    <w:basedOn w:val="Normln"/>
    <w:rsid w:val="009E4B2D"/>
    <w:pPr>
      <w:widowControl/>
      <w:spacing w:after="160" w:line="240" w:lineRule="exact"/>
      <w:jc w:val="both"/>
    </w:pPr>
    <w:rPr>
      <w:rFonts w:ascii="Times New Roman Bold" w:hAnsi="Times New Roman Bold"/>
      <w:sz w:val="22"/>
      <w:szCs w:val="26"/>
      <w:lang w:val="sk-SK" w:eastAsia="en-US"/>
    </w:rPr>
  </w:style>
  <w:style w:type="paragraph" w:styleId="Zhlav">
    <w:name w:val="header"/>
    <w:basedOn w:val="Normln"/>
    <w:link w:val="ZhlavChar"/>
    <w:uiPriority w:val="99"/>
    <w:rsid w:val="002D2A9E"/>
    <w:pPr>
      <w:tabs>
        <w:tab w:val="center" w:pos="4536"/>
        <w:tab w:val="right" w:pos="9072"/>
      </w:tabs>
    </w:pPr>
  </w:style>
  <w:style w:type="paragraph" w:styleId="Zpat">
    <w:name w:val="footer"/>
    <w:basedOn w:val="Normln"/>
    <w:rsid w:val="002D2A9E"/>
    <w:pPr>
      <w:tabs>
        <w:tab w:val="center" w:pos="4536"/>
        <w:tab w:val="right" w:pos="9072"/>
      </w:tabs>
    </w:pPr>
  </w:style>
  <w:style w:type="paragraph" w:customStyle="1" w:styleId="CarCharCharCharCharCharChar">
    <w:name w:val="Car Char Char Char Char Char Char"/>
    <w:basedOn w:val="Normln"/>
    <w:rsid w:val="00057161"/>
    <w:pPr>
      <w:widowControl/>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semiHidden/>
    <w:rsid w:val="001A2BC8"/>
    <w:rPr>
      <w:rFonts w:ascii="Tahoma" w:hAnsi="Tahoma" w:cs="Tahoma"/>
      <w:sz w:val="16"/>
      <w:szCs w:val="16"/>
    </w:rPr>
  </w:style>
  <w:style w:type="character" w:styleId="Odkaznakoment">
    <w:name w:val="annotation reference"/>
    <w:rsid w:val="00FF7DF5"/>
    <w:rPr>
      <w:sz w:val="16"/>
      <w:szCs w:val="16"/>
    </w:rPr>
  </w:style>
  <w:style w:type="paragraph" w:styleId="Textkomente">
    <w:name w:val="annotation text"/>
    <w:basedOn w:val="Normln"/>
    <w:link w:val="TextkomenteChar"/>
    <w:rsid w:val="00FF7DF5"/>
    <w:rPr>
      <w:sz w:val="20"/>
    </w:rPr>
  </w:style>
  <w:style w:type="character" w:customStyle="1" w:styleId="TextkomenteChar">
    <w:name w:val="Text komentáře Char"/>
    <w:basedOn w:val="Standardnpsmoodstavce"/>
    <w:link w:val="Textkomente"/>
    <w:rsid w:val="00FF7DF5"/>
  </w:style>
  <w:style w:type="paragraph" w:styleId="Pedmtkomente">
    <w:name w:val="annotation subject"/>
    <w:basedOn w:val="Textkomente"/>
    <w:next w:val="Textkomente"/>
    <w:link w:val="PedmtkomenteChar"/>
    <w:rsid w:val="00FF7DF5"/>
    <w:rPr>
      <w:b/>
      <w:bCs/>
      <w:lang w:val="x-none" w:eastAsia="x-none"/>
    </w:rPr>
  </w:style>
  <w:style w:type="character" w:customStyle="1" w:styleId="PedmtkomenteChar">
    <w:name w:val="Předmět komentáře Char"/>
    <w:link w:val="Pedmtkomente"/>
    <w:rsid w:val="00FF7DF5"/>
    <w:rPr>
      <w:b/>
      <w:bCs/>
    </w:rPr>
  </w:style>
  <w:style w:type="character" w:customStyle="1" w:styleId="NzevChar">
    <w:name w:val="Název Char"/>
    <w:link w:val="Nzev"/>
    <w:rsid w:val="00EB1450"/>
    <w:rPr>
      <w:b/>
      <w:sz w:val="24"/>
      <w:lang w:val="cs-CZ" w:eastAsia="cs-CZ"/>
    </w:rPr>
  </w:style>
  <w:style w:type="character" w:styleId="Hypertextovodkaz">
    <w:name w:val="Hyperlink"/>
    <w:rsid w:val="008F75EA"/>
    <w:rPr>
      <w:color w:val="0563C1"/>
      <w:u w:val="single"/>
    </w:rPr>
  </w:style>
  <w:style w:type="character" w:styleId="Nevyeenzmnka">
    <w:name w:val="Unresolved Mention"/>
    <w:uiPriority w:val="99"/>
    <w:semiHidden/>
    <w:unhideWhenUsed/>
    <w:rsid w:val="003E7596"/>
    <w:rPr>
      <w:color w:val="605E5C"/>
      <w:shd w:val="clear" w:color="auto" w:fill="E1DFDD"/>
    </w:rPr>
  </w:style>
  <w:style w:type="character" w:customStyle="1" w:styleId="AnShrnut-normalChar">
    <w:name w:val="!An Shrnutí - normal Char"/>
    <w:link w:val="AnShrnut-normal"/>
    <w:locked/>
    <w:rsid w:val="000353D4"/>
    <w:rPr>
      <w:rFonts w:ascii="Calibri" w:eastAsia="Calibri" w:hAnsi="Calibri"/>
      <w:sz w:val="24"/>
      <w:shd w:val="clear" w:color="auto" w:fill="FFFFFF"/>
    </w:rPr>
  </w:style>
  <w:style w:type="paragraph" w:customStyle="1" w:styleId="AnShrnut-normal">
    <w:name w:val="!An Shrnutí - normal"/>
    <w:basedOn w:val="Normln"/>
    <w:link w:val="AnShrnut-normalChar"/>
    <w:qFormat/>
    <w:rsid w:val="000353D4"/>
    <w:pPr>
      <w:widowControl/>
      <w:shd w:val="clear" w:color="auto" w:fill="FFFFFF"/>
      <w:spacing w:before="120" w:after="120"/>
      <w:jc w:val="both"/>
    </w:pPr>
    <w:rPr>
      <w:rFonts w:ascii="Calibri" w:eastAsia="Calibri" w:hAnsi="Calibri"/>
    </w:rPr>
  </w:style>
  <w:style w:type="character" w:styleId="Zstupntext">
    <w:name w:val="Placeholder Text"/>
    <w:uiPriority w:val="99"/>
    <w:semiHidden/>
    <w:rsid w:val="00F41974"/>
    <w:rPr>
      <w:color w:val="808080"/>
    </w:rPr>
  </w:style>
  <w:style w:type="character" w:customStyle="1" w:styleId="Styl3">
    <w:name w:val="Styl3"/>
    <w:uiPriority w:val="1"/>
    <w:rsid w:val="003C7B74"/>
    <w:rPr>
      <w:b/>
    </w:rPr>
  </w:style>
  <w:style w:type="character" w:customStyle="1" w:styleId="NormalBold">
    <w:name w:val="Normal Bold"/>
    <w:uiPriority w:val="1"/>
    <w:rsid w:val="003C7B74"/>
    <w:rPr>
      <w:rFonts w:ascii="Calibri" w:hAnsi="Calibri"/>
      <w:b/>
      <w:sz w:val="24"/>
    </w:rPr>
  </w:style>
  <w:style w:type="table" w:customStyle="1" w:styleId="Mkatabulky12">
    <w:name w:val="Mřížka tabulky12"/>
    <w:basedOn w:val="Normlntabulka"/>
    <w:uiPriority w:val="99"/>
    <w:rsid w:val="00012ED7"/>
    <w:pPr>
      <w:jc w:val="both"/>
    </w:pPr>
    <w:rPr>
      <w:rFonts w:ascii="Arial Narrow" w:hAnsi="Arial Narrow"/>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12ED7"/>
    <w:rPr>
      <w:sz w:val="24"/>
    </w:rPr>
  </w:style>
  <w:style w:type="paragraph" w:styleId="Revize">
    <w:name w:val="Revision"/>
    <w:hidden/>
    <w:uiPriority w:val="99"/>
    <w:semiHidden/>
    <w:rsid w:val="001D19D3"/>
    <w:rPr>
      <w:sz w:val="24"/>
    </w:rPr>
  </w:style>
  <w:style w:type="paragraph" w:styleId="Podnadpis">
    <w:name w:val="Subtitle"/>
    <w:basedOn w:val="Normln"/>
    <w:next w:val="Normln"/>
    <w:link w:val="PodnadpisChar"/>
    <w:qFormat/>
    <w:rsid w:val="00BC7F78"/>
    <w:pPr>
      <w:numPr>
        <w:numId w:val="26"/>
      </w:numPr>
      <w:spacing w:before="240" w:after="240"/>
      <w:jc w:val="center"/>
      <w:outlineLvl w:val="1"/>
    </w:pPr>
    <w:rPr>
      <w:rFonts w:ascii="Calibri" w:hAnsi="Calibri" w:cs="Times New Roman (Nadpisy CS)"/>
      <w:b/>
      <w:caps/>
      <w:sz w:val="22"/>
      <w:szCs w:val="24"/>
    </w:rPr>
  </w:style>
  <w:style w:type="character" w:customStyle="1" w:styleId="PodnadpisChar">
    <w:name w:val="Podnadpis Char"/>
    <w:link w:val="Podnadpis"/>
    <w:rsid w:val="00BC7F78"/>
    <w:rPr>
      <w:rFonts w:ascii="Calibri" w:hAnsi="Calibri" w:cs="Times New Roman (Nadpisy CS)"/>
      <w:b/>
      <w:caps/>
      <w:sz w:val="22"/>
      <w:szCs w:val="24"/>
    </w:rPr>
  </w:style>
  <w:style w:type="paragraph" w:styleId="Bezmezer">
    <w:name w:val="No Spacing"/>
    <w:uiPriority w:val="1"/>
    <w:qFormat/>
    <w:rsid w:val="001D19D3"/>
    <w:pPr>
      <w:widowControl w:val="0"/>
      <w:numPr>
        <w:numId w:val="27"/>
      </w:numPr>
      <w:spacing w:before="120" w:after="120" w:line="276" w:lineRule="auto"/>
      <w:jc w:val="both"/>
    </w:pPr>
    <w:rPr>
      <w:rFonts w:ascii="Calibri" w:hAnsi="Calibri"/>
      <w:sz w:val="22"/>
    </w:rPr>
  </w:style>
  <w:style w:type="paragraph" w:customStyle="1" w:styleId="Zkladntextodsazen21">
    <w:name w:val="Základní text odsazený 21"/>
    <w:basedOn w:val="Normln"/>
    <w:rsid w:val="00406DFE"/>
    <w:pPr>
      <w:suppressAutoHyphens/>
      <w:ind w:firstLine="36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9003">
      <w:bodyDiv w:val="1"/>
      <w:marLeft w:val="0"/>
      <w:marRight w:val="0"/>
      <w:marTop w:val="0"/>
      <w:marBottom w:val="0"/>
      <w:divBdr>
        <w:top w:val="none" w:sz="0" w:space="0" w:color="auto"/>
        <w:left w:val="none" w:sz="0" w:space="0" w:color="auto"/>
        <w:bottom w:val="none" w:sz="0" w:space="0" w:color="auto"/>
        <w:right w:val="none" w:sz="0" w:space="0" w:color="auto"/>
      </w:divBdr>
    </w:div>
    <w:div w:id="110440014">
      <w:bodyDiv w:val="1"/>
      <w:marLeft w:val="0"/>
      <w:marRight w:val="0"/>
      <w:marTop w:val="0"/>
      <w:marBottom w:val="0"/>
      <w:divBdr>
        <w:top w:val="none" w:sz="0" w:space="0" w:color="auto"/>
        <w:left w:val="none" w:sz="0" w:space="0" w:color="auto"/>
        <w:bottom w:val="none" w:sz="0" w:space="0" w:color="auto"/>
        <w:right w:val="none" w:sz="0" w:space="0" w:color="auto"/>
      </w:divBdr>
    </w:div>
    <w:div w:id="165828846">
      <w:bodyDiv w:val="1"/>
      <w:marLeft w:val="0"/>
      <w:marRight w:val="0"/>
      <w:marTop w:val="0"/>
      <w:marBottom w:val="0"/>
      <w:divBdr>
        <w:top w:val="none" w:sz="0" w:space="0" w:color="auto"/>
        <w:left w:val="none" w:sz="0" w:space="0" w:color="auto"/>
        <w:bottom w:val="none" w:sz="0" w:space="0" w:color="auto"/>
        <w:right w:val="none" w:sz="0" w:space="0" w:color="auto"/>
      </w:divBdr>
    </w:div>
    <w:div w:id="449663698">
      <w:bodyDiv w:val="1"/>
      <w:marLeft w:val="0"/>
      <w:marRight w:val="0"/>
      <w:marTop w:val="0"/>
      <w:marBottom w:val="0"/>
      <w:divBdr>
        <w:top w:val="none" w:sz="0" w:space="0" w:color="auto"/>
        <w:left w:val="none" w:sz="0" w:space="0" w:color="auto"/>
        <w:bottom w:val="none" w:sz="0" w:space="0" w:color="auto"/>
        <w:right w:val="none" w:sz="0" w:space="0" w:color="auto"/>
      </w:divBdr>
    </w:div>
    <w:div w:id="570434440">
      <w:bodyDiv w:val="1"/>
      <w:marLeft w:val="0"/>
      <w:marRight w:val="0"/>
      <w:marTop w:val="0"/>
      <w:marBottom w:val="0"/>
      <w:divBdr>
        <w:top w:val="none" w:sz="0" w:space="0" w:color="auto"/>
        <w:left w:val="none" w:sz="0" w:space="0" w:color="auto"/>
        <w:bottom w:val="none" w:sz="0" w:space="0" w:color="auto"/>
        <w:right w:val="none" w:sz="0" w:space="0" w:color="auto"/>
      </w:divBdr>
    </w:div>
    <w:div w:id="1003360620">
      <w:bodyDiv w:val="1"/>
      <w:marLeft w:val="0"/>
      <w:marRight w:val="0"/>
      <w:marTop w:val="0"/>
      <w:marBottom w:val="0"/>
      <w:divBdr>
        <w:top w:val="none" w:sz="0" w:space="0" w:color="auto"/>
        <w:left w:val="none" w:sz="0" w:space="0" w:color="auto"/>
        <w:bottom w:val="none" w:sz="0" w:space="0" w:color="auto"/>
        <w:right w:val="none" w:sz="0" w:space="0" w:color="auto"/>
      </w:divBdr>
    </w:div>
    <w:div w:id="1188249970">
      <w:bodyDiv w:val="1"/>
      <w:marLeft w:val="0"/>
      <w:marRight w:val="0"/>
      <w:marTop w:val="0"/>
      <w:marBottom w:val="0"/>
      <w:divBdr>
        <w:top w:val="none" w:sz="0" w:space="0" w:color="auto"/>
        <w:left w:val="none" w:sz="0" w:space="0" w:color="auto"/>
        <w:bottom w:val="none" w:sz="0" w:space="0" w:color="auto"/>
        <w:right w:val="none" w:sz="0" w:space="0" w:color="auto"/>
      </w:divBdr>
    </w:div>
    <w:div w:id="1687973998">
      <w:bodyDiv w:val="1"/>
      <w:marLeft w:val="0"/>
      <w:marRight w:val="0"/>
      <w:marTop w:val="0"/>
      <w:marBottom w:val="0"/>
      <w:divBdr>
        <w:top w:val="none" w:sz="0" w:space="0" w:color="auto"/>
        <w:left w:val="none" w:sz="0" w:space="0" w:color="auto"/>
        <w:bottom w:val="none" w:sz="0" w:space="0" w:color="auto"/>
        <w:right w:val="none" w:sz="0" w:space="0" w:color="auto"/>
      </w:divBdr>
    </w:div>
    <w:div w:id="17374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56F3-50E0-7D49-A480-063F6568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1607</Words>
  <Characters>9282</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případě prodlení s termínem předání díla je objednatel oprávněn účtovat zhotoviteli smluvní pokutu ve výši 0,1% z ceny díla za každý započatý den prodlení</vt:lpstr>
      <vt:lpstr>V případě prodlení s termínem předání díla je objednatel oprávněn účtovat zhotoviteli smluvní pokutu ve výši 0,1% z ceny díla za každý započatý den prodlení</vt:lpstr>
    </vt:vector>
  </TitlesOfParts>
  <Company>MMB</Company>
  <LinksUpToDate>false</LinksUpToDate>
  <CharactersWithSpaces>10868</CharactersWithSpaces>
  <SharedDoc>false</SharedDoc>
  <HLinks>
    <vt:vector size="6" baseType="variant">
      <vt:variant>
        <vt:i4>4915232</vt:i4>
      </vt:variant>
      <vt:variant>
        <vt:i4>0</vt:i4>
      </vt:variant>
      <vt:variant>
        <vt:i4>0</vt:i4>
      </vt:variant>
      <vt:variant>
        <vt:i4>5</vt:i4>
      </vt:variant>
      <vt:variant>
        <vt:lpwstr>mailto:voltrova.tereza@kambrno.cz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případě prodlení s termínem předání díla je objednatel oprávněn účtovat zhotoviteli smluvní pokutu ve výši 0,1% z ceny díla za každý započatý den prodlení</dc:title>
  <dc:subject/>
  <dc:creator>janevova</dc:creator>
  <cp:keywords/>
  <cp:lastModifiedBy>Jan Novák</cp:lastModifiedBy>
  <cp:revision>3</cp:revision>
  <cp:lastPrinted>2018-07-11T11:54:00Z</cp:lastPrinted>
  <dcterms:created xsi:type="dcterms:W3CDTF">2023-12-04T08:49:00Z</dcterms:created>
  <dcterms:modified xsi:type="dcterms:W3CDTF">2023-12-04T11:53:00Z</dcterms:modified>
</cp:coreProperties>
</file>