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"/>
        <w:gridCol w:w="245"/>
        <w:gridCol w:w="320"/>
        <w:gridCol w:w="2369"/>
        <w:gridCol w:w="367"/>
        <w:gridCol w:w="925"/>
        <w:gridCol w:w="235"/>
        <w:gridCol w:w="490"/>
        <w:gridCol w:w="235"/>
        <w:gridCol w:w="750"/>
        <w:gridCol w:w="235"/>
        <w:gridCol w:w="630"/>
        <w:gridCol w:w="235"/>
        <w:gridCol w:w="235"/>
        <w:gridCol w:w="841"/>
        <w:gridCol w:w="235"/>
        <w:gridCol w:w="246"/>
        <w:gridCol w:w="235"/>
      </w:tblGrid>
      <w:tr w:rsidR="00361065" w:rsidRPr="00361065" w:rsidTr="00361065">
        <w:trPr>
          <w:trHeight w:val="16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2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41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vypracoval: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933450" cy="714375"/>
                  <wp:effectExtent l="0" t="0" r="0" b="0"/>
                  <wp:wrapNone/>
                  <wp:docPr id="2" name="Obrázek 2" descr="RH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E05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1" descr="RHlogo">
                            <a:extLst>
                              <a:ext uri="{FF2B5EF4-FFF2-40B4-BE49-F238E27FC236}">
                                <a16:creationId xmlns:a16="http://schemas.microsoft.com/office/drawing/2014/main" id="{00000000-0008-0000-0000-0000BE05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"/>
            </w:tblGrid>
            <w:tr w:rsidR="00361065" w:rsidRPr="00361065">
              <w:trPr>
                <w:trHeight w:val="225"/>
                <w:tblCellSpacing w:w="0" w:type="dxa"/>
              </w:trPr>
              <w:tc>
                <w:tcPr>
                  <w:tcW w:w="1660" w:type="dxa"/>
                  <w:tcBorders>
                    <w:top w:val="single" w:sz="4" w:space="0" w:color="0000FF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1065" w:rsidRPr="00361065" w:rsidRDefault="00361065">
                  <w:r w:rsidRPr="00361065">
                    <w:t> </w:t>
                  </w:r>
                </w:p>
              </w:tc>
            </w:tr>
          </w:tbl>
          <w:p w:rsidR="00361065" w:rsidRPr="00361065" w:rsidRDefault="00361065"/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9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2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41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>
              <w:rPr>
                <w:b/>
                <w:bCs/>
              </w:rPr>
              <w:t>xxxxxxxxxxxxxxxxxxxxxx</w:t>
            </w:r>
            <w:bookmarkStart w:id="0" w:name="_GoBack"/>
            <w:bookmarkEnd w:id="0"/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KALKULACE 2023  -  1 DEN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9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2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9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2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9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/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/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9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/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/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2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KS: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KG: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KS: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CELKEM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CENA: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počet </w:t>
            </w:r>
            <w:proofErr w:type="gramStart"/>
            <w:r w:rsidRPr="00361065">
              <w:rPr>
                <w:b/>
                <w:bCs/>
              </w:rPr>
              <w:t>dní :</w:t>
            </w:r>
            <w:proofErr w:type="gramEnd"/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KONSTRUKCE GROUND SUPPORT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F34300P-B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Black – 29cm šířka, 3,0m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16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128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768,-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6144,-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F34200P-B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Black – 29cm šířka, 2,0m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12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96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512,-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4096,-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F34200P-B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Black – 29cm šířka, 1,0m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7,5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30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256,-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1024,-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F34200P-B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Black – 29cm šířka, 0,5m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5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10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128,-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256,-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Multi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connection</w:t>
            </w:r>
            <w:proofErr w:type="spellEnd"/>
            <w:r w:rsidRPr="00361065">
              <w:t xml:space="preserve"> box - 90° 6-ti cestný - černý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5,75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23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512,-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2048,-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Fantek</w:t>
            </w:r>
            <w:proofErr w:type="spellEnd"/>
            <w:r w:rsidRPr="00361065">
              <w:t xml:space="preserve"> FTT106B05D Tower Lift 225kg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94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188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1620,-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3240,-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Fantek</w:t>
            </w:r>
            <w:proofErr w:type="spellEnd"/>
            <w:r w:rsidRPr="00361065">
              <w:t xml:space="preserve"> FTT105B05D Tower Lift 225kg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84,5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169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1620,-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3240,-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adapter 32-34 </w:t>
            </w:r>
            <w:proofErr w:type="spellStart"/>
            <w:proofErr w:type="gramStart"/>
            <w:r w:rsidRPr="00361065">
              <w:t>connection</w:t>
            </w:r>
            <w:proofErr w:type="spellEnd"/>
            <w:r w:rsidRPr="00361065">
              <w:t>– 6-cestný</w:t>
            </w:r>
            <w:proofErr w:type="gramEnd"/>
            <w:r w:rsidRPr="00361065">
              <w:t xml:space="preserve"> - </w:t>
            </w:r>
            <w:proofErr w:type="spellStart"/>
            <w:r w:rsidRPr="00361065">
              <w:t>silver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2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16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384,-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3072,-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F32300P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</w:t>
            </w:r>
            <w:proofErr w:type="gramStart"/>
            <w:r w:rsidRPr="00361065">
              <w:t>DUO</w:t>
            </w:r>
            <w:proofErr w:type="gramEnd"/>
            <w:r w:rsidRPr="00361065">
              <w:t xml:space="preserve">– </w:t>
            </w:r>
            <w:proofErr w:type="gramStart"/>
            <w:r w:rsidRPr="00361065">
              <w:t>29cm</w:t>
            </w:r>
            <w:proofErr w:type="gramEnd"/>
            <w:r w:rsidRPr="00361065">
              <w:t xml:space="preserve"> šířka, 2,0m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4,6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36,8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400,-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3200,-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lastRenderedPageBreak/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Global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F32300P </w:t>
            </w:r>
            <w:proofErr w:type="spellStart"/>
            <w:r w:rsidRPr="00361065">
              <w:t>Truss</w:t>
            </w:r>
            <w:proofErr w:type="spellEnd"/>
            <w:r w:rsidRPr="00361065">
              <w:t xml:space="preserve"> </w:t>
            </w:r>
            <w:proofErr w:type="gramStart"/>
            <w:r w:rsidRPr="00361065">
              <w:t>DUO</w:t>
            </w:r>
            <w:proofErr w:type="gramEnd"/>
            <w:r w:rsidRPr="00361065">
              <w:t xml:space="preserve">– </w:t>
            </w:r>
            <w:proofErr w:type="gramStart"/>
            <w:r w:rsidRPr="00361065">
              <w:t>29cm</w:t>
            </w:r>
            <w:proofErr w:type="gramEnd"/>
            <w:r w:rsidRPr="00361065">
              <w:t xml:space="preserve"> šířka, 1,0m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2,5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10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200,-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800,-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podiová</w:t>
            </w:r>
            <w:proofErr w:type="spellEnd"/>
            <w:r w:rsidRPr="00361065">
              <w:t xml:space="preserve"> deska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300,-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2400,-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Montáž / demontáž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450,-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1,00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5400,-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VÁHA CELKEM: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706,8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34 920,00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SLEVA 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30%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83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CENA DOHODOU 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24 444,00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PROJEKCE PROJEKTOR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Projektor Panasonic PT-EX12K, 13 000 ANSI </w:t>
            </w:r>
            <w:proofErr w:type="spellStart"/>
            <w:r w:rsidRPr="00361065">
              <w:t>lm</w:t>
            </w:r>
            <w:proofErr w:type="spellEnd"/>
            <w:r w:rsidRPr="00361065">
              <w:t>, XGA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14 200,00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14 200,00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Projekční plátno 1182 x 512 - Viditelná projekční plocha 1170 x 500 cm, 21:9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14 600,00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14 600,00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Projektor PANASONIC PT-RZ970 LASER 10.000-ANSI, WUXGA (1920x1200px)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2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18 600,00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37 200,00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DEMONTAŽ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1 250,00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2 500,00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68 500,00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SLEVA 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30%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83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CENA DOHODOU 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47 950,00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ODBAVENÍ VIDEO - PROJEKCE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6552" w:type="dxa"/>
            <w:gridSpan w:val="2"/>
            <w:noWrap/>
            <w:hideMark/>
          </w:tcPr>
          <w:p w:rsidR="00361065" w:rsidRPr="00361065" w:rsidRDefault="00361065">
            <w:proofErr w:type="spellStart"/>
            <w:r w:rsidRPr="00361065">
              <w:t>videomix</w:t>
            </w:r>
            <w:proofErr w:type="spellEnd"/>
            <w:r w:rsidRPr="00361065">
              <w:t xml:space="preserve"> ROLAND 3G HD-SDI ( 4xSDI, 4x HDMI/DVI/VGA) -</w:t>
            </w:r>
            <w:proofErr w:type="spellStart"/>
            <w:r w:rsidRPr="00361065">
              <w:t>seamless</w:t>
            </w:r>
            <w:proofErr w:type="spellEnd"/>
            <w:r w:rsidRPr="00361065">
              <w:t xml:space="preserve"> OUT: SDI, DVI,VGA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1,5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1 800,00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2 700,00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Převodník SDI/HDMI  , HDMI/SDI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1,5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PROFI Media </w:t>
            </w:r>
            <w:proofErr w:type="spellStart"/>
            <w:r w:rsidRPr="00361065">
              <w:t>Videoserver</w:t>
            </w:r>
            <w:proofErr w:type="spellEnd"/>
            <w:r w:rsidRPr="00361065">
              <w:t xml:space="preserve"> i9 procesor 10-core </w:t>
            </w:r>
            <w:r w:rsidRPr="00361065">
              <w:lastRenderedPageBreak/>
              <w:t xml:space="preserve">3.3GHz,softedge </w:t>
            </w:r>
            <w:proofErr w:type="spellStart"/>
            <w:r w:rsidRPr="00361065">
              <w:t>blending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1,5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6 000,00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9 000,00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Technická obsluha REŽIE VIDEO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750,00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8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7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18 300,00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SLEVA 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30%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83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CENA DOHODOU 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12 810,00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ZVUK - ozvučení performance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Repro JBL VRX 932 ARRAY 100 </w:t>
            </w:r>
            <w:proofErr w:type="spellStart"/>
            <w:r w:rsidRPr="00361065">
              <w:t>Two-Way</w:t>
            </w:r>
            <w:proofErr w:type="spellEnd"/>
            <w:r w:rsidRPr="00361065">
              <w:t xml:space="preserve">, Bass-Reflex, </w:t>
            </w:r>
            <w:proofErr w:type="spellStart"/>
            <w:r w:rsidRPr="00361065">
              <w:t>Stage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speaker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1 950,00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7 800,00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Repro JBL STX 812 monitor 800W 12" </w:t>
            </w:r>
            <w:proofErr w:type="spellStart"/>
            <w:r w:rsidRPr="00361065">
              <w:t>Two-Way</w:t>
            </w:r>
            <w:proofErr w:type="spellEnd"/>
            <w:r w:rsidRPr="00361065">
              <w:t xml:space="preserve">, Bass-Reflex, </w:t>
            </w:r>
            <w:proofErr w:type="spellStart"/>
            <w:r w:rsidRPr="00361065">
              <w:t>Stage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speaker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Repro JBL STX 818 reproduktor pasivní, subwoofer, reproduktor: 18 "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6552" w:type="dxa"/>
            <w:gridSpan w:val="2"/>
            <w:noWrap/>
            <w:hideMark/>
          </w:tcPr>
          <w:p w:rsidR="00361065" w:rsidRPr="00361065" w:rsidRDefault="00361065">
            <w:proofErr w:type="spellStart"/>
            <w:r w:rsidRPr="00361065">
              <w:t>Crown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XTi</w:t>
            </w:r>
            <w:proofErr w:type="spellEnd"/>
            <w:r w:rsidRPr="00361065">
              <w:t xml:space="preserve"> 4002 Výkonový koncový zesilovač, 2x 1200W/ 4Ohm, 2x 650W/ 8Ohm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Crown</w:t>
            </w:r>
            <w:proofErr w:type="spellEnd"/>
            <w:r w:rsidRPr="00361065">
              <w:t xml:space="preserve"> I-</w:t>
            </w:r>
            <w:proofErr w:type="spellStart"/>
            <w:r w:rsidRPr="00361065">
              <w:t>Tech</w:t>
            </w:r>
            <w:proofErr w:type="spellEnd"/>
            <w:r w:rsidRPr="00361065">
              <w:t xml:space="preserve"> HD 4x3500, 4x 3.500 </w:t>
            </w:r>
            <w:proofErr w:type="spellStart"/>
            <w:r w:rsidRPr="00361065">
              <w:t>an</w:t>
            </w:r>
            <w:proofErr w:type="spellEnd"/>
            <w:r w:rsidRPr="00361065">
              <w:t xml:space="preserve"> 2 Ohm, 4x 3.000 </w:t>
            </w:r>
            <w:proofErr w:type="spellStart"/>
            <w:r w:rsidRPr="00361065">
              <w:t>an</w:t>
            </w:r>
            <w:proofErr w:type="spellEnd"/>
            <w:r w:rsidRPr="00361065">
              <w:t xml:space="preserve"> 4 Ohm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3 200,00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3 200,00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Mixpult Digitální </w:t>
            </w:r>
            <w:proofErr w:type="spellStart"/>
            <w:r w:rsidRPr="00361065">
              <w:t>Soundcraft</w:t>
            </w:r>
            <w:proofErr w:type="spellEnd"/>
            <w:r w:rsidRPr="00361065">
              <w:t xml:space="preserve"> SI </w:t>
            </w:r>
            <w:proofErr w:type="spellStart"/>
            <w:r w:rsidRPr="00361065">
              <w:t>Impact</w:t>
            </w:r>
            <w:proofErr w:type="spellEnd"/>
            <w:r w:rsidRPr="00361065">
              <w:t xml:space="preserve"> + </w:t>
            </w:r>
            <w:proofErr w:type="spellStart"/>
            <w:r w:rsidRPr="00361065">
              <w:t>sound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card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1 650,00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1 650,00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Stage</w:t>
            </w:r>
            <w:proofErr w:type="spellEnd"/>
            <w:r w:rsidRPr="00361065">
              <w:t xml:space="preserve"> box 16 in, 8 </w:t>
            </w:r>
            <w:proofErr w:type="spellStart"/>
            <w:r w:rsidRPr="00361065">
              <w:t>out</w:t>
            </w:r>
            <w:proofErr w:type="spellEnd"/>
            <w:r w:rsidRPr="00361065">
              <w:t>, CAT 5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6552" w:type="dxa"/>
            <w:gridSpan w:val="2"/>
            <w:noWrap/>
            <w:hideMark/>
          </w:tcPr>
          <w:p w:rsidR="00361065" w:rsidRPr="00361065" w:rsidRDefault="00361065">
            <w:r w:rsidRPr="00361065">
              <w:t xml:space="preserve">Bezdrátový mikrofon </w:t>
            </w:r>
            <w:proofErr w:type="spellStart"/>
            <w:r w:rsidRPr="00361065">
              <w:t>Sennheiser</w:t>
            </w:r>
            <w:proofErr w:type="spellEnd"/>
            <w:r w:rsidRPr="00361065">
              <w:t xml:space="preserve"> HAND (vysílač, přijímač, antény, napájení, baterie!)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630,00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1 260,00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6552" w:type="dxa"/>
            <w:gridSpan w:val="2"/>
            <w:noWrap/>
            <w:hideMark/>
          </w:tcPr>
          <w:p w:rsidR="00361065" w:rsidRPr="00361065" w:rsidRDefault="00361065">
            <w:r w:rsidRPr="00361065">
              <w:t xml:space="preserve">Bezdrátový mikrofon </w:t>
            </w:r>
            <w:proofErr w:type="spellStart"/>
            <w:r w:rsidRPr="00361065">
              <w:t>Sennheiser</w:t>
            </w:r>
            <w:proofErr w:type="spellEnd"/>
            <w:r w:rsidRPr="00361065">
              <w:t xml:space="preserve"> HEAD (vysílač, přijímač, antény, napájení, baterie!)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630,00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630,00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lastRenderedPageBreak/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odbavení zvuku Notebook 15,6" Min. 4GB RAM, </w:t>
            </w:r>
            <w:proofErr w:type="spellStart"/>
            <w:r w:rsidRPr="00361065">
              <w:t>core</w:t>
            </w:r>
            <w:proofErr w:type="spellEnd"/>
            <w:r w:rsidRPr="00361065">
              <w:t xml:space="preserve"> i5/i7, 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1 040,00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1 040,00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7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22 980,00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SLEVA 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30%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83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CENA DOHODOU 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16 086,00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LIGHTS: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Hyperion </w:t>
            </w:r>
            <w:proofErr w:type="spellStart"/>
            <w:r w:rsidRPr="00361065">
              <w:t>Beam</w:t>
            </w:r>
            <w:proofErr w:type="spellEnd"/>
            <w:r w:rsidRPr="00361065">
              <w:t xml:space="preserve"> 7R </w:t>
            </w:r>
            <w:proofErr w:type="spellStart"/>
            <w:r w:rsidRPr="00361065">
              <w:t>moving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Head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Beam</w:t>
            </w:r>
            <w:proofErr w:type="spellEnd"/>
            <w:r w:rsidRPr="00361065">
              <w:t xml:space="preserve"> Philips 280W </w:t>
            </w:r>
            <w:proofErr w:type="spellStart"/>
            <w:r w:rsidRPr="00361065">
              <w:t>Sharpy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900,00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7 200,00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LED </w:t>
            </w:r>
            <w:proofErr w:type="spellStart"/>
            <w:r w:rsidRPr="00361065">
              <w:t>Wash</w:t>
            </w:r>
            <w:proofErr w:type="spellEnd"/>
            <w:r w:rsidRPr="00361065">
              <w:t>/</w:t>
            </w:r>
            <w:proofErr w:type="spellStart"/>
            <w:r w:rsidRPr="00361065">
              <w:t>Beam</w:t>
            </w:r>
            <w:proofErr w:type="spellEnd"/>
            <w:r w:rsidRPr="00361065">
              <w:t xml:space="preserve"> 36 x 10W 4-in-1 RGBW Zoom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2 400,00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ETEC LED Big </w:t>
            </w:r>
            <w:proofErr w:type="spellStart"/>
            <w:r w:rsidRPr="00361065">
              <w:t>Eye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Moving</w:t>
            </w:r>
            <w:proofErr w:type="spellEnd"/>
            <w:r w:rsidRPr="00361065">
              <w:t xml:space="preserve"> </w:t>
            </w:r>
            <w:proofErr w:type="spellStart"/>
            <w:r w:rsidRPr="00361065">
              <w:t>Head</w:t>
            </w:r>
            <w:proofErr w:type="spellEnd"/>
            <w:r w:rsidRPr="00361065">
              <w:t xml:space="preserve"> 19x15Watt RGBW MK2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1 500,00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10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ETEC LED PAR 64 - 18x10W RGBWA 5-in-1 - dekorace Klub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4 500,00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12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CHAUVET DJ </w:t>
            </w:r>
            <w:proofErr w:type="spellStart"/>
            <w:r w:rsidRPr="00361065">
              <w:t>SlimPar</w:t>
            </w:r>
            <w:proofErr w:type="spellEnd"/>
            <w:r w:rsidRPr="00361065">
              <w:t xml:space="preserve"> Q12 BT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175,00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2 100,00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ARRI reflektor </w:t>
            </w:r>
            <w:proofErr w:type="spellStart"/>
            <w:r w:rsidRPr="00361065">
              <w:t>Arri</w:t>
            </w:r>
            <w:proofErr w:type="spellEnd"/>
            <w:r w:rsidRPr="00361065">
              <w:t xml:space="preserve"> 2kW </w:t>
            </w:r>
            <w:proofErr w:type="spellStart"/>
            <w:r w:rsidRPr="00361065">
              <w:t>fresnel</w:t>
            </w:r>
            <w:proofErr w:type="spellEnd"/>
            <w:r w:rsidRPr="00361065">
              <w:t>, klapka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860,00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5 160,00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6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PAR 64 </w:t>
            </w:r>
            <w:proofErr w:type="spellStart"/>
            <w:r w:rsidRPr="00361065">
              <w:t>short</w:t>
            </w:r>
            <w:proofErr w:type="spellEnd"/>
            <w:r w:rsidRPr="00361065">
              <w:t xml:space="preserve"> CP95 </w:t>
            </w:r>
            <w:proofErr w:type="spellStart"/>
            <w:r w:rsidRPr="00361065">
              <w:t>fresnel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2 100,00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Stairville</w:t>
            </w:r>
            <w:proofErr w:type="spellEnd"/>
            <w:r w:rsidRPr="00361065">
              <w:t xml:space="preserve"> D610H </w:t>
            </w:r>
            <w:proofErr w:type="spellStart"/>
            <w:r w:rsidRPr="00361065">
              <w:t>Dimmerpack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250,00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proofErr w:type="spellStart"/>
            <w:r w:rsidRPr="00361065">
              <w:t>Showtec</w:t>
            </w:r>
            <w:proofErr w:type="spellEnd"/>
            <w:r w:rsidRPr="00361065">
              <w:t xml:space="preserve"> DB-1-8 DMX Booster / </w:t>
            </w:r>
            <w:proofErr w:type="spellStart"/>
            <w:r w:rsidRPr="00361065">
              <w:t>Splitter</w:t>
            </w:r>
            <w:proofErr w:type="spellEnd"/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250,00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250,00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Osvětlovací pult -LICON,AVOLITES TITAN ONE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1 000,00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1 000,00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7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27 960,00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SLEVA 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30%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83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CENA DOHODOU 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19 572,00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16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lastRenderedPageBreak/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DOPRAVA transit  3,5m ložná plocha </w:t>
            </w:r>
            <w:proofErr w:type="spellStart"/>
            <w:r w:rsidRPr="00361065">
              <w:t>max</w:t>
            </w:r>
            <w:proofErr w:type="spellEnd"/>
            <w:r w:rsidRPr="00361065">
              <w:t xml:space="preserve"> nosnost 1300kg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18,-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140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1260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 xml:space="preserve">DOPRAVA transit 4,5m ložná plocha </w:t>
            </w:r>
            <w:proofErr w:type="spellStart"/>
            <w:r w:rsidRPr="00361065">
              <w:t>max</w:t>
            </w:r>
            <w:proofErr w:type="spellEnd"/>
            <w:r w:rsidRPr="00361065">
              <w:t xml:space="preserve"> nosnost 1300kg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24,-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140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3360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4 620,00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4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OBSLUHA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Technická obsluha ZVUK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480,00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12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5 760,00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Technická obsluha SVĚTLA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480,00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12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5 760,00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Technická obsluha PROJEKCE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480,00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12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5 760,00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3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Technická obsluha MONTÁŽ DEMONTÁŽ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240,00 Kč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8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5 760,00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7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23 040,00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7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SLEVA 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0%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832" w:type="dxa"/>
            <w:gridSpan w:val="2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 xml:space="preserve">CENA DOHODOU 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celkem: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23 040,00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19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7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3148" w:type="dxa"/>
            <w:gridSpan w:val="3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Cena Celkem bez DPH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59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 w:rsidP="00361065"/>
        </w:tc>
        <w:tc>
          <w:tcPr>
            <w:tcW w:w="69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36" w:type="dxa"/>
            <w:noWrap/>
            <w:hideMark/>
          </w:tcPr>
          <w:p w:rsidR="00361065" w:rsidRPr="00361065" w:rsidRDefault="00361065" w:rsidP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 w:rsidP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 w:rsidP="00361065"/>
        </w:tc>
        <w:tc>
          <w:tcPr>
            <w:tcW w:w="16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148 522,00 Kč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pPr>
              <w:rPr>
                <w:b/>
                <w:bCs/>
              </w:rPr>
            </w:pP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6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/>
        </w:tc>
        <w:tc>
          <w:tcPr>
            <w:tcW w:w="5936" w:type="dxa"/>
            <w:noWrap/>
            <w:hideMark/>
          </w:tcPr>
          <w:p w:rsidR="00361065" w:rsidRPr="00361065" w:rsidRDefault="00361065" w:rsidP="00361065"/>
        </w:tc>
        <w:tc>
          <w:tcPr>
            <w:tcW w:w="616" w:type="dxa"/>
            <w:noWrap/>
            <w:hideMark/>
          </w:tcPr>
          <w:p w:rsidR="00361065" w:rsidRPr="00361065" w:rsidRDefault="00361065"/>
        </w:tc>
        <w:tc>
          <w:tcPr>
            <w:tcW w:w="2099" w:type="dxa"/>
            <w:noWrap/>
            <w:hideMark/>
          </w:tcPr>
          <w:p w:rsidR="00361065" w:rsidRPr="00361065" w:rsidRDefault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696" w:type="dxa"/>
            <w:noWrap/>
            <w:hideMark/>
          </w:tcPr>
          <w:p w:rsidR="00361065" w:rsidRPr="00361065" w:rsidRDefault="00361065"/>
        </w:tc>
        <w:tc>
          <w:tcPr>
            <w:tcW w:w="136" w:type="dxa"/>
            <w:noWrap/>
            <w:hideMark/>
          </w:tcPr>
          <w:p w:rsidR="00361065" w:rsidRPr="00361065" w:rsidRDefault="00361065"/>
        </w:tc>
        <w:tc>
          <w:tcPr>
            <w:tcW w:w="1636" w:type="dxa"/>
            <w:noWrap/>
            <w:hideMark/>
          </w:tcPr>
          <w:p w:rsidR="00361065" w:rsidRPr="00361065" w:rsidRDefault="00361065"/>
        </w:tc>
        <w:tc>
          <w:tcPr>
            <w:tcW w:w="196" w:type="dxa"/>
            <w:noWrap/>
            <w:hideMark/>
          </w:tcPr>
          <w:p w:rsidR="00361065" w:rsidRPr="00361065" w:rsidRDefault="00361065"/>
        </w:tc>
        <w:tc>
          <w:tcPr>
            <w:tcW w:w="1316" w:type="dxa"/>
            <w:noWrap/>
            <w:hideMark/>
          </w:tcPr>
          <w:p w:rsidR="00361065" w:rsidRPr="00361065" w:rsidRDefault="00361065"/>
        </w:tc>
        <w:tc>
          <w:tcPr>
            <w:tcW w:w="176" w:type="dxa"/>
            <w:noWrap/>
            <w:hideMark/>
          </w:tcPr>
          <w:p w:rsidR="00361065" w:rsidRPr="00361065" w:rsidRDefault="00361065" w:rsidP="00361065"/>
        </w:tc>
        <w:tc>
          <w:tcPr>
            <w:tcW w:w="136" w:type="dxa"/>
            <w:noWrap/>
            <w:hideMark/>
          </w:tcPr>
          <w:p w:rsidR="00361065" w:rsidRPr="00361065" w:rsidRDefault="00361065"/>
        </w:tc>
        <w:tc>
          <w:tcPr>
            <w:tcW w:w="1676" w:type="dxa"/>
            <w:noWrap/>
            <w:hideMark/>
          </w:tcPr>
          <w:p w:rsidR="00361065" w:rsidRPr="00361065" w:rsidRDefault="00361065"/>
        </w:tc>
        <w:tc>
          <w:tcPr>
            <w:tcW w:w="176" w:type="dxa"/>
            <w:noWrap/>
            <w:hideMark/>
          </w:tcPr>
          <w:p w:rsidR="00361065" w:rsidRPr="00361065" w:rsidRDefault="00361065"/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135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  <w:tr w:rsidR="00361065" w:rsidRPr="00361065" w:rsidTr="00361065">
        <w:trPr>
          <w:trHeight w:val="240"/>
        </w:trPr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476" w:type="dxa"/>
            <w:noWrap/>
            <w:hideMark/>
          </w:tcPr>
          <w:p w:rsidR="00361065" w:rsidRPr="00361065" w:rsidRDefault="00361065">
            <w:pPr>
              <w:rPr>
                <w:b/>
                <w:bCs/>
              </w:rPr>
            </w:pPr>
            <w:r w:rsidRPr="00361065">
              <w:rPr>
                <w:b/>
                <w:bCs/>
              </w:rPr>
              <w:t> </w:t>
            </w:r>
          </w:p>
        </w:tc>
        <w:tc>
          <w:tcPr>
            <w:tcW w:w="593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6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2099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6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9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1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36" w:type="dxa"/>
            <w:noWrap/>
            <w:hideMark/>
          </w:tcPr>
          <w:p w:rsidR="00361065" w:rsidRPr="00361065" w:rsidRDefault="00361065" w:rsidP="00361065">
            <w:r w:rsidRPr="00361065">
              <w:t> </w:t>
            </w:r>
          </w:p>
        </w:tc>
        <w:tc>
          <w:tcPr>
            <w:tcW w:w="16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7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296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  <w:tc>
          <w:tcPr>
            <w:tcW w:w="188" w:type="dxa"/>
            <w:noWrap/>
            <w:hideMark/>
          </w:tcPr>
          <w:p w:rsidR="00361065" w:rsidRPr="00361065" w:rsidRDefault="00361065">
            <w:r w:rsidRPr="00361065">
              <w:t> </w:t>
            </w:r>
          </w:p>
        </w:tc>
      </w:tr>
    </w:tbl>
    <w:p w:rsidR="000E6CB0" w:rsidRDefault="000E6CB0"/>
    <w:sectPr w:rsidR="000E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65"/>
    <w:rsid w:val="000E6CB0"/>
    <w:rsid w:val="003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C015"/>
  <w15:chartTrackingRefBased/>
  <w15:docId w15:val="{43268952-EEA4-4CDC-84DE-0275DE5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106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61065"/>
    <w:rPr>
      <w:color w:val="800080"/>
      <w:u w:val="single"/>
    </w:rPr>
  </w:style>
  <w:style w:type="paragraph" w:customStyle="1" w:styleId="msonormal0">
    <w:name w:val="msonormal"/>
    <w:basedOn w:val="Normln"/>
    <w:rsid w:val="0036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66">
    <w:name w:val="xl66"/>
    <w:basedOn w:val="Normln"/>
    <w:rsid w:val="00361065"/>
    <w:pPr>
      <w:pBdr>
        <w:top w:val="single" w:sz="4" w:space="0" w:color="0000FF"/>
        <w:lef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67">
    <w:name w:val="xl67"/>
    <w:basedOn w:val="Normln"/>
    <w:rsid w:val="00361065"/>
    <w:pPr>
      <w:pBdr>
        <w:top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68">
    <w:name w:val="xl68"/>
    <w:basedOn w:val="Normln"/>
    <w:rsid w:val="00361065"/>
    <w:pPr>
      <w:pBdr>
        <w:top w:val="single" w:sz="4" w:space="0" w:color="0000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69">
    <w:name w:val="xl69"/>
    <w:basedOn w:val="Normln"/>
    <w:rsid w:val="00361065"/>
    <w:pPr>
      <w:pBdr>
        <w:top w:val="single" w:sz="4" w:space="0" w:color="0000FF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0">
    <w:name w:val="xl70"/>
    <w:basedOn w:val="Normln"/>
    <w:rsid w:val="00361065"/>
    <w:pPr>
      <w:pBdr>
        <w:top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1">
    <w:name w:val="xl71"/>
    <w:basedOn w:val="Normln"/>
    <w:rsid w:val="00361065"/>
    <w:pPr>
      <w:pBdr>
        <w:top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2">
    <w:name w:val="xl72"/>
    <w:basedOn w:val="Normln"/>
    <w:rsid w:val="00361065"/>
    <w:pPr>
      <w:pBdr>
        <w:top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3">
    <w:name w:val="xl73"/>
    <w:basedOn w:val="Normln"/>
    <w:rsid w:val="00361065"/>
    <w:pPr>
      <w:pBdr>
        <w:lef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4">
    <w:name w:val="xl74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5">
    <w:name w:val="xl75"/>
    <w:basedOn w:val="Normln"/>
    <w:rsid w:val="003610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6">
    <w:name w:val="xl76"/>
    <w:basedOn w:val="Normln"/>
    <w:rsid w:val="00361065"/>
    <w:pPr>
      <w:pBdr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77">
    <w:name w:val="xl77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8">
    <w:name w:val="xl78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79">
    <w:name w:val="xl79"/>
    <w:basedOn w:val="Normln"/>
    <w:rsid w:val="00361065"/>
    <w:pPr>
      <w:pBdr>
        <w:left w:val="single" w:sz="4" w:space="0" w:color="0000FF"/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0">
    <w:name w:val="xl80"/>
    <w:basedOn w:val="Normln"/>
    <w:rsid w:val="00361065"/>
    <w:pPr>
      <w:pBdr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81">
    <w:name w:val="xl81"/>
    <w:basedOn w:val="Normln"/>
    <w:rsid w:val="00361065"/>
    <w:pPr>
      <w:pBdr>
        <w:bottom w:val="single" w:sz="4" w:space="0" w:color="0000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2">
    <w:name w:val="xl82"/>
    <w:basedOn w:val="Normln"/>
    <w:rsid w:val="00361065"/>
    <w:pPr>
      <w:pBdr>
        <w:bottom w:val="single" w:sz="4" w:space="0" w:color="0000FF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3">
    <w:name w:val="xl83"/>
    <w:basedOn w:val="Normln"/>
    <w:rsid w:val="00361065"/>
    <w:pPr>
      <w:pBdr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4">
    <w:name w:val="xl84"/>
    <w:basedOn w:val="Normln"/>
    <w:rsid w:val="00361065"/>
    <w:pPr>
      <w:pBdr>
        <w:bottom w:val="single" w:sz="4" w:space="0" w:color="0000FF"/>
        <w:right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5">
    <w:name w:val="xl85"/>
    <w:basedOn w:val="Normln"/>
    <w:rsid w:val="00361065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6">
    <w:name w:val="xl86"/>
    <w:basedOn w:val="Normln"/>
    <w:rsid w:val="00361065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87">
    <w:name w:val="xl87"/>
    <w:basedOn w:val="Normln"/>
    <w:rsid w:val="003610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8">
    <w:name w:val="xl88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89">
    <w:name w:val="xl89"/>
    <w:basedOn w:val="Normln"/>
    <w:rsid w:val="00361065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0">
    <w:name w:val="xl90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1">
    <w:name w:val="xl91"/>
    <w:basedOn w:val="Normln"/>
    <w:rsid w:val="00361065"/>
    <w:pPr>
      <w:pBdr>
        <w:top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2">
    <w:name w:val="xl92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3">
    <w:name w:val="xl93"/>
    <w:basedOn w:val="Normln"/>
    <w:rsid w:val="00361065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4">
    <w:name w:val="xl94"/>
    <w:basedOn w:val="Normln"/>
    <w:rsid w:val="00361065"/>
    <w:pPr>
      <w:pBdr>
        <w:bottom w:val="single" w:sz="4" w:space="0" w:color="0000F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5">
    <w:name w:val="xl95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6">
    <w:name w:val="xl96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97">
    <w:name w:val="xl97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8">
    <w:name w:val="xl98"/>
    <w:basedOn w:val="Normln"/>
    <w:rsid w:val="003610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99">
    <w:name w:val="xl99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1">
    <w:name w:val="xl101"/>
    <w:basedOn w:val="Normln"/>
    <w:rsid w:val="003610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02">
    <w:name w:val="xl102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03">
    <w:name w:val="xl103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lang w:eastAsia="cs-CZ"/>
    </w:rPr>
  </w:style>
  <w:style w:type="paragraph" w:customStyle="1" w:styleId="xl104">
    <w:name w:val="xl104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105">
    <w:name w:val="xl105"/>
    <w:basedOn w:val="Normln"/>
    <w:rsid w:val="003610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36106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7">
    <w:name w:val="xl107"/>
    <w:basedOn w:val="Normln"/>
    <w:rsid w:val="0036106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8">
    <w:name w:val="xl108"/>
    <w:basedOn w:val="Normln"/>
    <w:rsid w:val="0036106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09">
    <w:name w:val="xl109"/>
    <w:basedOn w:val="Normln"/>
    <w:rsid w:val="0036106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0">
    <w:name w:val="xl110"/>
    <w:basedOn w:val="Normln"/>
    <w:rsid w:val="0036106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1">
    <w:name w:val="xl111"/>
    <w:basedOn w:val="Normln"/>
    <w:rsid w:val="00361065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2">
    <w:name w:val="xl112"/>
    <w:basedOn w:val="Normln"/>
    <w:rsid w:val="0036106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3">
    <w:name w:val="xl113"/>
    <w:basedOn w:val="Normln"/>
    <w:rsid w:val="0036106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4">
    <w:name w:val="xl114"/>
    <w:basedOn w:val="Normln"/>
    <w:rsid w:val="0036106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5">
    <w:name w:val="xl115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3610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7">
    <w:name w:val="xl117"/>
    <w:basedOn w:val="Normln"/>
    <w:rsid w:val="0036106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18">
    <w:name w:val="xl118"/>
    <w:basedOn w:val="Normln"/>
    <w:rsid w:val="0036106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16"/>
      <w:szCs w:val="16"/>
      <w:lang w:eastAsia="cs-CZ"/>
    </w:rPr>
  </w:style>
  <w:style w:type="paragraph" w:customStyle="1" w:styleId="xl119">
    <w:name w:val="xl119"/>
    <w:basedOn w:val="Normln"/>
    <w:rsid w:val="0036106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0">
    <w:name w:val="xl120"/>
    <w:basedOn w:val="Normln"/>
    <w:rsid w:val="0036106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1">
    <w:name w:val="xl121"/>
    <w:basedOn w:val="Normln"/>
    <w:rsid w:val="0036106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2">
    <w:name w:val="xl122"/>
    <w:basedOn w:val="Normln"/>
    <w:rsid w:val="003610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3">
    <w:name w:val="xl123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6"/>
      <w:szCs w:val="16"/>
      <w:lang w:eastAsia="cs-CZ"/>
    </w:rPr>
  </w:style>
  <w:style w:type="paragraph" w:customStyle="1" w:styleId="xl124">
    <w:name w:val="xl124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5">
    <w:name w:val="xl125"/>
    <w:basedOn w:val="Normln"/>
    <w:rsid w:val="003610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36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Pospíchalová Nedvědová</dc:creator>
  <cp:keywords/>
  <dc:description/>
  <cp:lastModifiedBy>Petra Pospíchalová Nedvědová</cp:lastModifiedBy>
  <cp:revision>1</cp:revision>
  <dcterms:created xsi:type="dcterms:W3CDTF">2023-12-04T11:53:00Z</dcterms:created>
  <dcterms:modified xsi:type="dcterms:W3CDTF">2023-12-04T11:54:00Z</dcterms:modified>
</cp:coreProperties>
</file>