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30" w:tblpY="-450"/>
        <w:tblW w:w="9781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6E5441">
        <w:trPr>
          <w:gridAfter w:val="1"/>
          <w:wAfter w:w="7" w:type="dxa"/>
        </w:trPr>
        <w:tc>
          <w:tcPr>
            <w:tcW w:w="7041" w:type="dxa"/>
            <w:gridSpan w:val="8"/>
            <w:shd w:val="pct5" w:color="auto" w:fill="FFFFFF"/>
          </w:tcPr>
          <w:p w14:paraId="417F44B0" w14:textId="77777777" w:rsidR="002341BA" w:rsidRPr="00BF0AB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3E2CA51A" w:rsidR="002341BA" w:rsidRPr="006E5441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DE5905">
              <w:rPr>
                <w:rFonts w:ascii="Calibri" w:hAnsi="Calibri"/>
                <w:b/>
                <w:bCs/>
                <w:sz w:val="28"/>
              </w:rPr>
              <w:t>1</w:t>
            </w:r>
          </w:p>
        </w:tc>
      </w:tr>
      <w:tr w:rsidR="002341BA" w:rsidRPr="000D7E15" w14:paraId="6D60C339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5CDA9D8C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1D4199F1" w14:textId="3D7374E0" w:rsidR="00DE5905" w:rsidRPr="00B921D4" w:rsidRDefault="00B921D4" w:rsidP="00B921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JHS, s r.o.</w:t>
                  </w:r>
                </w:p>
                <w:p w14:paraId="711A20E3" w14:textId="597C797F" w:rsidR="00F320E5" w:rsidRDefault="00B921D4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Pražská 392, 463 42 Hodkovice nad Mohelkou</w:t>
                  </w:r>
                </w:p>
                <w:p w14:paraId="1DEC5269" w14:textId="77767763" w:rsidR="00F320E5" w:rsidRPr="000D7E15" w:rsidRDefault="00F320E5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B921D4">
                    <w:rPr>
                      <w:rFonts w:cs="Arial"/>
                    </w:rPr>
                    <w:t>499 04 884</w:t>
                  </w:r>
                </w:p>
              </w:tc>
            </w:tr>
          </w:tbl>
          <w:p w14:paraId="49DAE3C4" w14:textId="377851F1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342E4690" w14:textId="77777777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6E5441">
        <w:trPr>
          <w:gridAfter w:val="1"/>
          <w:wAfter w:w="7" w:type="dxa"/>
          <w:trHeight w:val="694"/>
        </w:trPr>
        <w:tc>
          <w:tcPr>
            <w:tcW w:w="9774" w:type="dxa"/>
            <w:gridSpan w:val="10"/>
          </w:tcPr>
          <w:p w14:paraId="71E9F994" w14:textId="5A45F30E" w:rsidR="00DE5905" w:rsidRPr="00B921D4" w:rsidRDefault="002C4479" w:rsidP="00B921D4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>v akce</w:t>
            </w:r>
            <w:r w:rsidR="00B921D4">
              <w:rPr>
                <w:rFonts w:ascii="Calibri" w:hAnsi="Calibri" w:cs="Arial"/>
              </w:rPr>
              <w:t xml:space="preserve">: </w:t>
            </w:r>
            <w:r w:rsidR="00B921D4" w:rsidRPr="00B921D4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Rekonstrukce komunikace Kaštanová, Kokonín, Jablonec nad Nisou </w:t>
            </w:r>
          </w:p>
          <w:p w14:paraId="2195B341" w14:textId="38189D93" w:rsidR="002C4479" w:rsidRPr="000D7E15" w:rsidRDefault="002C4479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6E5441">
        <w:trPr>
          <w:gridAfter w:val="1"/>
          <w:wAfter w:w="7" w:type="dxa"/>
          <w:trHeight w:val="278"/>
        </w:trPr>
        <w:tc>
          <w:tcPr>
            <w:tcW w:w="3990" w:type="dxa"/>
            <w:gridSpan w:val="4"/>
            <w:vMerge w:val="restart"/>
          </w:tcPr>
          <w:p w14:paraId="38D31A57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1B091B2E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E246E9">
              <w:rPr>
                <w:rFonts w:ascii="Calibri" w:hAnsi="Calibri"/>
              </w:rPr>
              <w:t>16.11.</w:t>
            </w:r>
            <w:r w:rsidR="002317DD">
              <w:rPr>
                <w:rFonts w:ascii="Calibri" w:hAnsi="Calibri"/>
              </w:rPr>
              <w:t xml:space="preserve"> </w:t>
            </w:r>
            <w:r w:rsidR="0032332F">
              <w:rPr>
                <w:rFonts w:ascii="Calibri" w:hAnsi="Calibri"/>
              </w:rPr>
              <w:t>2023</w:t>
            </w: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6E5441">
        <w:trPr>
          <w:gridAfter w:val="1"/>
          <w:wAfter w:w="7" w:type="dxa"/>
          <w:trHeight w:val="277"/>
        </w:trPr>
        <w:tc>
          <w:tcPr>
            <w:tcW w:w="3990" w:type="dxa"/>
            <w:gridSpan w:val="4"/>
            <w:vMerge/>
          </w:tcPr>
          <w:p w14:paraId="550F936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 w:val="restart"/>
          </w:tcPr>
          <w:p w14:paraId="61818092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17816DBB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</w:p>
          <w:p w14:paraId="4B27DDCB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24CD8CE2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22D22A59" w:rsidR="002341BA" w:rsidRPr="000D7E15" w:rsidRDefault="000B57ED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  <w:r w:rsidR="002317DD">
              <w:rPr>
                <w:rFonts w:ascii="Calibri" w:hAnsi="Calibri"/>
              </w:rPr>
              <w:t>, specifikace důvodů v ZBV č. 1</w:t>
            </w:r>
          </w:p>
        </w:tc>
      </w:tr>
      <w:tr w:rsidR="002341BA" w:rsidRPr="000D7E15" w14:paraId="52315924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3D649DA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4A35A60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6E5441">
        <w:trPr>
          <w:gridAfter w:val="1"/>
          <w:wAfter w:w="7" w:type="dxa"/>
          <w:trHeight w:val="1746"/>
        </w:trPr>
        <w:tc>
          <w:tcPr>
            <w:tcW w:w="9774" w:type="dxa"/>
            <w:gridSpan w:val="10"/>
          </w:tcPr>
          <w:p w14:paraId="038135DB" w14:textId="4CE46C2C" w:rsidR="002341BA" w:rsidRPr="00256EFE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351E45F6" w:rsidR="006F6806" w:rsidRPr="002341BA" w:rsidRDefault="00DC6FC5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Jedná se o vyúčtování </w:t>
            </w:r>
            <w:r w:rsidR="00BC7B6E">
              <w:rPr>
                <w:rFonts w:ascii="Calibri" w:hAnsi="Calibri" w:cs="Calibri"/>
                <w:b/>
              </w:rPr>
              <w:t>více</w:t>
            </w:r>
            <w:r>
              <w:rPr>
                <w:rFonts w:ascii="Calibri" w:hAnsi="Calibri" w:cs="Calibri"/>
                <w:b/>
              </w:rPr>
              <w:t>prací</w:t>
            </w:r>
            <w:r w:rsidR="002317DD">
              <w:rPr>
                <w:rFonts w:ascii="Calibri" w:hAnsi="Calibri" w:cs="Calibri"/>
                <w:b/>
              </w:rPr>
              <w:t xml:space="preserve"> a méně prací</w:t>
            </w:r>
            <w:r>
              <w:rPr>
                <w:rFonts w:ascii="Calibri" w:hAnsi="Calibri" w:cs="Calibri"/>
                <w:b/>
              </w:rPr>
              <w:t>, které vznikaly během výstavby</w:t>
            </w:r>
          </w:p>
        </w:tc>
      </w:tr>
      <w:tr w:rsidR="00423DBB" w:rsidRPr="000D7E15" w14:paraId="3E3B6179" w14:textId="77777777" w:rsidTr="006E5441">
        <w:tc>
          <w:tcPr>
            <w:tcW w:w="9781" w:type="dxa"/>
            <w:gridSpan w:val="11"/>
          </w:tcPr>
          <w:p w14:paraId="380F4E4B" w14:textId="6580B6B7" w:rsidR="00423DBB" w:rsidRPr="000D7E15" w:rsidRDefault="00423DBB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</w:t>
            </w:r>
            <w:r w:rsidR="00EA197C" w:rsidRPr="00971DEF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6E5441">
        <w:trPr>
          <w:gridAfter w:val="1"/>
          <w:wAfter w:w="7" w:type="dxa"/>
          <w:trHeight w:val="284"/>
        </w:trPr>
        <w:tc>
          <w:tcPr>
            <w:tcW w:w="9774" w:type="dxa"/>
            <w:gridSpan w:val="10"/>
          </w:tcPr>
          <w:p w14:paraId="07172AB7" w14:textId="77777777" w:rsidR="002341BA" w:rsidRDefault="002341BA" w:rsidP="006E5441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3D9D11C7" w14:textId="385FC120" w:rsidR="00A132E8" w:rsidRDefault="008B41FF" w:rsidP="00A132E8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Cs/>
              </w:rPr>
            </w:pPr>
            <w:r w:rsidRPr="008B41FF">
              <w:rPr>
                <w:rFonts w:ascii="Calibri" w:hAnsi="Calibri" w:cs="Calibri"/>
                <w:bCs/>
              </w:rPr>
              <w:t xml:space="preserve">Změna zakázky je nepodstatnou změnu závazku ze smlouvy na </w:t>
            </w:r>
            <w:r w:rsidR="00A132E8">
              <w:rPr>
                <w:rFonts w:ascii="Calibri" w:hAnsi="Calibri" w:cs="Calibri"/>
                <w:bCs/>
              </w:rPr>
              <w:t>zakázku malého rozsahu</w:t>
            </w:r>
            <w:r w:rsidRPr="008B41FF">
              <w:rPr>
                <w:rFonts w:ascii="Calibri" w:hAnsi="Calibri" w:cs="Calibri"/>
                <w:bCs/>
              </w:rPr>
              <w:t xml:space="preserve"> Jedná se o</w:t>
            </w:r>
            <w:r w:rsidR="00A132E8">
              <w:rPr>
                <w:rFonts w:ascii="Calibri" w:hAnsi="Calibri" w:cs="Calibri"/>
                <w:bCs/>
              </w:rPr>
              <w:t> </w:t>
            </w:r>
            <w:r w:rsidRPr="008B41FF">
              <w:rPr>
                <w:rFonts w:ascii="Calibri" w:hAnsi="Calibri" w:cs="Calibri"/>
                <w:bCs/>
              </w:rPr>
              <w:t xml:space="preserve">změnu, která nemění celkovou povahu </w:t>
            </w:r>
            <w:r w:rsidR="00971DEF">
              <w:rPr>
                <w:rFonts w:ascii="Calibri" w:hAnsi="Calibri" w:cs="Calibri"/>
                <w:bCs/>
              </w:rPr>
              <w:t>zakázky malého rozsahu</w:t>
            </w:r>
            <w:r w:rsidR="00A132E8">
              <w:rPr>
                <w:rFonts w:ascii="Calibri" w:hAnsi="Calibri" w:cs="Calibri"/>
                <w:bCs/>
              </w:rPr>
              <w:t>.</w:t>
            </w:r>
            <w:r w:rsidRPr="008B41FF">
              <w:rPr>
                <w:rFonts w:ascii="Calibri" w:hAnsi="Calibri" w:cs="Calibri"/>
                <w:bCs/>
              </w:rPr>
              <w:t xml:space="preserve"> </w:t>
            </w:r>
          </w:p>
          <w:p w14:paraId="1219D178" w14:textId="315C052D" w:rsidR="002341BA" w:rsidRPr="000D7E15" w:rsidRDefault="00FA3FD9" w:rsidP="00A132E8">
            <w:pPr>
              <w:pStyle w:val="Bezmezer"/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 změnovým listem č. </w:t>
            </w:r>
            <w:r w:rsidR="00DE5905">
              <w:rPr>
                <w:rFonts w:ascii="Calibri" w:hAnsi="Calibri"/>
              </w:rPr>
              <w:t>1</w:t>
            </w:r>
            <w:r w:rsidR="0033331C">
              <w:rPr>
                <w:rFonts w:ascii="Calibri" w:hAnsi="Calibri"/>
              </w:rPr>
              <w:t xml:space="preserve"> se jedná o změnu ve výši </w:t>
            </w:r>
            <w:r w:rsidR="0032332F">
              <w:rPr>
                <w:rFonts w:ascii="Calibri" w:hAnsi="Calibri"/>
              </w:rPr>
              <w:t xml:space="preserve">  </w:t>
            </w:r>
            <w:r w:rsidR="00B921D4">
              <w:rPr>
                <w:rFonts w:ascii="Calibri" w:hAnsi="Calibri"/>
                <w:b/>
              </w:rPr>
              <w:t xml:space="preserve">109 782,49 </w:t>
            </w:r>
            <w:r w:rsidR="0032332F" w:rsidRPr="00A132E8">
              <w:rPr>
                <w:rFonts w:ascii="Calibri" w:hAnsi="Calibri"/>
              </w:rPr>
              <w:t>Kč bez DPH</w:t>
            </w:r>
          </w:p>
        </w:tc>
      </w:tr>
      <w:tr w:rsidR="002341BA" w:rsidRPr="000D7E15" w14:paraId="5EA1B530" w14:textId="77777777" w:rsidTr="006E5441">
        <w:trPr>
          <w:gridAfter w:val="1"/>
          <w:wAfter w:w="7" w:type="dxa"/>
          <w:trHeight w:val="412"/>
        </w:trPr>
        <w:tc>
          <w:tcPr>
            <w:tcW w:w="2221" w:type="dxa"/>
            <w:gridSpan w:val="2"/>
          </w:tcPr>
          <w:p w14:paraId="69FC3721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0BDBCC9A" w14:textId="2521F343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07C8D9A2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733" w:type="dxa"/>
            <w:gridSpan w:val="2"/>
          </w:tcPr>
          <w:p w14:paraId="137DDD5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6E5441">
        <w:trPr>
          <w:gridAfter w:val="1"/>
          <w:wAfter w:w="7" w:type="dxa"/>
          <w:trHeight w:val="970"/>
        </w:trPr>
        <w:tc>
          <w:tcPr>
            <w:tcW w:w="9774" w:type="dxa"/>
            <w:gridSpan w:val="10"/>
          </w:tcPr>
          <w:p w14:paraId="4F79E9E3" w14:textId="44834078" w:rsidR="00DE5905" w:rsidRDefault="002341BA" w:rsidP="00DE5905">
            <w:pPr>
              <w:keepNext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7D75A9">
              <w:rPr>
                <w:rFonts w:ascii="Calibri" w:hAnsi="Calibri"/>
              </w:rPr>
              <w:t xml:space="preserve"> </w:t>
            </w:r>
            <w:r w:rsidR="00DC6FC5">
              <w:rPr>
                <w:rFonts w:ascii="Calibri" w:hAnsi="Calibri"/>
              </w:rPr>
              <w:t xml:space="preserve"> </w:t>
            </w:r>
            <w:r w:rsidR="00DE5905">
              <w:rPr>
                <w:rFonts w:cs="Arial"/>
                <w:b/>
              </w:rPr>
              <w:t xml:space="preserve"> </w:t>
            </w:r>
            <w:r w:rsidR="00B921D4">
              <w:rPr>
                <w:rFonts w:ascii="Calibri" w:hAnsi="Calibri"/>
              </w:rPr>
              <w:t>1. JHS s r.o.</w:t>
            </w:r>
          </w:p>
          <w:p w14:paraId="57F14F05" w14:textId="5CC56FCA" w:rsidR="00DE5905" w:rsidRPr="00E12640" w:rsidRDefault="00DE5905" w:rsidP="00DE5905">
            <w:pPr>
              <w:keepNext/>
              <w:rPr>
                <w:rFonts w:cs="Arial"/>
              </w:rPr>
            </w:pPr>
            <w:r>
              <w:rPr>
                <w:rFonts w:ascii="Calibri" w:hAnsi="Calibri"/>
              </w:rPr>
              <w:t>IČO: </w:t>
            </w:r>
            <w:r w:rsidR="00B921D4">
              <w:rPr>
                <w:rFonts w:cs="Arial"/>
              </w:rPr>
              <w:t>499 04 884</w:t>
            </w:r>
          </w:p>
          <w:p w14:paraId="27377ED8" w14:textId="511DCDDC" w:rsidR="002341BA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DA5BE7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02F956FB" w14:textId="77777777" w:rsidR="00B0797D" w:rsidRPr="000D7E15" w:rsidRDefault="00B0797D" w:rsidP="00EC3B02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328A8A17" w14:textId="1FF5791A" w:rsidR="00B0797D" w:rsidRDefault="00B921D4" w:rsidP="00EC3B02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Blanka Všetečková, VRV s r.o.</w:t>
                  </w:r>
                </w:p>
                <w:p w14:paraId="07E062F6" w14:textId="77777777" w:rsidR="00B0797D" w:rsidRPr="000D7E15" w:rsidRDefault="00B0797D" w:rsidP="00EC3B02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641303D" w14:textId="77777777" w:rsidR="00B0797D" w:rsidRDefault="00B0797D" w:rsidP="00EC3B02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20B8C139" w14:textId="37285A5E" w:rsidR="002341BA" w:rsidRPr="00B0797D" w:rsidRDefault="00B921D4" w:rsidP="00EC3B02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Nýdrle</w:t>
                  </w:r>
                  <w:r w:rsidR="00F92943">
                    <w:rPr>
                      <w:b w:val="0"/>
                      <w:bCs/>
                    </w:rPr>
                    <w:t xml:space="preserve"> – projektová kancelář</w:t>
                  </w:r>
                  <w:r>
                    <w:rPr>
                      <w:b w:val="0"/>
                      <w:bCs/>
                    </w:rPr>
                    <w:t>, Jiří Hrnčíř</w:t>
                  </w:r>
                </w:p>
              </w:tc>
            </w:tr>
            <w:tr w:rsidR="002341BA" w:rsidRPr="000D7E15" w14:paraId="2D3D2DD2" w14:textId="77777777" w:rsidTr="00A132E8">
              <w:trPr>
                <w:trHeight w:val="2949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EAEEF11" w14:textId="1E0F6E55" w:rsidR="00971DEF" w:rsidRDefault="002341BA" w:rsidP="00EC3B02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 w:rsidR="00DC6FC5" w:rsidRPr="00DA5BE7">
                    <w:rPr>
                      <w:b/>
                      <w:bCs/>
                    </w:rPr>
                    <w:t xml:space="preserve"> </w:t>
                  </w:r>
                  <w:r w:rsidR="0032332F">
                    <w:rPr>
                      <w:b/>
                      <w:bCs/>
                    </w:rPr>
                    <w:t xml:space="preserve">1) </w:t>
                  </w:r>
                  <w:r w:rsidR="00DC6FC5" w:rsidRPr="00DA5BE7">
                    <w:rPr>
                      <w:b/>
                      <w:bCs/>
                    </w:rPr>
                    <w:t xml:space="preserve">Položkový rozpočet popisu změny, </w:t>
                  </w:r>
                  <w:r w:rsidR="00DC6FC5" w:rsidRPr="00971DEF">
                    <w:t xml:space="preserve">ZBV č. </w:t>
                  </w:r>
                  <w:r w:rsidR="00A23358" w:rsidRPr="00971DEF">
                    <w:t>1</w:t>
                  </w:r>
                  <w:r w:rsidR="00EA197C" w:rsidRPr="00A132E8">
                    <w:t xml:space="preserve"> </w:t>
                  </w:r>
                </w:p>
                <w:p w14:paraId="50FFFC5C" w14:textId="68F1C495" w:rsidR="0033331C" w:rsidRDefault="00971DEF" w:rsidP="00EC3B02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>
                    <w:t xml:space="preserve">                                                                               </w:t>
                  </w:r>
                </w:p>
                <w:p w14:paraId="329F8850" w14:textId="6C9D0F58" w:rsidR="0032332F" w:rsidRPr="00E06C1E" w:rsidRDefault="0032332F" w:rsidP="00EC3B02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14:paraId="4DF17FE1" w14:textId="77777777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F220B0D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- </w:t>
                  </w:r>
                  <w:r w:rsidR="0046640C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03299521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A23358"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14:paraId="7D71B996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A8291CB" w14:textId="77777777" w:rsidR="00B921D4" w:rsidRPr="00B921D4" w:rsidRDefault="00B921D4" w:rsidP="00B921D4">
                  <w:pPr>
                    <w:pStyle w:val="Odstavecseseznamem"/>
                    <w:numPr>
                      <w:ilvl w:val="0"/>
                      <w:numId w:val="3"/>
                    </w:num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JHS, s r.o.</w:t>
                  </w:r>
                </w:p>
                <w:p w14:paraId="262F3E32" w14:textId="0C46A607" w:rsidR="00CD71CC" w:rsidRPr="000D7E15" w:rsidRDefault="002C4479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41F1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</w:t>
                  </w:r>
                  <w:r w:rsidR="00F320E5">
                    <w:rPr>
                      <w:rFonts w:ascii="Calibri" w:hAnsi="Calibri"/>
                    </w:rPr>
                    <w:t> </w:t>
                  </w:r>
                  <w:r w:rsidR="00B921D4" w:rsidRPr="00A90104">
                    <w:rPr>
                      <w:rFonts w:cs="Arial"/>
                    </w:rPr>
                    <w:t>499 04 884</w:t>
                  </w:r>
                </w:p>
              </w:tc>
            </w:tr>
            <w:tr w:rsidR="00CD71CC" w:rsidRPr="000D7E15" w14:paraId="02CA1714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29F26E54" w:rsidR="00CD71CC" w:rsidRPr="000D7E15" w:rsidRDefault="00E246E9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Tomáš Pasecký</w:t>
                  </w:r>
                  <w:r w:rsidR="00193712">
                    <w:rPr>
                      <w:rFonts w:ascii="Calibri" w:hAnsi="Calibri"/>
                    </w:rPr>
                    <w:t>, hlavní stavbyvedoucí</w:t>
                  </w:r>
                </w:p>
              </w:tc>
            </w:tr>
            <w:tr w:rsidR="00CD71CC" w:rsidRPr="000D7E15" w14:paraId="6972D247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3B227E95" w:rsidR="00CD71CC" w:rsidRPr="00487F3E" w:rsidRDefault="00E246E9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16.11.</w:t>
                  </w:r>
                  <w:r w:rsidR="0032332F">
                    <w:rPr>
                      <w:rFonts w:ascii="Calibri" w:hAnsi="Calibri"/>
                    </w:rPr>
                    <w:t>2023</w:t>
                  </w:r>
                </w:p>
              </w:tc>
            </w:tr>
            <w:tr w:rsidR="00CD71CC" w:rsidRPr="000D7E15" w14:paraId="78A615F0" w14:textId="77777777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5E2F39FE" w14:textId="4E66CD9F" w:rsidR="007D41F1" w:rsidRPr="007D41F1" w:rsidRDefault="008A1A7E" w:rsidP="00DE5905">
                  <w:pPr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 w:rsidR="00D2035D"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754CB31C" w14:textId="1B50E186" w:rsidR="00DC6FC5" w:rsidRDefault="00DC6FC5" w:rsidP="00DE590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</w:t>
                  </w:r>
                  <w:r w:rsidR="0032332F">
                    <w:rPr>
                      <w:rFonts w:ascii="Calibri" w:hAnsi="Calibri" w:cs="Calibri"/>
                      <w:bCs/>
                    </w:rPr>
                    <w:t>některé práce byly provedeny</w:t>
                  </w:r>
                  <w:r w:rsidR="00BC7B6E">
                    <w:rPr>
                      <w:rFonts w:ascii="Calibri" w:hAnsi="Calibri" w:cs="Calibri"/>
                      <w:bCs/>
                    </w:rPr>
                    <w:t xml:space="preserve"> nad rámec SD</w:t>
                  </w:r>
                  <w:r w:rsidR="0032332F">
                    <w:rPr>
                      <w:rFonts w:ascii="Calibri" w:hAnsi="Calibri" w:cs="Calibri"/>
                      <w:b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</w:rPr>
                    <w:t xml:space="preserve"> na doporučení AD a TDS</w:t>
                  </w:r>
                  <w:r w:rsidR="000C5395">
                    <w:rPr>
                      <w:rFonts w:ascii="Calibri" w:hAnsi="Calibri" w:cs="Calibri"/>
                      <w:b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32332F">
                    <w:rPr>
                      <w:rFonts w:ascii="Calibri" w:hAnsi="Calibri" w:cs="Calibri"/>
                      <w:bCs/>
                    </w:rPr>
                    <w:t xml:space="preserve">objednatel se </w:t>
                  </w:r>
                  <w:r>
                    <w:rPr>
                      <w:rFonts w:ascii="Calibri" w:hAnsi="Calibri" w:cs="Calibri"/>
                      <w:bCs/>
                    </w:rPr>
                    <w:t>se změnami souhlasil</w:t>
                  </w:r>
                  <w:r w:rsidR="00A23358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1A80303C" w14:textId="709B96E6" w:rsidR="00DC6FC5" w:rsidRDefault="00DC6FC5" w:rsidP="00DE590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Všechny změny jsou detailně rozepsány v</w:t>
                  </w:r>
                  <w:r w:rsidR="000B57ED">
                    <w:rPr>
                      <w:rFonts w:ascii="Calibri" w:hAnsi="Calibri" w:cs="Calibri"/>
                      <w:bCs/>
                    </w:rPr>
                    <w:t> dokladu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0B57ED">
                    <w:rPr>
                      <w:rFonts w:ascii="Calibri" w:hAnsi="Calibri" w:cs="Calibri"/>
                      <w:bCs/>
                    </w:rPr>
                    <w:t>Z</w:t>
                  </w:r>
                  <w:r>
                    <w:rPr>
                      <w:rFonts w:ascii="Calibri" w:hAnsi="Calibri" w:cs="Calibri"/>
                      <w:bCs/>
                    </w:rPr>
                    <w:t>měn</w:t>
                  </w:r>
                  <w:r w:rsidR="000B57ED">
                    <w:rPr>
                      <w:rFonts w:ascii="Calibri" w:hAnsi="Calibri" w:cs="Calibri"/>
                      <w:bCs/>
                    </w:rPr>
                    <w:t>a</w:t>
                  </w:r>
                  <w:r>
                    <w:rPr>
                      <w:rFonts w:ascii="Calibri" w:hAnsi="Calibri" w:cs="Calibri"/>
                      <w:bCs/>
                    </w:rPr>
                    <w:t xml:space="preserve"> během výstavby (ZBV č. </w:t>
                  </w:r>
                  <w:r w:rsidR="00A23358">
                    <w:rPr>
                      <w:rFonts w:ascii="Calibri" w:hAnsi="Calibri" w:cs="Calibri"/>
                      <w:bCs/>
                    </w:rPr>
                    <w:t>1</w:t>
                  </w:r>
                  <w:r>
                    <w:rPr>
                      <w:rFonts w:ascii="Calibri" w:hAnsi="Calibri" w:cs="Calibri"/>
                      <w:bCs/>
                    </w:rPr>
                    <w:t>), vydané zhotovitelem samostatným dokladem.</w:t>
                  </w:r>
                </w:p>
                <w:p w14:paraId="42C73966" w14:textId="77777777" w:rsidR="00DC6FC5" w:rsidRDefault="00DC6FC5" w:rsidP="00DE590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6FF1E275" w14:textId="0942DC73" w:rsidR="00DC6FC5" w:rsidRDefault="00DC6FC5" w:rsidP="00DE590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Seznam změn: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 jedná se o </w:t>
                  </w:r>
                  <w:r w:rsidR="00BC7B6E">
                    <w:rPr>
                      <w:rFonts w:ascii="Calibri" w:hAnsi="Calibri" w:cs="Calibri"/>
                      <w:bCs/>
                    </w:rPr>
                    <w:t>více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práce </w:t>
                  </w:r>
                  <w:r w:rsidR="00E246E9">
                    <w:rPr>
                      <w:rFonts w:ascii="Calibri" w:hAnsi="Calibri" w:cs="Calibri"/>
                      <w:bCs/>
                    </w:rPr>
                    <w:t xml:space="preserve">a méněpráci 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vyčíslené v ZBV č. </w:t>
                  </w:r>
                  <w:r w:rsidR="00A23358">
                    <w:rPr>
                      <w:rFonts w:ascii="Calibri" w:hAnsi="Calibri" w:cs="Calibri"/>
                      <w:bCs/>
                    </w:rPr>
                    <w:t>1</w:t>
                  </w:r>
                  <w:r w:rsidR="00E93003">
                    <w:rPr>
                      <w:rFonts w:ascii="Calibri" w:hAnsi="Calibri" w:cs="Calibri"/>
                      <w:bCs/>
                    </w:rPr>
                    <w:t>, vydané samostatným dokladem</w:t>
                  </w:r>
                  <w:r w:rsidR="000B57ED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10E5BAA1" w14:textId="397B5226" w:rsidR="00DC6FC5" w:rsidRDefault="00DC6FC5" w:rsidP="00DE590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Všechny Změny </w:t>
                  </w:r>
                  <w:r w:rsidR="000B57ED">
                    <w:rPr>
                      <w:rFonts w:ascii="Calibri" w:hAnsi="Calibri"/>
                    </w:rPr>
                    <w:t xml:space="preserve">dle tohoto ZL. č. </w:t>
                  </w:r>
                  <w:r w:rsidR="00A23358">
                    <w:rPr>
                      <w:rFonts w:ascii="Calibri" w:hAnsi="Calibri"/>
                    </w:rPr>
                    <w:t>1</w:t>
                  </w:r>
                  <w:r w:rsidR="000B57ED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vznikly v důsledku okolností, které zadavatel jednající s náležitou péčí nemohl předvídat a zároveň se jedná o Změny, které nemění celkovou povahu </w:t>
                  </w:r>
                  <w:r w:rsidR="00971DEF">
                    <w:rPr>
                      <w:rFonts w:ascii="Calibri" w:hAnsi="Calibri"/>
                    </w:rPr>
                    <w:t>zakázky malého rozsahu</w:t>
                  </w:r>
                  <w:r w:rsidR="00A132E8">
                    <w:rPr>
                      <w:rFonts w:ascii="Calibri" w:hAnsi="Calibri"/>
                    </w:rPr>
                    <w:t xml:space="preserve">. </w:t>
                  </w:r>
                </w:p>
                <w:p w14:paraId="03FC145E" w14:textId="01807326" w:rsidR="006F6806" w:rsidRPr="000D7E15" w:rsidRDefault="007C4BD6" w:rsidP="00DE590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Důvody ke změnám jsou popsány v</w:t>
                  </w:r>
                  <w:r w:rsidR="001754B9">
                    <w:rPr>
                      <w:rFonts w:ascii="Calibri" w:hAnsi="Calibri"/>
                    </w:rPr>
                    <w:t> </w:t>
                  </w:r>
                  <w:r>
                    <w:rPr>
                      <w:rFonts w:ascii="Calibri" w:hAnsi="Calibri"/>
                    </w:rPr>
                    <w:t>ZBV</w:t>
                  </w:r>
                  <w:r w:rsidR="001754B9">
                    <w:rPr>
                      <w:rFonts w:ascii="Calibri" w:hAnsi="Calibri"/>
                    </w:rPr>
                    <w:t>, jedná se o změnu ve výši 7,12% z celkové částky ze smlouvy</w:t>
                  </w:r>
                  <w:r>
                    <w:rPr>
                      <w:rFonts w:ascii="Calibri" w:hAnsi="Calibri"/>
                    </w:rPr>
                    <w:t xml:space="preserve"> </w:t>
                  </w:r>
                </w:p>
              </w:tc>
            </w:tr>
            <w:tr w:rsidR="00CD71CC" w:rsidRPr="000D7E15" w14:paraId="150A261B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7A029854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B921D4"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064E3EF2" w14:textId="77777777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B7B64F2" w14:textId="27E86FD2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</w:t>
                  </w:r>
                  <w:r w:rsidR="00FA3FD9">
                    <w:rPr>
                      <w:rFonts w:ascii="Calibri" w:hAnsi="Calibri"/>
                    </w:rPr>
                    <w:t>,  k ceně nebude připočítána DPH</w:t>
                  </w:r>
                  <w:r w:rsidR="00FA3FD9" w:rsidRPr="000D7E15">
                    <w:rPr>
                      <w:rFonts w:ascii="Calibri" w:hAnsi="Calibri"/>
                    </w:rPr>
                    <w:t>:</w:t>
                  </w:r>
                </w:p>
                <w:p w14:paraId="57DC8562" w14:textId="650FE9A3" w:rsidR="00CD71CC" w:rsidRPr="00EA197C" w:rsidRDefault="00CD71CC" w:rsidP="00EA197C">
                  <w:pPr>
                    <w:pStyle w:val="Odstavecseseznamem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 w:rsidRPr="00EA197C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487517E" w14:textId="70D16257" w:rsidR="00CD71CC" w:rsidRPr="000D7E15" w:rsidRDefault="00E246E9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109 782,49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5A082565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 w:rsidR="00E246E9">
                    <w:rPr>
                      <w:rFonts w:ascii="Calibri" w:hAnsi="Calibri"/>
                    </w:rPr>
                    <w:t xml:space="preserve"> s DPH</w:t>
                  </w:r>
                  <w:r w:rsidRPr="000D7E15">
                    <w:rPr>
                      <w:rFonts w:ascii="Calibri" w:hAnsi="Calibri"/>
                    </w:rPr>
                    <w:t xml:space="preserve">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625E0C23" w14:textId="1BE7722C" w:rsidR="00474D9A" w:rsidRPr="00B55F5D" w:rsidRDefault="00E246E9" w:rsidP="00E246E9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132 836,81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6AFDF03A" w:rsidR="00DC6FC5" w:rsidRPr="000D7E15" w:rsidRDefault="00CD71CC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103B6473" w:rsidR="00FA3FD9" w:rsidRPr="000D7E15" w:rsidRDefault="00DE2935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Nemá vliv na termín dokončení</w:t>
                  </w:r>
                </w:p>
              </w:tc>
            </w:tr>
            <w:tr w:rsidR="00CD71CC" w:rsidRPr="000D7E15" w14:paraId="5AFAD1F4" w14:textId="77777777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DE590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256678DA" w:rsidR="00CD71CC" w:rsidRPr="000D7E15" w:rsidRDefault="00B0797D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2FE3DAA1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1EA02377" w:rsidR="00CD71CC" w:rsidRPr="000D7E15" w:rsidRDefault="00B0797D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480D7B89" w:rsidR="00CD71CC" w:rsidRPr="000D7E15" w:rsidRDefault="00EC3B02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Tomáš Pasecký</w:t>
                  </w:r>
                  <w:r w:rsidR="002317DD">
                    <w:rPr>
                      <w:rFonts w:ascii="Calibri" w:hAnsi="Calibri"/>
                      <w:u w:val="single"/>
                    </w:rPr>
                    <w:t>, jednatel</w:t>
                  </w:r>
                </w:p>
                <w:p w14:paraId="7D9ED46C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DE5905">
                  <w:pPr>
                    <w:pBdr>
                      <w:top w:val="single" w:sz="4" w:space="0" w:color="auto"/>
                    </w:pBd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DE590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F31CAF3" w14:textId="1B2AF223" w:rsidR="00CD71CC" w:rsidRPr="000D7E15" w:rsidRDefault="00CD71CC" w:rsidP="00DE590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4CFD" w14:textId="77777777" w:rsidR="00C37B71" w:rsidRDefault="00C37B71" w:rsidP="008E5B2E">
      <w:r>
        <w:separator/>
      </w:r>
    </w:p>
  </w:endnote>
  <w:endnote w:type="continuationSeparator" w:id="0">
    <w:p w14:paraId="2DF5DD45" w14:textId="77777777" w:rsidR="00C37B71" w:rsidRDefault="00C37B71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31EA" w14:textId="77777777" w:rsidR="00C37B71" w:rsidRDefault="00C37B71" w:rsidP="008E5B2E">
      <w:r>
        <w:separator/>
      </w:r>
    </w:p>
  </w:footnote>
  <w:footnote w:type="continuationSeparator" w:id="0">
    <w:p w14:paraId="11907AAD" w14:textId="77777777" w:rsidR="00C37B71" w:rsidRDefault="00C37B71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2F5D"/>
    <w:multiLevelType w:val="hybridMultilevel"/>
    <w:tmpl w:val="40C2E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00623"/>
    <w:multiLevelType w:val="hybridMultilevel"/>
    <w:tmpl w:val="067C1D00"/>
    <w:lvl w:ilvl="0" w:tplc="448C25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E6BEB"/>
    <w:multiLevelType w:val="hybridMultilevel"/>
    <w:tmpl w:val="CA2C7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1"/>
  </w:num>
  <w:num w:numId="2" w16cid:durableId="2087068387">
    <w:abstractNumId w:val="2"/>
  </w:num>
  <w:num w:numId="3" w16cid:durableId="2111077912">
    <w:abstractNumId w:val="3"/>
  </w:num>
  <w:num w:numId="4" w16cid:durableId="81286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875C2"/>
    <w:rsid w:val="000A2875"/>
    <w:rsid w:val="000A6C0C"/>
    <w:rsid w:val="000B57ED"/>
    <w:rsid w:val="000C5395"/>
    <w:rsid w:val="000E3095"/>
    <w:rsid w:val="00107169"/>
    <w:rsid w:val="00127015"/>
    <w:rsid w:val="0013328E"/>
    <w:rsid w:val="001435E5"/>
    <w:rsid w:val="001754B9"/>
    <w:rsid w:val="00181EF9"/>
    <w:rsid w:val="00184E30"/>
    <w:rsid w:val="001862AE"/>
    <w:rsid w:val="00193712"/>
    <w:rsid w:val="001942E9"/>
    <w:rsid w:val="001F1D22"/>
    <w:rsid w:val="002317DD"/>
    <w:rsid w:val="002341BA"/>
    <w:rsid w:val="00243AAA"/>
    <w:rsid w:val="00256EFE"/>
    <w:rsid w:val="002C2811"/>
    <w:rsid w:val="002C4479"/>
    <w:rsid w:val="002C7E18"/>
    <w:rsid w:val="002F158E"/>
    <w:rsid w:val="0032332F"/>
    <w:rsid w:val="0033331C"/>
    <w:rsid w:val="003647A8"/>
    <w:rsid w:val="00396B24"/>
    <w:rsid w:val="003D58D5"/>
    <w:rsid w:val="00413F33"/>
    <w:rsid w:val="00423DBB"/>
    <w:rsid w:val="00425F23"/>
    <w:rsid w:val="00432370"/>
    <w:rsid w:val="00460ABA"/>
    <w:rsid w:val="0046640C"/>
    <w:rsid w:val="00474D9A"/>
    <w:rsid w:val="00491AED"/>
    <w:rsid w:val="004B4B2F"/>
    <w:rsid w:val="004E3C1B"/>
    <w:rsid w:val="00500366"/>
    <w:rsid w:val="00563645"/>
    <w:rsid w:val="00594E4B"/>
    <w:rsid w:val="005B38C5"/>
    <w:rsid w:val="00615179"/>
    <w:rsid w:val="00623BF7"/>
    <w:rsid w:val="006263D4"/>
    <w:rsid w:val="00637311"/>
    <w:rsid w:val="00655CBE"/>
    <w:rsid w:val="00665BAF"/>
    <w:rsid w:val="00680AAC"/>
    <w:rsid w:val="0068556B"/>
    <w:rsid w:val="00692CE6"/>
    <w:rsid w:val="006C3384"/>
    <w:rsid w:val="006D0CF6"/>
    <w:rsid w:val="006E13AE"/>
    <w:rsid w:val="006E5441"/>
    <w:rsid w:val="006E7DED"/>
    <w:rsid w:val="006F6806"/>
    <w:rsid w:val="007075CF"/>
    <w:rsid w:val="007807D8"/>
    <w:rsid w:val="007B09AA"/>
    <w:rsid w:val="007C4BD6"/>
    <w:rsid w:val="007D41F1"/>
    <w:rsid w:val="007D75A9"/>
    <w:rsid w:val="007E720D"/>
    <w:rsid w:val="007E770B"/>
    <w:rsid w:val="007F29FE"/>
    <w:rsid w:val="00830E7A"/>
    <w:rsid w:val="008370C8"/>
    <w:rsid w:val="0084233D"/>
    <w:rsid w:val="00893EF0"/>
    <w:rsid w:val="008A1A7E"/>
    <w:rsid w:val="008B41FF"/>
    <w:rsid w:val="008C04F5"/>
    <w:rsid w:val="008D205B"/>
    <w:rsid w:val="008E5B2E"/>
    <w:rsid w:val="00920A2D"/>
    <w:rsid w:val="00927875"/>
    <w:rsid w:val="009308B6"/>
    <w:rsid w:val="009326B5"/>
    <w:rsid w:val="009462C2"/>
    <w:rsid w:val="00957D26"/>
    <w:rsid w:val="00971DEF"/>
    <w:rsid w:val="009E141C"/>
    <w:rsid w:val="009E397D"/>
    <w:rsid w:val="00A132E8"/>
    <w:rsid w:val="00A223A2"/>
    <w:rsid w:val="00A23358"/>
    <w:rsid w:val="00A25B01"/>
    <w:rsid w:val="00A34DEE"/>
    <w:rsid w:val="00A468D1"/>
    <w:rsid w:val="00AA1960"/>
    <w:rsid w:val="00AA427A"/>
    <w:rsid w:val="00AB5276"/>
    <w:rsid w:val="00AE623E"/>
    <w:rsid w:val="00B0797D"/>
    <w:rsid w:val="00B139F4"/>
    <w:rsid w:val="00B33AE1"/>
    <w:rsid w:val="00B40F3F"/>
    <w:rsid w:val="00B55F5D"/>
    <w:rsid w:val="00B67B96"/>
    <w:rsid w:val="00B921D4"/>
    <w:rsid w:val="00BC7B6E"/>
    <w:rsid w:val="00BD022C"/>
    <w:rsid w:val="00BD7F61"/>
    <w:rsid w:val="00C1066E"/>
    <w:rsid w:val="00C37B71"/>
    <w:rsid w:val="00C67025"/>
    <w:rsid w:val="00CA2B3C"/>
    <w:rsid w:val="00CA6A88"/>
    <w:rsid w:val="00CD71CC"/>
    <w:rsid w:val="00D05A45"/>
    <w:rsid w:val="00D2035D"/>
    <w:rsid w:val="00D31A6A"/>
    <w:rsid w:val="00D43DF2"/>
    <w:rsid w:val="00D4442E"/>
    <w:rsid w:val="00D4619C"/>
    <w:rsid w:val="00D97CD4"/>
    <w:rsid w:val="00DA50A4"/>
    <w:rsid w:val="00DA5BE7"/>
    <w:rsid w:val="00DA5FA3"/>
    <w:rsid w:val="00DB2A05"/>
    <w:rsid w:val="00DC6FC5"/>
    <w:rsid w:val="00DE2935"/>
    <w:rsid w:val="00DE5905"/>
    <w:rsid w:val="00E04103"/>
    <w:rsid w:val="00E06C1E"/>
    <w:rsid w:val="00E07538"/>
    <w:rsid w:val="00E07E3B"/>
    <w:rsid w:val="00E15674"/>
    <w:rsid w:val="00E241A9"/>
    <w:rsid w:val="00E246E9"/>
    <w:rsid w:val="00E40225"/>
    <w:rsid w:val="00E555D6"/>
    <w:rsid w:val="00E7051B"/>
    <w:rsid w:val="00E93003"/>
    <w:rsid w:val="00E96C64"/>
    <w:rsid w:val="00EA197C"/>
    <w:rsid w:val="00EA6D2D"/>
    <w:rsid w:val="00EC3B02"/>
    <w:rsid w:val="00EC4DEC"/>
    <w:rsid w:val="00EE0426"/>
    <w:rsid w:val="00F06B44"/>
    <w:rsid w:val="00F11CB2"/>
    <w:rsid w:val="00F320E5"/>
    <w:rsid w:val="00F5210D"/>
    <w:rsid w:val="00F56779"/>
    <w:rsid w:val="00F66DE1"/>
    <w:rsid w:val="00F7094B"/>
    <w:rsid w:val="00F903A1"/>
    <w:rsid w:val="00F92943"/>
    <w:rsid w:val="00FA3FD9"/>
    <w:rsid w:val="00FD14C0"/>
    <w:rsid w:val="00FF1FD4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A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Zemlerová, Iva</cp:lastModifiedBy>
  <cp:revision>55</cp:revision>
  <cp:lastPrinted>2023-05-31T04:42:00Z</cp:lastPrinted>
  <dcterms:created xsi:type="dcterms:W3CDTF">2023-04-27T08:40:00Z</dcterms:created>
  <dcterms:modified xsi:type="dcterms:W3CDTF">2023-11-20T06:22:00Z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