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DE" w:rsidRDefault="009718C9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SMLOUVA O DÍLO</w:t>
      </w:r>
    </w:p>
    <w:p w:rsidR="00BD10DE" w:rsidRDefault="009718C9">
      <w:pPr>
        <w:jc w:val="center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 xml:space="preserve">č. SA - 23 / </w:t>
      </w:r>
      <w:r w:rsidR="00AE455A">
        <w:rPr>
          <w:rFonts w:ascii="Georgia" w:hAnsi="Georgia"/>
          <w:b/>
          <w:bCs/>
        </w:rPr>
        <w:t>487</w:t>
      </w:r>
      <w:bookmarkStart w:id="0" w:name="_GoBack"/>
      <w:bookmarkEnd w:id="0"/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Česká filharmonie</w:t>
      </w: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se sídlem Alšovo nábřeží 12, 110 01 Praha 1, Česká republika</w:t>
      </w: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IČ: 00023264, DIČ: CZ00023264</w:t>
      </w: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zastoupena </w:t>
      </w:r>
      <w:proofErr w:type="spellStart"/>
      <w:r>
        <w:rPr>
          <w:rFonts w:ascii="Georgia" w:hAnsi="Georgia"/>
        </w:rPr>
        <w:t>MgA</w:t>
      </w:r>
      <w:proofErr w:type="spellEnd"/>
      <w:r>
        <w:rPr>
          <w:rFonts w:ascii="Georgia" w:hAnsi="Georgia"/>
        </w:rPr>
        <w:t>. Davidem Marečkem, Ph.D., generálním ředitelem</w:t>
      </w: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(dále jen „</w:t>
      </w:r>
      <w:r>
        <w:rPr>
          <w:rFonts w:ascii="Georgia" w:hAnsi="Georgia"/>
          <w:b/>
          <w:bCs/>
        </w:rPr>
        <w:t>ČF</w:t>
      </w:r>
      <w:r>
        <w:rPr>
          <w:rFonts w:ascii="Georgia" w:hAnsi="Georgia"/>
        </w:rPr>
        <w:t>“)</w:t>
      </w: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a</w:t>
      </w: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/>
      </w:r>
    </w:p>
    <w:p w:rsidR="00BD10DE" w:rsidRPr="002F31E6" w:rsidRDefault="009718C9">
      <w:pPr>
        <w:rPr>
          <w:rFonts w:ascii="Georgia" w:eastAsia="Georgia" w:hAnsi="Georgia" w:cs="Georgia"/>
          <w:b/>
          <w:bCs/>
        </w:rPr>
      </w:pPr>
      <w:r w:rsidRPr="002F31E6">
        <w:rPr>
          <w:rFonts w:ascii="Georgia" w:hAnsi="Georgia"/>
          <w:b/>
          <w:bCs/>
        </w:rPr>
        <w:t>DECHEM STUDIO s. r. o.</w:t>
      </w:r>
    </w:p>
    <w:p w:rsidR="00BD10DE" w:rsidRPr="002F31E6" w:rsidRDefault="009718C9" w:rsidP="00AE455A">
      <w:pPr>
        <w:rPr>
          <w:rFonts w:ascii="Georgia" w:eastAsia="Georgia" w:hAnsi="Georgia" w:cs="Georgia"/>
        </w:rPr>
      </w:pPr>
      <w:r w:rsidRPr="00AE455A">
        <w:rPr>
          <w:rFonts w:ascii="Georgia" w:eastAsia="Georgia" w:hAnsi="Georgia" w:cs="Georgia"/>
        </w:rPr>
        <w:t>se sídlem:</w:t>
      </w:r>
      <w:r w:rsidRPr="00AE455A">
        <w:rPr>
          <w:rFonts w:ascii="Georgia" w:eastAsia="Georgia" w:hAnsi="Georgia" w:cs="Georgia"/>
        </w:rPr>
        <w:tab/>
        <w:t xml:space="preserve">V </w:t>
      </w:r>
      <w:proofErr w:type="spellStart"/>
      <w:r w:rsidRPr="00AE455A">
        <w:rPr>
          <w:rFonts w:ascii="Georgia" w:eastAsia="Georgia" w:hAnsi="Georgia" w:cs="Georgia"/>
        </w:rPr>
        <w:t>haji</w:t>
      </w:r>
      <w:proofErr w:type="spellEnd"/>
      <w:r w:rsidRPr="00AE455A">
        <w:rPr>
          <w:rFonts w:ascii="Georgia" w:eastAsia="Georgia" w:hAnsi="Georgia" w:cs="Georgia"/>
        </w:rPr>
        <w:t xml:space="preserve"> 35, 170 00 Praha 7</w:t>
      </w:r>
      <w:r w:rsidRPr="002F31E6">
        <w:rPr>
          <w:rFonts w:ascii="Georgia" w:eastAsia="Georgia" w:hAnsi="Georgia" w:cs="Georgia"/>
        </w:rPr>
        <w:tab/>
      </w:r>
    </w:p>
    <w:p w:rsidR="00BD10DE" w:rsidRDefault="009718C9" w:rsidP="00AE455A">
      <w:pPr>
        <w:rPr>
          <w:rFonts w:ascii="Georgia" w:eastAsia="Georgia" w:hAnsi="Georgia" w:cs="Georgia"/>
        </w:rPr>
      </w:pPr>
      <w:r w:rsidRPr="00AE455A">
        <w:rPr>
          <w:rFonts w:ascii="Georgia" w:eastAsia="Georgia" w:hAnsi="Georgia" w:cs="Georgia"/>
        </w:rPr>
        <w:t>IČ:</w:t>
      </w:r>
      <w:r w:rsidRPr="00AE455A">
        <w:rPr>
          <w:rFonts w:ascii="Georgia" w:eastAsia="Georgia" w:hAnsi="Georgia" w:cs="Georgia"/>
        </w:rPr>
        <w:tab/>
        <w:t>06898408,  DIČ:</w:t>
      </w:r>
      <w:r>
        <w:rPr>
          <w:rFonts w:ascii="Georgia" w:hAnsi="Georgia"/>
        </w:rPr>
        <w:t xml:space="preserve">  CZ067898408</w:t>
      </w: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zastoupena: Mgr. Jakubem </w:t>
      </w:r>
      <w:proofErr w:type="spellStart"/>
      <w:r>
        <w:rPr>
          <w:rFonts w:ascii="Georgia" w:hAnsi="Georgia"/>
        </w:rPr>
        <w:t>Janďourkem</w:t>
      </w:r>
      <w:proofErr w:type="spellEnd"/>
      <w:r>
        <w:rPr>
          <w:rFonts w:ascii="Georgia" w:hAnsi="Georgia"/>
        </w:rPr>
        <w:t>, jednatelem</w:t>
      </w: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číslo účtu: 115-7052220277/0100</w:t>
      </w: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(dále jen „</w:t>
      </w:r>
      <w:r>
        <w:rPr>
          <w:rFonts w:ascii="Georgia" w:hAnsi="Georgia"/>
          <w:b/>
          <w:bCs/>
        </w:rPr>
        <w:t>zhotovitel</w:t>
      </w:r>
      <w:r>
        <w:rPr>
          <w:rFonts w:ascii="Georgia" w:hAnsi="Georgia"/>
        </w:rPr>
        <w:t>“)</w:t>
      </w: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uzavírají níže uvedeného dne, měsíce a roku tuto smlouvu (dále jen „</w:t>
      </w:r>
      <w:r>
        <w:rPr>
          <w:rFonts w:ascii="Georgia" w:hAnsi="Georgia"/>
          <w:b/>
          <w:bCs/>
        </w:rPr>
        <w:t>smlouva</w:t>
      </w:r>
      <w:r>
        <w:rPr>
          <w:rFonts w:ascii="Georgia" w:hAnsi="Georgia"/>
        </w:rPr>
        <w:t>“):</w:t>
      </w: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Článek I.</w:t>
      </w:r>
    </w:p>
    <w:p w:rsidR="00BD10DE" w:rsidRDefault="009718C9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Předmět smlouvy</w:t>
      </w:r>
    </w:p>
    <w:p w:rsidR="00BD10DE" w:rsidRDefault="00BD10DE">
      <w:pPr>
        <w:keepNext/>
        <w:jc w:val="center"/>
        <w:rPr>
          <w:rFonts w:ascii="Georgia" w:eastAsia="Georgia" w:hAnsi="Georgia" w:cs="Georgia"/>
          <w:b/>
          <w:bCs/>
        </w:rPr>
      </w:pPr>
    </w:p>
    <w:p w:rsidR="00BD10DE" w:rsidRDefault="009718C9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Zhotovitel se zavazuje provést pro ČF jako objednatele níže specifikované dílo (dále jen „</w:t>
      </w:r>
      <w:r>
        <w:rPr>
          <w:rFonts w:ascii="Georgia" w:hAnsi="Georgia"/>
          <w:b/>
          <w:bCs/>
        </w:rPr>
        <w:t>dílo</w:t>
      </w:r>
      <w:r>
        <w:rPr>
          <w:rFonts w:ascii="Georgia" w:hAnsi="Georgia"/>
        </w:rPr>
        <w:t>“) a dokončit je nejpozději v níže sjednaném termínu.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níže.</w:t>
      </w:r>
    </w:p>
    <w:p w:rsidR="00BD10DE" w:rsidRDefault="00BD10DE">
      <w:pPr>
        <w:ind w:left="357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Specifikace díla:</w:t>
      </w:r>
      <w:r>
        <w:rPr>
          <w:rFonts w:ascii="Georgia" w:hAnsi="Georgia"/>
        </w:rPr>
        <w:tab/>
        <w:t>Osvětlení pro projekt rekonstrukce klubu a recepce ve spolupráci s arch. Lenkou Míkovou: výroba dle autorského návrhu a instalace osvětlení v místě určení.</w:t>
      </w:r>
    </w:p>
    <w:p w:rsidR="00BD10DE" w:rsidRDefault="00BD10DE">
      <w:pPr>
        <w:tabs>
          <w:tab w:val="left" w:pos="720"/>
        </w:tabs>
        <w:ind w:left="360" w:hanging="360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Termín provedení díla: Termín instalace osvětlení bude upřesněn a koordinován ve spolupráci s ČF a s realizační firmou GEMA ART International s. r. o. v návaznosti na další stavební a interiérové práce v rámci rekonstrukce.</w:t>
      </w:r>
    </w:p>
    <w:p w:rsidR="00BD10DE" w:rsidRDefault="009718C9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  <w:r>
        <w:rPr>
          <w:rFonts w:ascii="Georgia" w:hAnsi="Georgia"/>
        </w:rPr>
        <w:t>ČF vyzve písemně nejméně 20 dní předem zhotovitele k zahájení instalace osvětlení. Zhotovitel bude mít na instalaci osvětlení 14 pracovních dní.</w:t>
      </w:r>
    </w:p>
    <w:p w:rsidR="00BD10DE" w:rsidRDefault="00BD10DE">
      <w:pPr>
        <w:tabs>
          <w:tab w:val="left" w:pos="360"/>
          <w:tab w:val="left" w:pos="1800"/>
        </w:tabs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Místo provedení díla: Rudolfinum, Alšovo nábřeží 12, 110 00, Praha 1</w:t>
      </w:r>
    </w:p>
    <w:p w:rsidR="00BD10DE" w:rsidRDefault="00BD10DE">
      <w:pPr>
        <w:pStyle w:val="Odstavecseseznamem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Cena díla: 448 500 Kč (slovy: </w:t>
      </w:r>
      <w:proofErr w:type="spellStart"/>
      <w:r>
        <w:rPr>
          <w:rFonts w:ascii="Georgia" w:hAnsi="Georgia"/>
        </w:rPr>
        <w:t>čtyřistačtyřicetosm</w:t>
      </w:r>
      <w:proofErr w:type="spellEnd"/>
      <w:r>
        <w:rPr>
          <w:rFonts w:ascii="Georgia" w:hAnsi="Georgia"/>
        </w:rPr>
        <w:t xml:space="preserve"> tisíc </w:t>
      </w:r>
      <w:proofErr w:type="spellStart"/>
      <w:r>
        <w:rPr>
          <w:rFonts w:ascii="Georgia" w:hAnsi="Georgia"/>
        </w:rPr>
        <w:t>pětset</w:t>
      </w:r>
      <w:proofErr w:type="spellEnd"/>
      <w:r>
        <w:rPr>
          <w:rFonts w:ascii="Georgia" w:hAnsi="Georgia"/>
        </w:rPr>
        <w:t xml:space="preserve"> korun českých) bez DPH.</w:t>
      </w:r>
    </w:p>
    <w:p w:rsidR="00BD10DE" w:rsidRDefault="00BD10DE">
      <w:pPr>
        <w:pStyle w:val="Odstavecseseznamem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Sjednaná cena díla zahrnuje veškeré náklady vynaložené zhotovitelem na jeho provádění.</w:t>
      </w:r>
    </w:p>
    <w:p w:rsidR="00BD10DE" w:rsidRDefault="009718C9">
      <w:pPr>
        <w:pStyle w:val="Odstavecseseznamem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/>
      </w:r>
    </w:p>
    <w:p w:rsidR="00BD10DE" w:rsidRPr="00AE455A" w:rsidRDefault="009718C9">
      <w:pPr>
        <w:numPr>
          <w:ilvl w:val="0"/>
          <w:numId w:val="3"/>
        </w:numPr>
        <w:rPr>
          <w:rFonts w:ascii="Georgia" w:eastAsia="Georgia" w:hAnsi="Georgia" w:cs="Georgia"/>
        </w:rPr>
      </w:pPr>
      <w:r w:rsidRPr="002F31E6">
        <w:rPr>
          <w:rFonts w:ascii="Georgia" w:hAnsi="Georgia"/>
        </w:rPr>
        <w:lastRenderedPageBreak/>
        <w:t xml:space="preserve">ČF zaplatí zhotoviteli 50% </w:t>
      </w:r>
      <w:r w:rsidRPr="00AE455A">
        <w:rPr>
          <w:rFonts w:ascii="Georgia" w:eastAsia="Georgia" w:hAnsi="Georgia" w:cs="Georgia"/>
        </w:rPr>
        <w:t>zálohu z celkové ceny díla do 14 dnů od podpisu smlouvy. Druhých 50% z celkové ceny díla zaplatí ČF do 14 dnů od jeho řádného provedení, a to na bankovní účet zhotovitele č. 115-7052220277/0100 vedený u Komerční Banky.</w:t>
      </w:r>
    </w:p>
    <w:p w:rsidR="00BD10DE" w:rsidRPr="002F31E6" w:rsidRDefault="00BD10DE" w:rsidP="00AE455A">
      <w:pPr>
        <w:ind w:left="360"/>
        <w:rPr>
          <w:rFonts w:ascii="Georgia" w:eastAsia="Georgia" w:hAnsi="Georgia" w:cs="Georgia"/>
        </w:rPr>
      </w:pPr>
    </w:p>
    <w:p w:rsidR="00BD10DE" w:rsidRPr="00AE455A" w:rsidRDefault="009718C9">
      <w:pPr>
        <w:numPr>
          <w:ilvl w:val="0"/>
          <w:numId w:val="3"/>
        </w:numPr>
        <w:rPr>
          <w:rFonts w:ascii="Georgia" w:eastAsia="Georgia" w:hAnsi="Georgia" w:cs="Georgia"/>
        </w:rPr>
      </w:pPr>
      <w:r w:rsidRPr="00AE455A">
        <w:rPr>
          <w:rFonts w:ascii="Georgia" w:eastAsia="Georgia" w:hAnsi="Georgia" w:cs="Georgia"/>
        </w:rPr>
        <w:t xml:space="preserve">Zhotovitel je povinen doručit ČF na cenu díla fakturu s náležitostmi daňového dokladu, jinak se cena díla nestane splatnou. </w:t>
      </w:r>
    </w:p>
    <w:p w:rsidR="00BD10DE" w:rsidRPr="002F31E6" w:rsidRDefault="00BD10DE" w:rsidP="00AE455A">
      <w:pPr>
        <w:pStyle w:val="Odstavecseseznamem"/>
        <w:rPr>
          <w:rFonts w:ascii="Georgia" w:eastAsia="Georgia" w:hAnsi="Georgia" w:cs="Georgia"/>
        </w:rPr>
      </w:pPr>
    </w:p>
    <w:p w:rsidR="00BD10DE" w:rsidRPr="002F31E6" w:rsidRDefault="009718C9">
      <w:pPr>
        <w:numPr>
          <w:ilvl w:val="0"/>
          <w:numId w:val="3"/>
        </w:numPr>
        <w:rPr>
          <w:rFonts w:ascii="Georgia" w:hAnsi="Georgia"/>
        </w:rPr>
      </w:pPr>
      <w:r w:rsidRPr="002F31E6">
        <w:rPr>
          <w:rFonts w:ascii="Georgia" w:hAnsi="Georgia"/>
        </w:rPr>
        <w:t>Zhotovitel je povinen provést dílo osobně; jinak jen s předchozím souhlasem ČF. Zhotovitel je vázán případnými příkazy ČF ohledně způsobu provádění díla.</w:t>
      </w:r>
    </w:p>
    <w:p w:rsidR="00BD10DE" w:rsidRPr="002F31E6" w:rsidRDefault="00BD10DE">
      <w:pPr>
        <w:pStyle w:val="Odstavecseseznamem"/>
        <w:rPr>
          <w:rFonts w:ascii="Georgia" w:eastAsia="Georgia" w:hAnsi="Georgia" w:cs="Georgia"/>
        </w:rPr>
      </w:pPr>
    </w:p>
    <w:p w:rsidR="00BD10DE" w:rsidRPr="002F31E6" w:rsidRDefault="009718C9">
      <w:pPr>
        <w:numPr>
          <w:ilvl w:val="0"/>
          <w:numId w:val="3"/>
        </w:numPr>
        <w:rPr>
          <w:rFonts w:ascii="Georgia" w:hAnsi="Georgia"/>
        </w:rPr>
      </w:pPr>
      <w:r w:rsidRPr="00AE455A">
        <w:rPr>
          <w:rFonts w:ascii="Georgia" w:hAnsi="Georgia"/>
        </w:rPr>
        <w:t xml:space="preserve">Neprovede-li zhotovitel instalaci díla ve sjednaném termínu od výzvy k zahájení plnění, je povinen zaplatit ČF smluvní pokutu ve výši 500 Kč (slovy: </w:t>
      </w:r>
      <w:proofErr w:type="spellStart"/>
      <w:r w:rsidRPr="00AE455A">
        <w:rPr>
          <w:rFonts w:ascii="Georgia" w:hAnsi="Georgia"/>
        </w:rPr>
        <w:t>pětset</w:t>
      </w:r>
      <w:proofErr w:type="spellEnd"/>
      <w:r w:rsidRPr="00AE455A">
        <w:rPr>
          <w:rFonts w:ascii="Georgia" w:hAnsi="Georgia"/>
        </w:rPr>
        <w:t xml:space="preserve"> korun českých) za každý den prodlení, a to v souhrnu nejvýše do částky sjednané ceny díla; vedle toho má ČF v takovém případě právo od této smlouvy odstoupit. Právo na náhradu újmy tím není dotčeno.</w:t>
      </w:r>
    </w:p>
    <w:p w:rsidR="00BD10DE" w:rsidRPr="002F31E6" w:rsidRDefault="00BD10D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AE455A" w:rsidRDefault="009718C9" w:rsidP="00AE455A">
      <w:pPr>
        <w:numPr>
          <w:ilvl w:val="0"/>
          <w:numId w:val="3"/>
        </w:numPr>
        <w:rPr>
          <w:rFonts w:ascii="Georgia" w:hAnsi="Georgia"/>
        </w:rPr>
      </w:pPr>
      <w:r w:rsidRPr="002F31E6">
        <w:rPr>
          <w:rFonts w:ascii="Georgia" w:hAnsi="Georgia"/>
        </w:rPr>
        <w:t>Pro případ, že by se zhotovitel v rámci provádění díla podílel nebo zúčastnil na nějaké akci ČF, souhlasí s tím, že ČF a subjekty s ČF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:rsidR="00AE455A" w:rsidRDefault="00AE455A" w:rsidP="00AE455A">
      <w:pPr>
        <w:pStyle w:val="Odstavecseseznamem"/>
        <w:rPr>
          <w:rFonts w:ascii="Georgia" w:eastAsia="Georgia" w:hAnsi="Georgia" w:cs="Georgia"/>
        </w:rPr>
      </w:pPr>
    </w:p>
    <w:p w:rsidR="00BD10DE" w:rsidRPr="00AE455A" w:rsidRDefault="009718C9" w:rsidP="00AE455A">
      <w:pPr>
        <w:numPr>
          <w:ilvl w:val="0"/>
          <w:numId w:val="3"/>
        </w:numPr>
        <w:rPr>
          <w:rFonts w:ascii="Georgia" w:hAnsi="Georgia"/>
        </w:rPr>
      </w:pPr>
      <w:r w:rsidRPr="00AE455A">
        <w:rPr>
          <w:rFonts w:ascii="Georgia" w:eastAsia="Georgia" w:hAnsi="Georgia" w:cs="Georgia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BD10DE" w:rsidRDefault="00BD10DE" w:rsidP="002F31E6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BD10DE" w:rsidRDefault="009718C9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Článek II.</w:t>
      </w:r>
    </w:p>
    <w:p w:rsidR="00BD10DE" w:rsidRDefault="009718C9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Platnost a účinnost</w:t>
      </w:r>
    </w:p>
    <w:p w:rsidR="00BD10DE" w:rsidRDefault="00BD10DE">
      <w:pPr>
        <w:pStyle w:val="Odstavecseseznamem"/>
        <w:keepNext/>
        <w:ind w:left="0"/>
        <w:rPr>
          <w:rFonts w:ascii="Georgia" w:eastAsia="Georgia" w:hAnsi="Georgia" w:cs="Georgia"/>
        </w:rPr>
      </w:pP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BD10DE" w:rsidRDefault="00BD10D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BD10DE" w:rsidRDefault="009718C9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Článek III.</w:t>
      </w:r>
    </w:p>
    <w:p w:rsidR="00BD10DE" w:rsidRDefault="009718C9">
      <w:pPr>
        <w:keepNext/>
        <w:jc w:val="center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Závěrečná ustanovení</w:t>
      </w:r>
    </w:p>
    <w:p w:rsidR="00BD10DE" w:rsidRDefault="00BD10DE">
      <w:pPr>
        <w:keepNext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Tato smlouva se řídí právním řádem České republiky, zejména příslušnými ustanoveními zákona č. 89/2012 Sb., občanského zákoníku, ve znění pozdějších </w:t>
      </w:r>
      <w:r>
        <w:rPr>
          <w:rFonts w:ascii="Georgia" w:hAnsi="Georgia"/>
        </w:rPr>
        <w:lastRenderedPageBreak/>
        <w:t>předpisů. Veškeré případné spory z ní vyplývající nebo s ní související budou rozhodnuty příslušnými soudy České republiky.</w:t>
      </w:r>
    </w:p>
    <w:p w:rsidR="00BD10DE" w:rsidRDefault="00BD10D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BD10DE" w:rsidRDefault="00BD10D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Tato smlouva je vyhotovena ve dvou provedeních, z nichž každá smluvní strana obdrží po jednom.</w:t>
      </w:r>
    </w:p>
    <w:p w:rsidR="00BD10DE" w:rsidRDefault="00BD10D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Veškeré změny a doplňky této smlouvy musejí být učiněny písemně formou číslovaných dodatků podepsaných oběma smluvními stranami.</w:t>
      </w:r>
    </w:p>
    <w:p w:rsidR="00BD10DE" w:rsidRDefault="00BD10DE">
      <w:pPr>
        <w:pStyle w:val="Odstavecseseznamem"/>
        <w:rPr>
          <w:rFonts w:ascii="Georgia" w:eastAsia="Georgia" w:hAnsi="Georgia" w:cs="Georgia"/>
        </w:rPr>
      </w:pPr>
    </w:p>
    <w:p w:rsidR="00BD10DE" w:rsidRDefault="009718C9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Příloha č. 1, Cenová nabídka, je nedílnou součástí této smlouvy</w:t>
      </w:r>
    </w:p>
    <w:p w:rsidR="00BD10DE" w:rsidRDefault="00BD10DE">
      <w:pPr>
        <w:tabs>
          <w:tab w:val="left" w:pos="360"/>
          <w:tab w:val="left" w:pos="1800"/>
        </w:tabs>
        <w:ind w:left="360"/>
        <w:rPr>
          <w:rFonts w:ascii="Georgia" w:eastAsia="Georgia" w:hAnsi="Georgia" w:cs="Georgia"/>
        </w:rPr>
      </w:pP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V Praze dne </w:t>
      </w:r>
      <w:r w:rsidR="002F31E6">
        <w:rPr>
          <w:rFonts w:ascii="Georgia" w:hAnsi="Georgia"/>
        </w:rPr>
        <w:t>24</w:t>
      </w:r>
      <w:r>
        <w:rPr>
          <w:rFonts w:ascii="Georgia" w:hAnsi="Georgia"/>
        </w:rPr>
        <w:t xml:space="preserve">. </w:t>
      </w:r>
      <w:r w:rsidR="002F31E6">
        <w:rPr>
          <w:rFonts w:ascii="Georgia" w:hAnsi="Georgia"/>
        </w:rPr>
        <w:t>listopadu</w:t>
      </w:r>
      <w:r>
        <w:rPr>
          <w:rFonts w:ascii="Georgia" w:hAnsi="Georgia"/>
        </w:rPr>
        <w:t xml:space="preserve"> 2023</w:t>
      </w: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tabs>
          <w:tab w:val="center" w:pos="1701"/>
          <w:tab w:val="center" w:pos="737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………………………………………</w:t>
      </w:r>
      <w:r>
        <w:rPr>
          <w:rFonts w:ascii="Georgia" w:eastAsia="Georgia" w:hAnsi="Georgia" w:cs="Georgia"/>
        </w:rPr>
        <w:tab/>
        <w:t>………………………………………</w:t>
      </w:r>
    </w:p>
    <w:p w:rsidR="00BD10DE" w:rsidRDefault="009718C9">
      <w:pPr>
        <w:tabs>
          <w:tab w:val="center" w:pos="1701"/>
          <w:tab w:val="center" w:pos="7371"/>
        </w:tabs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Č</w:t>
      </w:r>
      <w:r>
        <w:rPr>
          <w:rFonts w:ascii="Georgia" w:hAnsi="Georgia"/>
        </w:rPr>
        <w:t>F</w:t>
      </w:r>
      <w:r>
        <w:rPr>
          <w:rFonts w:ascii="Georgia" w:hAnsi="Georgia"/>
        </w:rPr>
        <w:tab/>
        <w:t>zhotovitel</w:t>
      </w:r>
    </w:p>
    <w:p w:rsidR="00BD10DE" w:rsidRDefault="00BD10DE">
      <w:pPr>
        <w:tabs>
          <w:tab w:val="center" w:pos="2268"/>
          <w:tab w:val="center" w:pos="7797"/>
        </w:tabs>
        <w:rPr>
          <w:rFonts w:ascii="Georgia" w:eastAsia="Georgia" w:hAnsi="Georgia" w:cs="Georgia"/>
        </w:rPr>
      </w:pPr>
    </w:p>
    <w:p w:rsidR="00BD10DE" w:rsidRDefault="00BD10DE">
      <w:pPr>
        <w:tabs>
          <w:tab w:val="center" w:pos="2268"/>
          <w:tab w:val="center" w:pos="7797"/>
        </w:tabs>
        <w:rPr>
          <w:rFonts w:ascii="Georgia" w:eastAsia="Georgia" w:hAnsi="Georgia" w:cs="Georgia"/>
        </w:rPr>
      </w:pP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rPr>
          <w:rFonts w:ascii="Georgia" w:eastAsia="Georgia" w:hAnsi="Georgia" w:cs="Georgia"/>
        </w:rPr>
      </w:pPr>
      <w:r>
        <w:rPr>
          <w:rFonts w:ascii="Georgia" w:hAnsi="Georgia"/>
        </w:rPr>
        <w:t>Vyhotovila a za správnost ručí:</w:t>
      </w:r>
      <w:r>
        <w:rPr>
          <w:rFonts w:ascii="Georgia" w:hAnsi="Georgia"/>
        </w:rPr>
        <w:tab/>
        <w:t>Jitka Herčíková, vedoucí provozu Rudolfina</w:t>
      </w:r>
    </w:p>
    <w:p w:rsidR="00BD10DE" w:rsidRDefault="00BD10DE">
      <w:pPr>
        <w:rPr>
          <w:rFonts w:ascii="Georgia" w:eastAsia="Georgia" w:hAnsi="Georgia" w:cs="Georgia"/>
        </w:rPr>
      </w:pPr>
    </w:p>
    <w:p w:rsidR="00BD10DE" w:rsidRDefault="009718C9">
      <w:pPr>
        <w:ind w:left="3540" w:hanging="3540"/>
      </w:pPr>
      <w:r>
        <w:rPr>
          <w:rFonts w:ascii="Georgia" w:hAnsi="Georgia"/>
        </w:rPr>
        <w:t>Kontroloval:</w:t>
      </w:r>
      <w:r>
        <w:rPr>
          <w:rFonts w:ascii="Georgia" w:hAnsi="Georgia"/>
        </w:rPr>
        <w:tab/>
        <w:t>Lukáš Duchek, vedoucí oddělení investic a správy Rudolfina</w:t>
      </w:r>
    </w:p>
    <w:sectPr w:rsidR="00BD10DE">
      <w:headerReference w:type="default" r:id="rId7"/>
      <w:footerReference w:type="default" r:id="rId8"/>
      <w:pgSz w:w="11900" w:h="16840"/>
      <w:pgMar w:top="1418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91" w:rsidRDefault="00927B91">
      <w:r>
        <w:separator/>
      </w:r>
    </w:p>
  </w:endnote>
  <w:endnote w:type="continuationSeparator" w:id="0">
    <w:p w:rsidR="00927B91" w:rsidRDefault="009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DE" w:rsidRDefault="00BD10D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91" w:rsidRDefault="00927B91">
      <w:r>
        <w:separator/>
      </w:r>
    </w:p>
  </w:footnote>
  <w:footnote w:type="continuationSeparator" w:id="0">
    <w:p w:rsidR="00927B91" w:rsidRDefault="0092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DE" w:rsidRDefault="00BD10D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2B21"/>
    <w:multiLevelType w:val="hybridMultilevel"/>
    <w:tmpl w:val="10003C56"/>
    <w:numStyleLink w:val="Importovanstyl1"/>
  </w:abstractNum>
  <w:abstractNum w:abstractNumId="1" w15:restartNumberingAfterBreak="0">
    <w:nsid w:val="4DA201D2"/>
    <w:multiLevelType w:val="hybridMultilevel"/>
    <w:tmpl w:val="10003C56"/>
    <w:styleLink w:val="Importovanstyl1"/>
    <w:lvl w:ilvl="0" w:tplc="2B7A31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BA7518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A099E">
      <w:start w:val="1"/>
      <w:numFmt w:val="lowerRoman"/>
      <w:lvlText w:val="%3."/>
      <w:lvlJc w:val="left"/>
      <w:pPr>
        <w:tabs>
          <w:tab w:val="left" w:pos="360"/>
        </w:tabs>
        <w:ind w:left="179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CD710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64D1A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4136A">
      <w:start w:val="1"/>
      <w:numFmt w:val="lowerRoman"/>
      <w:lvlText w:val="%6."/>
      <w:lvlJc w:val="left"/>
      <w:pPr>
        <w:tabs>
          <w:tab w:val="left" w:pos="360"/>
        </w:tabs>
        <w:ind w:left="395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E98EC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CCCA4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2AF26">
      <w:start w:val="1"/>
      <w:numFmt w:val="lowerRoman"/>
      <w:lvlText w:val="%9."/>
      <w:lvlJc w:val="left"/>
      <w:pPr>
        <w:tabs>
          <w:tab w:val="left" w:pos="360"/>
        </w:tabs>
        <w:ind w:left="6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A3170A"/>
    <w:multiLevelType w:val="hybridMultilevel"/>
    <w:tmpl w:val="F12A70DA"/>
    <w:numStyleLink w:val="Importovanstyl2"/>
  </w:abstractNum>
  <w:abstractNum w:abstractNumId="3" w15:restartNumberingAfterBreak="0">
    <w:nsid w:val="709D180A"/>
    <w:multiLevelType w:val="hybridMultilevel"/>
    <w:tmpl w:val="F12A70DA"/>
    <w:styleLink w:val="Importovanstyl2"/>
    <w:lvl w:ilvl="0" w:tplc="CDF252FE">
      <w:start w:val="1"/>
      <w:numFmt w:val="decimal"/>
      <w:lvlText w:val="%1."/>
      <w:lvlJc w:val="left"/>
      <w:pPr>
        <w:tabs>
          <w:tab w:val="left" w:pos="720"/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61128">
      <w:start w:val="1"/>
      <w:numFmt w:val="lowerLetter"/>
      <w:lvlText w:val="%2."/>
      <w:lvlJc w:val="left"/>
      <w:pPr>
        <w:tabs>
          <w:tab w:val="left" w:pos="360"/>
          <w:tab w:val="left" w:pos="180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E2F3E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180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84DD0">
      <w:start w:val="1"/>
      <w:numFmt w:val="decimal"/>
      <w:lvlText w:val="%4."/>
      <w:lvlJc w:val="left"/>
      <w:pPr>
        <w:tabs>
          <w:tab w:val="left" w:pos="360"/>
          <w:tab w:val="left" w:pos="720"/>
          <w:tab w:val="left" w:pos="180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E8AF0">
      <w:start w:val="1"/>
      <w:numFmt w:val="lowerLetter"/>
      <w:lvlText w:val="%5."/>
      <w:lvlJc w:val="left"/>
      <w:pPr>
        <w:tabs>
          <w:tab w:val="left" w:pos="360"/>
          <w:tab w:val="left" w:pos="720"/>
          <w:tab w:val="left" w:pos="180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8C5B58">
      <w:start w:val="1"/>
      <w:numFmt w:val="lowerRoman"/>
      <w:lvlText w:val="%6."/>
      <w:lvlJc w:val="left"/>
      <w:pPr>
        <w:tabs>
          <w:tab w:val="left" w:pos="360"/>
          <w:tab w:val="left" w:pos="720"/>
          <w:tab w:val="left" w:pos="1800"/>
        </w:tabs>
        <w:ind w:left="396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DA8774">
      <w:start w:val="1"/>
      <w:numFmt w:val="decimal"/>
      <w:lvlText w:val="%7."/>
      <w:lvlJc w:val="left"/>
      <w:pPr>
        <w:tabs>
          <w:tab w:val="left" w:pos="360"/>
          <w:tab w:val="left" w:pos="720"/>
          <w:tab w:val="left" w:pos="180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279E4">
      <w:start w:val="1"/>
      <w:numFmt w:val="lowerLetter"/>
      <w:lvlText w:val="%8."/>
      <w:lvlJc w:val="left"/>
      <w:pPr>
        <w:tabs>
          <w:tab w:val="left" w:pos="360"/>
          <w:tab w:val="left" w:pos="720"/>
          <w:tab w:val="left" w:pos="180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FE595A">
      <w:start w:val="1"/>
      <w:numFmt w:val="lowerRoman"/>
      <w:lvlText w:val="%9."/>
      <w:lvlJc w:val="left"/>
      <w:pPr>
        <w:tabs>
          <w:tab w:val="left" w:pos="360"/>
          <w:tab w:val="left" w:pos="720"/>
          <w:tab w:val="left" w:pos="1800"/>
        </w:tabs>
        <w:ind w:left="6120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F40F36A">
        <w:start w:val="1"/>
        <w:numFmt w:val="decimal"/>
        <w:lvlText w:val="%1."/>
        <w:lvlJc w:val="left"/>
        <w:pPr>
          <w:tabs>
            <w:tab w:val="left" w:pos="18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C686BC">
        <w:start w:val="1"/>
        <w:numFmt w:val="lowerLetter"/>
        <w:lvlText w:val="%2."/>
        <w:lvlJc w:val="left"/>
        <w:pPr>
          <w:tabs>
            <w:tab w:val="left" w:pos="360"/>
            <w:tab w:val="left" w:pos="180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6C9BD8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6CAC3A">
        <w:start w:val="1"/>
        <w:numFmt w:val="decimal"/>
        <w:lvlText w:val="%4."/>
        <w:lvlJc w:val="left"/>
        <w:pPr>
          <w:tabs>
            <w:tab w:val="left" w:pos="360"/>
            <w:tab w:val="left" w:pos="180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A2D396">
        <w:start w:val="1"/>
        <w:numFmt w:val="lowerLetter"/>
        <w:lvlText w:val="%5."/>
        <w:lvlJc w:val="left"/>
        <w:pPr>
          <w:tabs>
            <w:tab w:val="left" w:pos="360"/>
            <w:tab w:val="left" w:pos="180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4EB8C2">
        <w:start w:val="1"/>
        <w:numFmt w:val="lowerRoman"/>
        <w:lvlText w:val="%6."/>
        <w:lvlJc w:val="left"/>
        <w:pPr>
          <w:tabs>
            <w:tab w:val="left" w:pos="360"/>
            <w:tab w:val="left" w:pos="1800"/>
          </w:tabs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E40A26">
        <w:start w:val="1"/>
        <w:numFmt w:val="decimal"/>
        <w:lvlText w:val="%7."/>
        <w:lvlJc w:val="left"/>
        <w:pPr>
          <w:tabs>
            <w:tab w:val="left" w:pos="360"/>
            <w:tab w:val="left" w:pos="180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6A5EA2">
        <w:start w:val="1"/>
        <w:numFmt w:val="lowerLetter"/>
        <w:lvlText w:val="%8."/>
        <w:lvlJc w:val="left"/>
        <w:pPr>
          <w:tabs>
            <w:tab w:val="left" w:pos="360"/>
            <w:tab w:val="left" w:pos="180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566B66">
        <w:start w:val="1"/>
        <w:numFmt w:val="lowerRoman"/>
        <w:lvlText w:val="%9."/>
        <w:lvlJc w:val="left"/>
        <w:pPr>
          <w:tabs>
            <w:tab w:val="left" w:pos="360"/>
            <w:tab w:val="left" w:pos="1800"/>
          </w:tabs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3F40F3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C686BC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6C9BD8">
        <w:start w:val="1"/>
        <w:numFmt w:val="lowerRoman"/>
        <w:lvlText w:val="%3."/>
        <w:lvlJc w:val="left"/>
        <w:pPr>
          <w:tabs>
            <w:tab w:val="left" w:pos="360"/>
          </w:tabs>
          <w:ind w:left="180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6CAC3A">
        <w:start w:val="1"/>
        <w:numFmt w:val="decimal"/>
        <w:lvlText w:val="%4."/>
        <w:lvlJc w:val="left"/>
        <w:pPr>
          <w:tabs>
            <w:tab w:val="left" w:pos="360"/>
          </w:tabs>
          <w:ind w:left="25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A2D39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4EB8C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E40A26">
        <w:start w:val="1"/>
        <w:numFmt w:val="decimal"/>
        <w:lvlText w:val="%7."/>
        <w:lvlJc w:val="left"/>
        <w:pPr>
          <w:tabs>
            <w:tab w:val="left" w:pos="360"/>
          </w:tabs>
          <w:ind w:left="46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6A5EA2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566B66">
        <w:start w:val="1"/>
        <w:numFmt w:val="lowerRoman"/>
        <w:lvlText w:val="%9."/>
        <w:lvlJc w:val="left"/>
        <w:pPr>
          <w:tabs>
            <w:tab w:val="left" w:pos="360"/>
          </w:tabs>
          <w:ind w:left="6120" w:hanging="6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DE"/>
    <w:rsid w:val="002F31E6"/>
    <w:rsid w:val="00927B91"/>
    <w:rsid w:val="009718C9"/>
    <w:rsid w:val="00AE455A"/>
    <w:rsid w:val="00B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A72B"/>
  <w15:docId w15:val="{5357AD0B-A0DE-4CC7-A3AD-6ADB8ED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5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1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1E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Herčíková Jitka</dc:creator>
  <cp:lastModifiedBy>Herčíková Jitka</cp:lastModifiedBy>
  <cp:revision>3</cp:revision>
  <cp:lastPrinted>2023-11-27T08:36:00Z</cp:lastPrinted>
  <dcterms:created xsi:type="dcterms:W3CDTF">2023-11-24T10:38:00Z</dcterms:created>
  <dcterms:modified xsi:type="dcterms:W3CDTF">2023-11-27T08:36:00Z</dcterms:modified>
</cp:coreProperties>
</file>