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969AE" w14:textId="77777777" w:rsidR="004C139F" w:rsidRDefault="00000000">
      <w:pPr>
        <w:spacing w:before="78"/>
        <w:ind w:left="1628" w:right="1501"/>
        <w:jc w:val="center"/>
        <w:rPr>
          <w:b/>
          <w:sz w:val="32"/>
        </w:rPr>
      </w:pPr>
      <w:r>
        <w:rPr>
          <w:b/>
          <w:sz w:val="32"/>
        </w:rPr>
        <w:t xml:space="preserve">D O D A T E </w:t>
      </w:r>
      <w:proofErr w:type="gramStart"/>
      <w:r>
        <w:rPr>
          <w:b/>
          <w:sz w:val="32"/>
        </w:rPr>
        <w:t>K  č.</w:t>
      </w:r>
      <w:proofErr w:type="gramEnd"/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1</w:t>
      </w:r>
    </w:p>
    <w:p w14:paraId="0B27FA27" w14:textId="77777777" w:rsidR="004C139F" w:rsidRDefault="00000000">
      <w:pPr>
        <w:pStyle w:val="Nadpis1"/>
        <w:spacing w:before="276" w:line="322" w:lineRule="exact"/>
      </w:pPr>
      <w:r>
        <w:t>ke smlouvě č.</w:t>
      </w:r>
      <w:r>
        <w:rPr>
          <w:spacing w:val="-12"/>
        </w:rPr>
        <w:t xml:space="preserve"> </w:t>
      </w:r>
      <w:r>
        <w:t>03/2011</w:t>
      </w:r>
    </w:p>
    <w:p w14:paraId="17B457A7" w14:textId="77777777" w:rsidR="004C139F" w:rsidRDefault="00000000">
      <w:pPr>
        <w:ind w:left="1628" w:right="1634"/>
        <w:jc w:val="center"/>
        <w:rPr>
          <w:b/>
          <w:sz w:val="28"/>
        </w:rPr>
      </w:pPr>
      <w:r>
        <w:rPr>
          <w:b/>
          <w:sz w:val="28"/>
        </w:rPr>
        <w:t>o vedení agendy energetického hospodářství</w:t>
      </w:r>
    </w:p>
    <w:p w14:paraId="7C935EF5" w14:textId="77777777" w:rsidR="004C139F" w:rsidRDefault="004C139F">
      <w:pPr>
        <w:pStyle w:val="Zkladntext"/>
        <w:spacing w:before="10"/>
        <w:ind w:left="0"/>
        <w:rPr>
          <w:b/>
          <w:sz w:val="19"/>
        </w:rPr>
      </w:pPr>
    </w:p>
    <w:p w14:paraId="3CAECD2C" w14:textId="77777777" w:rsidR="004C139F" w:rsidRDefault="00000000">
      <w:pPr>
        <w:pStyle w:val="Zkladntext"/>
        <w:spacing w:before="94"/>
        <w:ind w:left="116"/>
      </w:pPr>
      <w:r>
        <w:t>Smluvní strany:</w:t>
      </w:r>
    </w:p>
    <w:p w14:paraId="1901E7AE" w14:textId="77777777" w:rsidR="004C139F" w:rsidRDefault="004C139F">
      <w:pPr>
        <w:pStyle w:val="Zkladntext"/>
        <w:ind w:left="0"/>
      </w:pPr>
    </w:p>
    <w:p w14:paraId="7921B7C1" w14:textId="77777777" w:rsidR="004C139F" w:rsidRDefault="00000000">
      <w:pPr>
        <w:spacing w:line="252" w:lineRule="exact"/>
        <w:ind w:left="116"/>
      </w:pPr>
      <w:r>
        <w:rPr>
          <w:b/>
        </w:rPr>
        <w:t xml:space="preserve">Domov pro seniory Okružní, </w:t>
      </w:r>
      <w:r>
        <w:t>příspěvková organizace,</w:t>
      </w:r>
    </w:p>
    <w:p w14:paraId="1D935423" w14:textId="77777777" w:rsidR="004C139F" w:rsidRDefault="00000000">
      <w:pPr>
        <w:pStyle w:val="Zkladntext"/>
        <w:ind w:left="116" w:right="4271"/>
      </w:pPr>
      <w:r>
        <w:t>Okružní 29, 638 00 Brno, IČ 70887250 zastoupená Mgr. Barborou Dvořákovou, ředitelkou (dále jen</w:t>
      </w:r>
      <w:r>
        <w:rPr>
          <w:spacing w:val="-3"/>
        </w:rPr>
        <w:t xml:space="preserve"> </w:t>
      </w:r>
      <w:r>
        <w:t>objednatel)</w:t>
      </w:r>
    </w:p>
    <w:p w14:paraId="380F8148" w14:textId="77777777" w:rsidR="004C139F" w:rsidRDefault="004C139F">
      <w:pPr>
        <w:pStyle w:val="Zkladntext"/>
        <w:spacing w:before="1"/>
        <w:ind w:left="0"/>
      </w:pPr>
    </w:p>
    <w:p w14:paraId="45DF7455" w14:textId="77777777" w:rsidR="004C139F" w:rsidRDefault="00000000">
      <w:pPr>
        <w:pStyle w:val="Zkladntext"/>
        <w:ind w:left="116"/>
      </w:pPr>
      <w:r>
        <w:t>a</w:t>
      </w:r>
    </w:p>
    <w:p w14:paraId="287EBE2B" w14:textId="77777777" w:rsidR="004C139F" w:rsidRDefault="004C139F">
      <w:pPr>
        <w:pStyle w:val="Zkladntext"/>
        <w:spacing w:before="1"/>
        <w:ind w:left="0"/>
      </w:pPr>
    </w:p>
    <w:p w14:paraId="21523092" w14:textId="77777777" w:rsidR="004C139F" w:rsidRDefault="00000000">
      <w:pPr>
        <w:ind w:left="116" w:right="751"/>
      </w:pPr>
      <w:r>
        <w:rPr>
          <w:b/>
        </w:rPr>
        <w:t xml:space="preserve">Ing. Zdeněk Přikryl, </w:t>
      </w:r>
      <w:r>
        <w:t>Bořetická 8, 628 00 Brno, IČ 44147287, DIČ CZ6105202048 (dále jen poskytovatel)</w:t>
      </w:r>
    </w:p>
    <w:p w14:paraId="691E0650" w14:textId="77777777" w:rsidR="004C139F" w:rsidRDefault="004C139F">
      <w:pPr>
        <w:pStyle w:val="Zkladntext"/>
        <w:ind w:left="0"/>
        <w:rPr>
          <w:sz w:val="24"/>
        </w:rPr>
      </w:pPr>
    </w:p>
    <w:p w14:paraId="3FE50A85" w14:textId="77777777" w:rsidR="004C139F" w:rsidRDefault="00000000">
      <w:pPr>
        <w:pStyle w:val="Zkladntext"/>
        <w:ind w:left="116" w:right="698"/>
      </w:pPr>
      <w:r>
        <w:t>vzájemnou dohodou obou smluvních stran se ruší původní text článků II. a VI. uvedené smlouvy a nahrazují se tímto zněním:</w:t>
      </w:r>
    </w:p>
    <w:p w14:paraId="50D179E4" w14:textId="77777777" w:rsidR="004C139F" w:rsidRDefault="004C139F">
      <w:pPr>
        <w:pStyle w:val="Zkladntext"/>
        <w:ind w:left="0"/>
      </w:pPr>
    </w:p>
    <w:p w14:paraId="0F3DF70C" w14:textId="77777777" w:rsidR="004C139F" w:rsidRDefault="00000000">
      <w:pPr>
        <w:pStyle w:val="Zkladntext"/>
        <w:spacing w:line="252" w:lineRule="exact"/>
        <w:ind w:left="1628" w:right="1627"/>
        <w:jc w:val="center"/>
      </w:pPr>
      <w:r>
        <w:t>II.</w:t>
      </w:r>
    </w:p>
    <w:p w14:paraId="573B4B51" w14:textId="77777777" w:rsidR="004C139F" w:rsidRDefault="00000000">
      <w:pPr>
        <w:pStyle w:val="Nadpis3"/>
        <w:ind w:firstLine="0"/>
      </w:pPr>
      <w:r>
        <w:t>Agenda energetického hospodářství sestává:</w:t>
      </w:r>
    </w:p>
    <w:p w14:paraId="18C558F7" w14:textId="77777777" w:rsidR="004C139F" w:rsidRDefault="004C139F">
      <w:pPr>
        <w:pStyle w:val="Zkladntext"/>
        <w:ind w:left="0"/>
        <w:rPr>
          <w:b/>
        </w:rPr>
      </w:pPr>
    </w:p>
    <w:p w14:paraId="65F2BCD7" w14:textId="77777777" w:rsidR="004C139F" w:rsidRDefault="00000000">
      <w:pPr>
        <w:pStyle w:val="Odstavecseseznamem"/>
        <w:numPr>
          <w:ilvl w:val="0"/>
          <w:numId w:val="2"/>
        </w:numPr>
        <w:tabs>
          <w:tab w:val="left" w:pos="376"/>
        </w:tabs>
        <w:ind w:hanging="260"/>
      </w:pPr>
      <w:r>
        <w:t xml:space="preserve">vedení agendy odběru </w:t>
      </w:r>
      <w:r>
        <w:rPr>
          <w:b/>
        </w:rPr>
        <w:t>elektrické energie</w:t>
      </w:r>
      <w:r>
        <w:t>, která se skládá z následujících</w:t>
      </w:r>
      <w:r>
        <w:rPr>
          <w:spacing w:val="-16"/>
        </w:rPr>
        <w:t xml:space="preserve"> </w:t>
      </w:r>
      <w:r>
        <w:t>činností:</w:t>
      </w:r>
    </w:p>
    <w:p w14:paraId="2C437E64" w14:textId="77777777" w:rsidR="004C139F" w:rsidRDefault="00000000">
      <w:pPr>
        <w:pStyle w:val="Odstavecseseznamem"/>
        <w:numPr>
          <w:ilvl w:val="1"/>
          <w:numId w:val="2"/>
        </w:numPr>
        <w:tabs>
          <w:tab w:val="left" w:pos="716"/>
          <w:tab w:val="left" w:pos="717"/>
        </w:tabs>
        <w:spacing w:before="2"/>
        <w:ind w:right="829"/>
      </w:pPr>
      <w:r>
        <w:t>zajištění podkladů o odběru elektřiny pro potřeby výběru centrálního dodavatele energie</w:t>
      </w:r>
    </w:p>
    <w:p w14:paraId="34548697" w14:textId="77777777" w:rsidR="004C139F" w:rsidRDefault="00000000">
      <w:pPr>
        <w:pStyle w:val="Odstavecseseznamem"/>
        <w:numPr>
          <w:ilvl w:val="1"/>
          <w:numId w:val="2"/>
        </w:numPr>
        <w:tabs>
          <w:tab w:val="left" w:pos="716"/>
          <w:tab w:val="left" w:pos="717"/>
        </w:tabs>
        <w:spacing w:line="251" w:lineRule="exact"/>
        <w:ind w:hanging="361"/>
      </w:pPr>
      <w:r>
        <w:t>kontrola optimálního zařazení odběru do distribučních</w:t>
      </w:r>
      <w:r>
        <w:rPr>
          <w:spacing w:val="-6"/>
        </w:rPr>
        <w:t xml:space="preserve"> </w:t>
      </w:r>
      <w:r>
        <w:t>sazeb</w:t>
      </w:r>
    </w:p>
    <w:p w14:paraId="29BC148A" w14:textId="77777777" w:rsidR="004C139F" w:rsidRDefault="00000000">
      <w:pPr>
        <w:pStyle w:val="Odstavecseseznamem"/>
        <w:numPr>
          <w:ilvl w:val="1"/>
          <w:numId w:val="2"/>
        </w:numPr>
        <w:tabs>
          <w:tab w:val="left" w:pos="716"/>
          <w:tab w:val="left" w:pos="717"/>
        </w:tabs>
        <w:spacing w:before="1"/>
        <w:ind w:right="117"/>
      </w:pPr>
      <w:r>
        <w:t>měření proudového zatížení odběru pro stanovení optimální hodnoty hlavního jističe před</w:t>
      </w:r>
      <w:r>
        <w:rPr>
          <w:spacing w:val="-1"/>
        </w:rPr>
        <w:t xml:space="preserve"> </w:t>
      </w:r>
      <w:r>
        <w:t>elektroměrem</w:t>
      </w:r>
    </w:p>
    <w:p w14:paraId="2F6CC920" w14:textId="77777777" w:rsidR="004C139F" w:rsidRDefault="00000000">
      <w:pPr>
        <w:pStyle w:val="Odstavecseseznamem"/>
        <w:numPr>
          <w:ilvl w:val="1"/>
          <w:numId w:val="2"/>
        </w:numPr>
        <w:tabs>
          <w:tab w:val="left" w:pos="716"/>
          <w:tab w:val="left" w:pos="717"/>
        </w:tabs>
        <w:spacing w:before="1" w:line="252" w:lineRule="exact"/>
        <w:ind w:hanging="361"/>
      </w:pPr>
      <w:r>
        <w:t>evidence spotřeby elektřiny v technických</w:t>
      </w:r>
      <w:r>
        <w:rPr>
          <w:spacing w:val="-8"/>
        </w:rPr>
        <w:t xml:space="preserve"> </w:t>
      </w:r>
      <w:r>
        <w:t>jednotkách</w:t>
      </w:r>
    </w:p>
    <w:p w14:paraId="7B6CA60A" w14:textId="77777777" w:rsidR="004C139F" w:rsidRDefault="00000000">
      <w:pPr>
        <w:pStyle w:val="Odstavecseseznamem"/>
        <w:numPr>
          <w:ilvl w:val="1"/>
          <w:numId w:val="2"/>
        </w:numPr>
        <w:tabs>
          <w:tab w:val="left" w:pos="716"/>
          <w:tab w:val="left" w:pos="717"/>
        </w:tabs>
        <w:ind w:right="114"/>
      </w:pPr>
      <w:r>
        <w:t xml:space="preserve">detailní evidence nákladů za dodávku elektřiny – obchodní složka, distribuční složka, daň, stálé </w:t>
      </w:r>
      <w:proofErr w:type="gramStart"/>
      <w:r>
        <w:t>platby,</w:t>
      </w:r>
      <w:proofErr w:type="gramEnd"/>
      <w:r>
        <w:rPr>
          <w:spacing w:val="2"/>
        </w:rPr>
        <w:t xml:space="preserve"> </w:t>
      </w:r>
      <w:r>
        <w:t>apod.</w:t>
      </w:r>
    </w:p>
    <w:p w14:paraId="122AD089" w14:textId="77777777" w:rsidR="004C139F" w:rsidRDefault="00000000">
      <w:pPr>
        <w:pStyle w:val="Odstavecseseznamem"/>
        <w:numPr>
          <w:ilvl w:val="1"/>
          <w:numId w:val="2"/>
        </w:numPr>
        <w:tabs>
          <w:tab w:val="left" w:pos="716"/>
          <w:tab w:val="left" w:pos="717"/>
        </w:tabs>
        <w:ind w:hanging="361"/>
      </w:pPr>
      <w:r>
        <w:t>kontrola věcné správnosti faktur</w:t>
      </w:r>
      <w:r>
        <w:rPr>
          <w:spacing w:val="-2"/>
        </w:rPr>
        <w:t xml:space="preserve"> </w:t>
      </w:r>
      <w:r>
        <w:t>dodavatele</w:t>
      </w:r>
    </w:p>
    <w:p w14:paraId="0F8ED7D6" w14:textId="77777777" w:rsidR="004C139F" w:rsidRDefault="004C139F">
      <w:pPr>
        <w:pStyle w:val="Zkladntext"/>
        <w:ind w:left="0"/>
      </w:pPr>
    </w:p>
    <w:p w14:paraId="75FAEBD4" w14:textId="77777777" w:rsidR="004C139F" w:rsidRDefault="00000000">
      <w:pPr>
        <w:pStyle w:val="Nadpis3"/>
        <w:numPr>
          <w:ilvl w:val="0"/>
          <w:numId w:val="2"/>
        </w:numPr>
        <w:tabs>
          <w:tab w:val="left" w:pos="376"/>
        </w:tabs>
        <w:ind w:hanging="260"/>
      </w:pPr>
      <w:r>
        <w:t>z vedení agendy odběru tepelné</w:t>
      </w:r>
      <w:r>
        <w:rPr>
          <w:spacing w:val="-2"/>
        </w:rPr>
        <w:t xml:space="preserve"> </w:t>
      </w:r>
      <w:r>
        <w:t>energie</w:t>
      </w:r>
    </w:p>
    <w:p w14:paraId="363621F9" w14:textId="77777777" w:rsidR="004C139F" w:rsidRDefault="00000000">
      <w:pPr>
        <w:pStyle w:val="Odstavecseseznamem"/>
        <w:numPr>
          <w:ilvl w:val="1"/>
          <w:numId w:val="2"/>
        </w:numPr>
        <w:tabs>
          <w:tab w:val="left" w:pos="716"/>
          <w:tab w:val="left" w:pos="717"/>
        </w:tabs>
        <w:spacing w:line="252" w:lineRule="exact"/>
        <w:ind w:hanging="361"/>
      </w:pPr>
      <w:r>
        <w:t>příprava podkladů pro uzavření smlouvy s dodavatelem a její</w:t>
      </w:r>
      <w:r>
        <w:rPr>
          <w:spacing w:val="-13"/>
        </w:rPr>
        <w:t xml:space="preserve"> </w:t>
      </w:r>
      <w:r>
        <w:t>aktualizace</w:t>
      </w:r>
    </w:p>
    <w:p w14:paraId="55C20DF8" w14:textId="77777777" w:rsidR="004C139F" w:rsidRDefault="00000000">
      <w:pPr>
        <w:pStyle w:val="Odstavecseseznamem"/>
        <w:numPr>
          <w:ilvl w:val="1"/>
          <w:numId w:val="2"/>
        </w:numPr>
        <w:tabs>
          <w:tab w:val="left" w:pos="716"/>
          <w:tab w:val="left" w:pos="717"/>
        </w:tabs>
        <w:ind w:hanging="361"/>
      </w:pPr>
      <w:r>
        <w:t>stanovení a sjednání množství tepla s</w:t>
      </w:r>
      <w:r>
        <w:rPr>
          <w:spacing w:val="-5"/>
        </w:rPr>
        <w:t xml:space="preserve"> </w:t>
      </w:r>
      <w:r>
        <w:t>dodavatelem</w:t>
      </w:r>
    </w:p>
    <w:p w14:paraId="109ECBFF" w14:textId="77777777" w:rsidR="004C139F" w:rsidRDefault="00000000">
      <w:pPr>
        <w:pStyle w:val="Odstavecseseznamem"/>
        <w:numPr>
          <w:ilvl w:val="1"/>
          <w:numId w:val="2"/>
        </w:numPr>
        <w:tabs>
          <w:tab w:val="left" w:pos="716"/>
          <w:tab w:val="left" w:pos="717"/>
        </w:tabs>
        <w:spacing w:before="2" w:line="252" w:lineRule="exact"/>
        <w:ind w:hanging="361"/>
      </w:pPr>
      <w:r>
        <w:t>stanovení a sjednání tepelného výkonu s</w:t>
      </w:r>
      <w:r>
        <w:rPr>
          <w:spacing w:val="-7"/>
        </w:rPr>
        <w:t xml:space="preserve"> </w:t>
      </w:r>
      <w:r>
        <w:t>dodavatelem</w:t>
      </w:r>
    </w:p>
    <w:p w14:paraId="3704B481" w14:textId="77777777" w:rsidR="004C139F" w:rsidRDefault="00000000">
      <w:pPr>
        <w:pStyle w:val="Odstavecseseznamem"/>
        <w:numPr>
          <w:ilvl w:val="1"/>
          <w:numId w:val="2"/>
        </w:numPr>
        <w:tabs>
          <w:tab w:val="left" w:pos="716"/>
          <w:tab w:val="left" w:pos="717"/>
        </w:tabs>
        <w:spacing w:line="252" w:lineRule="exact"/>
        <w:ind w:hanging="361"/>
      </w:pPr>
      <w:r>
        <w:t>kontrola věcné správnosti faktur</w:t>
      </w:r>
      <w:r>
        <w:rPr>
          <w:spacing w:val="-2"/>
        </w:rPr>
        <w:t xml:space="preserve"> </w:t>
      </w:r>
      <w:r>
        <w:t>dodavatele</w:t>
      </w:r>
    </w:p>
    <w:p w14:paraId="4A8D7B8D" w14:textId="77777777" w:rsidR="004C139F" w:rsidRDefault="00000000">
      <w:pPr>
        <w:pStyle w:val="Odstavecseseznamem"/>
        <w:numPr>
          <w:ilvl w:val="1"/>
          <w:numId w:val="2"/>
        </w:numPr>
        <w:tabs>
          <w:tab w:val="left" w:pos="716"/>
          <w:tab w:val="left" w:pos="717"/>
        </w:tabs>
        <w:spacing w:before="1"/>
        <w:ind w:right="390"/>
      </w:pPr>
      <w:r>
        <w:t>roční vyhodnocení spotřeb a nákladů na tepelnou energii včetně porovnání spotřeby tepla s průběhem venkovních</w:t>
      </w:r>
      <w:r>
        <w:rPr>
          <w:spacing w:val="1"/>
        </w:rPr>
        <w:t xml:space="preserve"> </w:t>
      </w:r>
      <w:r>
        <w:t>teplot</w:t>
      </w:r>
    </w:p>
    <w:p w14:paraId="30C99D07" w14:textId="77777777" w:rsidR="004C139F" w:rsidRDefault="00000000">
      <w:pPr>
        <w:pStyle w:val="Odstavecseseznamem"/>
        <w:numPr>
          <w:ilvl w:val="1"/>
          <w:numId w:val="2"/>
        </w:numPr>
        <w:tabs>
          <w:tab w:val="left" w:pos="716"/>
          <w:tab w:val="left" w:pos="717"/>
        </w:tabs>
        <w:spacing w:line="251" w:lineRule="exact"/>
        <w:ind w:hanging="361"/>
      </w:pPr>
      <w:r>
        <w:t>předkládání návrhů na úspory</w:t>
      </w:r>
      <w:r>
        <w:rPr>
          <w:spacing w:val="-3"/>
        </w:rPr>
        <w:t xml:space="preserve"> </w:t>
      </w:r>
      <w:r>
        <w:t>tepla</w:t>
      </w:r>
    </w:p>
    <w:p w14:paraId="4199CFFD" w14:textId="77777777" w:rsidR="004C139F" w:rsidRDefault="00000000">
      <w:pPr>
        <w:pStyle w:val="Odstavecseseznamem"/>
        <w:numPr>
          <w:ilvl w:val="1"/>
          <w:numId w:val="2"/>
        </w:numPr>
        <w:tabs>
          <w:tab w:val="left" w:pos="716"/>
          <w:tab w:val="left" w:pos="717"/>
        </w:tabs>
        <w:spacing w:before="1"/>
        <w:ind w:hanging="361"/>
      </w:pPr>
      <w:r>
        <w:t>metodická pomoc při zajišťování oprav a odstraňování</w:t>
      </w:r>
      <w:r>
        <w:rPr>
          <w:spacing w:val="-4"/>
        </w:rPr>
        <w:t xml:space="preserve"> </w:t>
      </w:r>
      <w:r>
        <w:t>havárií</w:t>
      </w:r>
    </w:p>
    <w:p w14:paraId="44CCEA76" w14:textId="77777777" w:rsidR="004C139F" w:rsidRDefault="004C139F">
      <w:pPr>
        <w:pStyle w:val="Zkladntext"/>
        <w:spacing w:before="1"/>
        <w:ind w:left="0"/>
      </w:pPr>
    </w:p>
    <w:p w14:paraId="044B8AA3" w14:textId="77777777" w:rsidR="004C139F" w:rsidRDefault="00000000">
      <w:pPr>
        <w:pStyle w:val="Odstavecseseznamem"/>
        <w:numPr>
          <w:ilvl w:val="0"/>
          <w:numId w:val="2"/>
        </w:numPr>
        <w:tabs>
          <w:tab w:val="left" w:pos="376"/>
        </w:tabs>
        <w:spacing w:line="252" w:lineRule="exact"/>
        <w:ind w:hanging="260"/>
      </w:pPr>
      <w:r>
        <w:t xml:space="preserve">vedení agendy odběru </w:t>
      </w:r>
      <w:r>
        <w:rPr>
          <w:b/>
        </w:rPr>
        <w:t>zemního plynu</w:t>
      </w:r>
      <w:r>
        <w:t>, skládající se z těchto</w:t>
      </w:r>
      <w:r>
        <w:rPr>
          <w:spacing w:val="-11"/>
        </w:rPr>
        <w:t xml:space="preserve"> </w:t>
      </w:r>
      <w:r>
        <w:t>činností:</w:t>
      </w:r>
    </w:p>
    <w:p w14:paraId="6112338E" w14:textId="77777777" w:rsidR="004C139F" w:rsidRDefault="00000000">
      <w:pPr>
        <w:pStyle w:val="Odstavecseseznamem"/>
        <w:numPr>
          <w:ilvl w:val="1"/>
          <w:numId w:val="2"/>
        </w:numPr>
        <w:tabs>
          <w:tab w:val="left" w:pos="716"/>
          <w:tab w:val="left" w:pos="717"/>
        </w:tabs>
        <w:spacing w:line="252" w:lineRule="exact"/>
        <w:ind w:hanging="361"/>
      </w:pPr>
      <w:r>
        <w:t>zajištění podkladů o odběru plynu pro potřeby výběru centrálního dodavatele</w:t>
      </w:r>
      <w:r>
        <w:rPr>
          <w:spacing w:val="-21"/>
        </w:rPr>
        <w:t xml:space="preserve"> </w:t>
      </w:r>
      <w:r>
        <w:t>energie</w:t>
      </w:r>
    </w:p>
    <w:p w14:paraId="1250AC19" w14:textId="77777777" w:rsidR="004C139F" w:rsidRDefault="00000000">
      <w:pPr>
        <w:pStyle w:val="Odstavecseseznamem"/>
        <w:numPr>
          <w:ilvl w:val="1"/>
          <w:numId w:val="2"/>
        </w:numPr>
        <w:tabs>
          <w:tab w:val="left" w:pos="716"/>
          <w:tab w:val="left" w:pos="717"/>
        </w:tabs>
        <w:spacing w:line="252" w:lineRule="exact"/>
        <w:ind w:hanging="361"/>
      </w:pPr>
      <w:r>
        <w:t>kontrola a evidence odběru</w:t>
      </w:r>
      <w:r>
        <w:rPr>
          <w:spacing w:val="-3"/>
        </w:rPr>
        <w:t xml:space="preserve"> </w:t>
      </w:r>
      <w:r>
        <w:t>plynu</w:t>
      </w:r>
    </w:p>
    <w:p w14:paraId="3BE708EF" w14:textId="77777777" w:rsidR="004C139F" w:rsidRDefault="00000000">
      <w:pPr>
        <w:pStyle w:val="Odstavecseseznamem"/>
        <w:numPr>
          <w:ilvl w:val="1"/>
          <w:numId w:val="2"/>
        </w:numPr>
        <w:tabs>
          <w:tab w:val="left" w:pos="716"/>
          <w:tab w:val="left" w:pos="717"/>
        </w:tabs>
        <w:spacing w:before="1"/>
        <w:ind w:hanging="361"/>
      </w:pPr>
      <w:r>
        <w:t>kontrola věcné správnosti faktur</w:t>
      </w:r>
      <w:r>
        <w:rPr>
          <w:spacing w:val="-1"/>
        </w:rPr>
        <w:t xml:space="preserve"> </w:t>
      </w:r>
      <w:r>
        <w:t>dodavatele</w:t>
      </w:r>
    </w:p>
    <w:p w14:paraId="294E881A" w14:textId="77777777" w:rsidR="004C139F" w:rsidRDefault="004C139F">
      <w:pPr>
        <w:pStyle w:val="Zkladntext"/>
        <w:spacing w:before="1"/>
        <w:ind w:left="0"/>
      </w:pPr>
    </w:p>
    <w:p w14:paraId="44C807AA" w14:textId="77777777" w:rsidR="004C139F" w:rsidRDefault="00000000">
      <w:pPr>
        <w:pStyle w:val="Odstavecseseznamem"/>
        <w:numPr>
          <w:ilvl w:val="0"/>
          <w:numId w:val="2"/>
        </w:numPr>
        <w:tabs>
          <w:tab w:val="left" w:pos="376"/>
        </w:tabs>
        <w:spacing w:line="252" w:lineRule="exact"/>
        <w:ind w:hanging="260"/>
        <w:rPr>
          <w:b/>
        </w:rPr>
      </w:pPr>
      <w:r>
        <w:t xml:space="preserve">vedení agendy </w:t>
      </w:r>
      <w:r>
        <w:rPr>
          <w:b/>
        </w:rPr>
        <w:t>vodního</w:t>
      </w:r>
      <w:r>
        <w:rPr>
          <w:b/>
          <w:spacing w:val="2"/>
        </w:rPr>
        <w:t xml:space="preserve"> </w:t>
      </w:r>
      <w:r>
        <w:rPr>
          <w:b/>
        </w:rPr>
        <w:t>hospodářství</w:t>
      </w:r>
    </w:p>
    <w:p w14:paraId="48DAE3C4" w14:textId="77777777" w:rsidR="004C139F" w:rsidRDefault="00000000">
      <w:pPr>
        <w:pStyle w:val="Odstavecseseznamem"/>
        <w:numPr>
          <w:ilvl w:val="1"/>
          <w:numId w:val="2"/>
        </w:numPr>
        <w:tabs>
          <w:tab w:val="left" w:pos="716"/>
          <w:tab w:val="left" w:pos="717"/>
        </w:tabs>
        <w:spacing w:line="252" w:lineRule="exact"/>
        <w:ind w:hanging="361"/>
      </w:pPr>
      <w:r>
        <w:t>kontrola evidence odběru</w:t>
      </w:r>
      <w:r>
        <w:rPr>
          <w:spacing w:val="-1"/>
        </w:rPr>
        <w:t xml:space="preserve"> </w:t>
      </w:r>
      <w:r>
        <w:t>vody</w:t>
      </w:r>
    </w:p>
    <w:p w14:paraId="1060BC55" w14:textId="77777777" w:rsidR="004C139F" w:rsidRDefault="00000000">
      <w:pPr>
        <w:pStyle w:val="Odstavecseseznamem"/>
        <w:numPr>
          <w:ilvl w:val="1"/>
          <w:numId w:val="2"/>
        </w:numPr>
        <w:tabs>
          <w:tab w:val="left" w:pos="716"/>
          <w:tab w:val="left" w:pos="717"/>
        </w:tabs>
        <w:spacing w:before="1"/>
        <w:ind w:hanging="361"/>
      </w:pPr>
      <w:r>
        <w:t>kontrola věcné správnosti faktur</w:t>
      </w:r>
      <w:r>
        <w:rPr>
          <w:spacing w:val="-2"/>
        </w:rPr>
        <w:t xml:space="preserve"> </w:t>
      </w:r>
      <w:r>
        <w:t>dodavatele</w:t>
      </w:r>
    </w:p>
    <w:p w14:paraId="6A25D275" w14:textId="77777777" w:rsidR="004C139F" w:rsidRDefault="004C139F">
      <w:pPr>
        <w:sectPr w:rsidR="004C139F">
          <w:footerReference w:type="default" r:id="rId7"/>
          <w:type w:val="continuous"/>
          <w:pgSz w:w="11910" w:h="16840"/>
          <w:pgMar w:top="1320" w:right="1300" w:bottom="1160" w:left="1300" w:header="708" w:footer="961" w:gutter="0"/>
          <w:pgNumType w:start="1"/>
          <w:cols w:space="708"/>
        </w:sectPr>
      </w:pPr>
    </w:p>
    <w:p w14:paraId="4807BA94" w14:textId="77777777" w:rsidR="004C139F" w:rsidRDefault="00000000">
      <w:pPr>
        <w:pStyle w:val="Odstavecseseznamem"/>
        <w:numPr>
          <w:ilvl w:val="0"/>
          <w:numId w:val="2"/>
        </w:numPr>
        <w:tabs>
          <w:tab w:val="left" w:pos="376"/>
        </w:tabs>
        <w:spacing w:before="78"/>
        <w:ind w:hanging="260"/>
        <w:rPr>
          <w:b/>
        </w:rPr>
      </w:pPr>
      <w:r>
        <w:lastRenderedPageBreak/>
        <w:t xml:space="preserve">agenda související </w:t>
      </w:r>
      <w:r>
        <w:rPr>
          <w:b/>
        </w:rPr>
        <w:t>s implementací ČSN EN ISO 50001 - energetický</w:t>
      </w:r>
      <w:r>
        <w:rPr>
          <w:b/>
          <w:spacing w:val="-20"/>
        </w:rPr>
        <w:t xml:space="preserve"> </w:t>
      </w:r>
      <w:r>
        <w:rPr>
          <w:b/>
        </w:rPr>
        <w:t>management</w:t>
      </w:r>
    </w:p>
    <w:p w14:paraId="6B8DA511" w14:textId="77777777" w:rsidR="004C139F" w:rsidRDefault="00000000">
      <w:pPr>
        <w:pStyle w:val="Odstavecseseznamem"/>
        <w:numPr>
          <w:ilvl w:val="1"/>
          <w:numId w:val="2"/>
        </w:numPr>
        <w:tabs>
          <w:tab w:val="left" w:pos="716"/>
          <w:tab w:val="left" w:pos="717"/>
        </w:tabs>
        <w:spacing w:before="1" w:line="252" w:lineRule="exact"/>
        <w:ind w:hanging="361"/>
      </w:pPr>
      <w:r>
        <w:t>zpracování podkladů pro informační systém energetického</w:t>
      </w:r>
      <w:r>
        <w:rPr>
          <w:spacing w:val="-6"/>
        </w:rPr>
        <w:t xml:space="preserve"> </w:t>
      </w:r>
      <w:r>
        <w:t>managementu</w:t>
      </w:r>
    </w:p>
    <w:p w14:paraId="34026D32" w14:textId="77777777" w:rsidR="004C139F" w:rsidRDefault="00000000">
      <w:pPr>
        <w:pStyle w:val="Odstavecseseznamem"/>
        <w:numPr>
          <w:ilvl w:val="1"/>
          <w:numId w:val="2"/>
        </w:numPr>
        <w:tabs>
          <w:tab w:val="left" w:pos="716"/>
          <w:tab w:val="left" w:pos="717"/>
        </w:tabs>
        <w:ind w:right="1078"/>
      </w:pPr>
      <w:r>
        <w:t>průběžné předávání fakturačních a dalších dokladů do informačního systému energetického</w:t>
      </w:r>
      <w:r>
        <w:rPr>
          <w:spacing w:val="-3"/>
        </w:rPr>
        <w:t xml:space="preserve"> </w:t>
      </w:r>
      <w:r>
        <w:t>managementu</w:t>
      </w:r>
    </w:p>
    <w:p w14:paraId="5C23DFEB" w14:textId="77777777" w:rsidR="004C139F" w:rsidRDefault="00000000">
      <w:pPr>
        <w:pStyle w:val="Odstavecseseznamem"/>
        <w:numPr>
          <w:ilvl w:val="1"/>
          <w:numId w:val="2"/>
        </w:numPr>
        <w:tabs>
          <w:tab w:val="left" w:pos="716"/>
          <w:tab w:val="left" w:pos="717"/>
        </w:tabs>
        <w:spacing w:line="252" w:lineRule="exact"/>
        <w:ind w:hanging="361"/>
      </w:pPr>
      <w:r>
        <w:t>průběžné doplňování dat do informačního systému energetického</w:t>
      </w:r>
      <w:r>
        <w:rPr>
          <w:spacing w:val="-15"/>
        </w:rPr>
        <w:t xml:space="preserve"> </w:t>
      </w:r>
      <w:r>
        <w:t>managementu</w:t>
      </w:r>
    </w:p>
    <w:p w14:paraId="67522285" w14:textId="77777777" w:rsidR="004C139F" w:rsidRDefault="00000000">
      <w:pPr>
        <w:pStyle w:val="Odstavecseseznamem"/>
        <w:numPr>
          <w:ilvl w:val="1"/>
          <w:numId w:val="2"/>
        </w:numPr>
        <w:tabs>
          <w:tab w:val="left" w:pos="716"/>
          <w:tab w:val="left" w:pos="717"/>
        </w:tabs>
        <w:spacing w:line="252" w:lineRule="exact"/>
        <w:ind w:hanging="361"/>
      </w:pPr>
      <w:r>
        <w:t>spolupráce při vytváření akčního plánu systému energetického</w:t>
      </w:r>
      <w:r>
        <w:rPr>
          <w:spacing w:val="-14"/>
        </w:rPr>
        <w:t xml:space="preserve"> </w:t>
      </w:r>
      <w:r>
        <w:t>managementu</w:t>
      </w:r>
    </w:p>
    <w:p w14:paraId="55033496" w14:textId="77777777" w:rsidR="004C139F" w:rsidRDefault="00000000">
      <w:pPr>
        <w:pStyle w:val="Odstavecseseznamem"/>
        <w:numPr>
          <w:ilvl w:val="1"/>
          <w:numId w:val="2"/>
        </w:numPr>
        <w:tabs>
          <w:tab w:val="left" w:pos="716"/>
          <w:tab w:val="left" w:pos="717"/>
        </w:tabs>
        <w:spacing w:before="2"/>
        <w:ind w:right="1069"/>
      </w:pPr>
      <w:r>
        <w:t>návrhy úsporných opatření včetně vyhodnocení jejich ekonomické efektivity a energetických</w:t>
      </w:r>
      <w:r>
        <w:rPr>
          <w:spacing w:val="-3"/>
        </w:rPr>
        <w:t xml:space="preserve"> </w:t>
      </w:r>
      <w:r>
        <w:t>přínosů</w:t>
      </w:r>
    </w:p>
    <w:p w14:paraId="77054A63" w14:textId="77777777" w:rsidR="004C139F" w:rsidRDefault="00000000">
      <w:pPr>
        <w:pStyle w:val="Odstavecseseznamem"/>
        <w:numPr>
          <w:ilvl w:val="1"/>
          <w:numId w:val="2"/>
        </w:numPr>
        <w:tabs>
          <w:tab w:val="left" w:pos="716"/>
          <w:tab w:val="left" w:pos="717"/>
        </w:tabs>
        <w:spacing w:line="252" w:lineRule="exact"/>
        <w:ind w:hanging="361"/>
      </w:pPr>
      <w:r>
        <w:t>návrhy instalace podružných měřidel významných odběrů</w:t>
      </w:r>
      <w:r>
        <w:rPr>
          <w:spacing w:val="-11"/>
        </w:rPr>
        <w:t xml:space="preserve"> </w:t>
      </w:r>
      <w:r>
        <w:t>energie</w:t>
      </w:r>
    </w:p>
    <w:p w14:paraId="2103A763" w14:textId="77777777" w:rsidR="004C139F" w:rsidRDefault="00000000">
      <w:pPr>
        <w:pStyle w:val="Odstavecseseznamem"/>
        <w:numPr>
          <w:ilvl w:val="1"/>
          <w:numId w:val="2"/>
        </w:numPr>
        <w:tabs>
          <w:tab w:val="left" w:pos="716"/>
          <w:tab w:val="left" w:pos="717"/>
        </w:tabs>
        <w:spacing w:line="252" w:lineRule="exact"/>
        <w:ind w:hanging="361"/>
      </w:pPr>
      <w:r>
        <w:t>zpracování a analýza dat z podružných měřidel</w:t>
      </w:r>
      <w:r>
        <w:rPr>
          <w:spacing w:val="-3"/>
        </w:rPr>
        <w:t xml:space="preserve"> </w:t>
      </w:r>
      <w:r>
        <w:t>energií</w:t>
      </w:r>
    </w:p>
    <w:p w14:paraId="24393857" w14:textId="77777777" w:rsidR="004C139F" w:rsidRDefault="00000000">
      <w:pPr>
        <w:pStyle w:val="Odstavecseseznamem"/>
        <w:numPr>
          <w:ilvl w:val="1"/>
          <w:numId w:val="2"/>
        </w:numPr>
        <w:tabs>
          <w:tab w:val="left" w:pos="716"/>
          <w:tab w:val="left" w:pos="717"/>
        </w:tabs>
        <w:spacing w:line="252" w:lineRule="exact"/>
        <w:ind w:hanging="361"/>
      </w:pPr>
      <w:r>
        <w:t>sledování ukazatelů energetické náročnosti</w:t>
      </w:r>
    </w:p>
    <w:p w14:paraId="42331DFF" w14:textId="77777777" w:rsidR="004C139F" w:rsidRDefault="00000000">
      <w:pPr>
        <w:pStyle w:val="Odstavecseseznamem"/>
        <w:numPr>
          <w:ilvl w:val="1"/>
          <w:numId w:val="2"/>
        </w:numPr>
        <w:tabs>
          <w:tab w:val="left" w:pos="716"/>
          <w:tab w:val="left" w:pos="717"/>
        </w:tabs>
        <w:spacing w:before="1" w:line="253" w:lineRule="exact"/>
        <w:ind w:hanging="361"/>
      </w:pPr>
      <w:r>
        <w:t>zpracování grafických průběhů odběru</w:t>
      </w:r>
      <w:r>
        <w:rPr>
          <w:spacing w:val="-3"/>
        </w:rPr>
        <w:t xml:space="preserve"> </w:t>
      </w:r>
      <w:r>
        <w:t>energií</w:t>
      </w:r>
    </w:p>
    <w:p w14:paraId="3E12A8E9" w14:textId="77777777" w:rsidR="004C139F" w:rsidRDefault="00000000">
      <w:pPr>
        <w:pStyle w:val="Odstavecseseznamem"/>
        <w:numPr>
          <w:ilvl w:val="1"/>
          <w:numId w:val="2"/>
        </w:numPr>
        <w:tabs>
          <w:tab w:val="left" w:pos="716"/>
          <w:tab w:val="left" w:pos="717"/>
        </w:tabs>
        <w:ind w:hanging="361"/>
      </w:pPr>
      <w:r>
        <w:t>spolupráce při realizaci energeticky úsporných</w:t>
      </w:r>
      <w:r>
        <w:rPr>
          <w:spacing w:val="-6"/>
        </w:rPr>
        <w:t xml:space="preserve"> </w:t>
      </w:r>
      <w:r>
        <w:t>opatření</w:t>
      </w:r>
    </w:p>
    <w:p w14:paraId="6CE6D459" w14:textId="77777777" w:rsidR="004C139F" w:rsidRDefault="004C139F">
      <w:pPr>
        <w:pStyle w:val="Zkladntext"/>
        <w:ind w:left="0"/>
      </w:pPr>
    </w:p>
    <w:p w14:paraId="6E6D5523" w14:textId="77777777" w:rsidR="004C139F" w:rsidRDefault="00000000">
      <w:pPr>
        <w:pStyle w:val="Odstavecseseznamem"/>
        <w:numPr>
          <w:ilvl w:val="0"/>
          <w:numId w:val="1"/>
        </w:numPr>
        <w:tabs>
          <w:tab w:val="left" w:pos="376"/>
        </w:tabs>
        <w:spacing w:before="1"/>
      </w:pPr>
      <w:r>
        <w:rPr>
          <w:b/>
        </w:rPr>
        <w:t xml:space="preserve">ostatní agenda </w:t>
      </w:r>
      <w:r>
        <w:t>odběru elektrické energie, tepelné energie a zemního</w:t>
      </w:r>
      <w:r>
        <w:rPr>
          <w:spacing w:val="-14"/>
        </w:rPr>
        <w:t xml:space="preserve"> </w:t>
      </w:r>
      <w:r>
        <w:t>plynu</w:t>
      </w:r>
    </w:p>
    <w:p w14:paraId="736814D3" w14:textId="77777777" w:rsidR="004C139F" w:rsidRDefault="00000000">
      <w:pPr>
        <w:pStyle w:val="Odstavecseseznamem"/>
        <w:numPr>
          <w:ilvl w:val="1"/>
          <w:numId w:val="1"/>
        </w:numPr>
        <w:tabs>
          <w:tab w:val="left" w:pos="716"/>
          <w:tab w:val="left" w:pos="717"/>
        </w:tabs>
        <w:spacing w:before="1"/>
        <w:ind w:right="622"/>
      </w:pPr>
      <w:r>
        <w:t>počítačové vyhodnocování odběru elektřiny, tepla a zemního plynu v technickém i finančním vyjádření</w:t>
      </w:r>
    </w:p>
    <w:p w14:paraId="7AF3DF41" w14:textId="77777777" w:rsidR="004C139F" w:rsidRDefault="00000000">
      <w:pPr>
        <w:pStyle w:val="Odstavecseseznamem"/>
        <w:numPr>
          <w:ilvl w:val="1"/>
          <w:numId w:val="1"/>
        </w:numPr>
        <w:tabs>
          <w:tab w:val="left" w:pos="716"/>
          <w:tab w:val="left" w:pos="717"/>
        </w:tabs>
        <w:spacing w:line="251" w:lineRule="exact"/>
        <w:ind w:hanging="361"/>
      </w:pPr>
      <w:r>
        <w:t>vyřizování korespondence týkající se odběru elektřiny, tepla a zemního</w:t>
      </w:r>
      <w:r>
        <w:rPr>
          <w:spacing w:val="-16"/>
        </w:rPr>
        <w:t xml:space="preserve"> </w:t>
      </w:r>
      <w:r>
        <w:t>plynu</w:t>
      </w:r>
    </w:p>
    <w:p w14:paraId="78C8C383" w14:textId="77777777" w:rsidR="004C139F" w:rsidRDefault="00000000">
      <w:pPr>
        <w:pStyle w:val="Odstavecseseznamem"/>
        <w:numPr>
          <w:ilvl w:val="1"/>
          <w:numId w:val="1"/>
        </w:numPr>
        <w:tabs>
          <w:tab w:val="left" w:pos="716"/>
          <w:tab w:val="left" w:pos="717"/>
        </w:tabs>
        <w:spacing w:before="2"/>
        <w:ind w:right="891"/>
      </w:pPr>
      <w:r>
        <w:t>výpočty předpokládaného odběru energií včetně nákladů z důvodu rozšíření el. spotřebičů či plynových</w:t>
      </w:r>
      <w:r>
        <w:rPr>
          <w:spacing w:val="-5"/>
        </w:rPr>
        <w:t xml:space="preserve"> </w:t>
      </w:r>
      <w:r>
        <w:t>spotřebičů</w:t>
      </w:r>
    </w:p>
    <w:p w14:paraId="49015F04" w14:textId="77777777" w:rsidR="004C139F" w:rsidRDefault="00000000">
      <w:pPr>
        <w:pStyle w:val="Odstavecseseznamem"/>
        <w:numPr>
          <w:ilvl w:val="1"/>
          <w:numId w:val="1"/>
        </w:numPr>
        <w:tabs>
          <w:tab w:val="left" w:pos="716"/>
          <w:tab w:val="left" w:pos="717"/>
        </w:tabs>
        <w:ind w:right="439"/>
      </w:pPr>
      <w:r>
        <w:t>využití měřícího zařízení poskytovatele za účelem optimalizace hlavního jističe před elektroměrem</w:t>
      </w:r>
    </w:p>
    <w:p w14:paraId="54A701FB" w14:textId="77777777" w:rsidR="004C139F" w:rsidRDefault="00000000">
      <w:pPr>
        <w:pStyle w:val="Odstavecseseznamem"/>
        <w:numPr>
          <w:ilvl w:val="1"/>
          <w:numId w:val="1"/>
        </w:numPr>
        <w:tabs>
          <w:tab w:val="left" w:pos="716"/>
          <w:tab w:val="left" w:pos="717"/>
        </w:tabs>
        <w:spacing w:line="251" w:lineRule="exact"/>
        <w:ind w:hanging="361"/>
      </w:pPr>
      <w:r>
        <w:t>zpracování ročního statistického výkazu paliv a energií pro</w:t>
      </w:r>
      <w:r>
        <w:rPr>
          <w:spacing w:val="-4"/>
        </w:rPr>
        <w:t xml:space="preserve"> </w:t>
      </w:r>
      <w:r>
        <w:t>ČSU</w:t>
      </w:r>
    </w:p>
    <w:p w14:paraId="2603D8BF" w14:textId="77777777" w:rsidR="004C139F" w:rsidRDefault="00000000">
      <w:pPr>
        <w:pStyle w:val="Odstavecseseznamem"/>
        <w:numPr>
          <w:ilvl w:val="1"/>
          <w:numId w:val="1"/>
        </w:numPr>
        <w:tabs>
          <w:tab w:val="left" w:pos="716"/>
          <w:tab w:val="left" w:pos="717"/>
        </w:tabs>
        <w:spacing w:before="1"/>
        <w:ind w:hanging="361"/>
      </w:pPr>
      <w:r>
        <w:t>zpracování ročního přehledu spotřeb a nákladů všech druhů</w:t>
      </w:r>
      <w:r>
        <w:rPr>
          <w:spacing w:val="-11"/>
        </w:rPr>
        <w:t xml:space="preserve"> </w:t>
      </w:r>
      <w:r>
        <w:t>energií</w:t>
      </w:r>
    </w:p>
    <w:p w14:paraId="7C9ED3B3" w14:textId="77777777" w:rsidR="004C139F" w:rsidRDefault="004C139F">
      <w:pPr>
        <w:pStyle w:val="Zkladntext"/>
        <w:ind w:left="0"/>
        <w:rPr>
          <w:sz w:val="24"/>
        </w:rPr>
      </w:pPr>
    </w:p>
    <w:p w14:paraId="742C82B2" w14:textId="77777777" w:rsidR="004C139F" w:rsidRDefault="004C139F">
      <w:pPr>
        <w:pStyle w:val="Zkladntext"/>
        <w:spacing w:before="1"/>
        <w:ind w:left="0"/>
      </w:pPr>
    </w:p>
    <w:p w14:paraId="6A9ECC7D" w14:textId="77777777" w:rsidR="004C139F" w:rsidRDefault="00000000">
      <w:pPr>
        <w:pStyle w:val="Zkladntext"/>
        <w:spacing w:line="252" w:lineRule="exact"/>
        <w:ind w:left="1628" w:right="1627"/>
        <w:jc w:val="center"/>
      </w:pPr>
      <w:r>
        <w:t>VI.</w:t>
      </w:r>
    </w:p>
    <w:p w14:paraId="6917D1EA" w14:textId="77777777" w:rsidR="004C139F" w:rsidRDefault="00000000">
      <w:pPr>
        <w:ind w:left="116" w:right="269"/>
        <w:jc w:val="both"/>
      </w:pPr>
      <w:r>
        <w:rPr>
          <w:b/>
        </w:rPr>
        <w:t xml:space="preserve">Cena za prováděné práce </w:t>
      </w:r>
      <w:r>
        <w:t>je stanovena pevnou částkou za jeden kalendářní měsíc ve výši 8250,-</w:t>
      </w:r>
      <w:r>
        <w:rPr>
          <w:spacing w:val="1"/>
        </w:rPr>
        <w:t xml:space="preserve"> </w:t>
      </w:r>
      <w:r>
        <w:t>Kč.</w:t>
      </w:r>
    </w:p>
    <w:p w14:paraId="51DCFD89" w14:textId="77777777" w:rsidR="004C139F" w:rsidRDefault="00000000">
      <w:pPr>
        <w:pStyle w:val="Zkladntext"/>
        <w:ind w:left="116" w:right="109"/>
        <w:jc w:val="both"/>
      </w:pPr>
      <w:r>
        <w:t>Zdanitelné plnění je považováno za uskutečněné vždy k poslednímu dni každého kalendářního měsíce. Faktura – daňový doklad bude vystavena do 5. dne měsíce následujícího. Splatnost faktury – daňového dokladu činí 14 dní ode dne jejího vystavení.</w:t>
      </w:r>
    </w:p>
    <w:p w14:paraId="25F75074" w14:textId="77777777" w:rsidR="004C139F" w:rsidRDefault="00000000">
      <w:pPr>
        <w:pStyle w:val="Zkladntext"/>
        <w:ind w:left="116" w:right="116"/>
        <w:jc w:val="both"/>
      </w:pPr>
      <w:r>
        <w:t>V případě dalších prací, neuvedených v odstavci II. této smlouvy, budou tyto práce účtovány částkou 550,- Kč za hodinu.</w:t>
      </w:r>
    </w:p>
    <w:p w14:paraId="1BD64A42" w14:textId="77777777" w:rsidR="004C139F" w:rsidRDefault="00000000">
      <w:pPr>
        <w:pStyle w:val="Zkladntext"/>
        <w:spacing w:line="720" w:lineRule="auto"/>
        <w:ind w:left="116" w:right="2171"/>
        <w:jc w:val="both"/>
      </w:pPr>
      <w:r>
        <w:t>Ceny jsou uvedeny bez DPH, která bude přičtena dle platných předpisů. Dodatek č.1 nabývá účinnosti dne 1.1.2024.</w:t>
      </w:r>
    </w:p>
    <w:p w14:paraId="06EB90D5" w14:textId="77777777" w:rsidR="004C139F" w:rsidRDefault="004C139F">
      <w:pPr>
        <w:pStyle w:val="Zkladntext"/>
        <w:ind w:left="0"/>
        <w:rPr>
          <w:sz w:val="24"/>
        </w:rPr>
      </w:pPr>
    </w:p>
    <w:p w14:paraId="16200077" w14:textId="77777777" w:rsidR="004C139F" w:rsidRDefault="004C139F">
      <w:pPr>
        <w:pStyle w:val="Zkladntext"/>
        <w:ind w:left="0"/>
        <w:rPr>
          <w:sz w:val="20"/>
        </w:rPr>
      </w:pPr>
    </w:p>
    <w:p w14:paraId="64BE9AD6" w14:textId="19B3F579" w:rsidR="004C139F" w:rsidRDefault="00000000">
      <w:pPr>
        <w:pStyle w:val="Zkladntext"/>
        <w:tabs>
          <w:tab w:val="left" w:pos="5073"/>
        </w:tabs>
        <w:ind w:left="116"/>
        <w:jc w:val="both"/>
      </w:pPr>
      <w:r>
        <w:t>V</w:t>
      </w:r>
      <w:r>
        <w:rPr>
          <w:spacing w:val="-1"/>
        </w:rPr>
        <w:t xml:space="preserve"> </w:t>
      </w:r>
      <w:r>
        <w:t>Brně</w:t>
      </w:r>
      <w:r>
        <w:rPr>
          <w:spacing w:val="-1"/>
        </w:rPr>
        <w:t xml:space="preserve"> </w:t>
      </w:r>
      <w:r>
        <w:t>dne:</w:t>
      </w:r>
      <w:r w:rsidR="006A084D">
        <w:t xml:space="preserve"> 1.12. 2023</w:t>
      </w:r>
      <w:r>
        <w:tab/>
        <w:t>V Brně dne:</w:t>
      </w:r>
      <w:r w:rsidR="006A084D">
        <w:t>1.12. 2023</w:t>
      </w:r>
    </w:p>
    <w:p w14:paraId="7F46FA20" w14:textId="77777777" w:rsidR="004C139F" w:rsidRDefault="004C139F">
      <w:pPr>
        <w:pStyle w:val="Zkladntext"/>
        <w:ind w:left="0"/>
        <w:rPr>
          <w:sz w:val="20"/>
        </w:rPr>
      </w:pPr>
    </w:p>
    <w:p w14:paraId="60F69D87" w14:textId="77777777" w:rsidR="004C139F" w:rsidRDefault="004C139F">
      <w:pPr>
        <w:pStyle w:val="Zkladntext"/>
        <w:spacing w:before="9"/>
        <w:ind w:left="0"/>
        <w:rPr>
          <w:sz w:val="19"/>
        </w:rPr>
      </w:pPr>
    </w:p>
    <w:p w14:paraId="70062047" w14:textId="77777777" w:rsidR="004C139F" w:rsidRDefault="004C139F">
      <w:pPr>
        <w:rPr>
          <w:sz w:val="19"/>
        </w:rPr>
        <w:sectPr w:rsidR="004C139F">
          <w:pgSz w:w="11910" w:h="16840"/>
          <w:pgMar w:top="1320" w:right="1300" w:bottom="1160" w:left="1300" w:header="0" w:footer="961" w:gutter="0"/>
          <w:cols w:space="708"/>
        </w:sectPr>
      </w:pPr>
    </w:p>
    <w:p w14:paraId="361134A3" w14:textId="77777777" w:rsidR="004C139F" w:rsidRDefault="00000000">
      <w:pPr>
        <w:spacing w:before="104"/>
        <w:jc w:val="right"/>
        <w:rPr>
          <w:rFonts w:ascii="Calibri"/>
          <w:sz w:val="28"/>
        </w:rPr>
      </w:pPr>
      <w:r>
        <w:pict w14:anchorId="70385E92">
          <v:shape id="_x0000_s2051" style="position:absolute;left:0;text-align:left;margin-left:131.65pt;margin-top:6.3pt;width:52.65pt;height:52.3pt;z-index:-251797504;mso-position-horizontal-relative:page" coordorigin="2633,126" coordsize="1053,1046" o:spt="100" adj="0,,0" path="m2822,950r-91,60l2672,1067r-30,50l2633,1154r6,13l2645,1171r71,l2719,1169r-66,l2662,1130r35,-55l2752,1012r70,-62xm3083,126r-21,14l3051,172r-4,37l3046,235r1,24l3049,284r4,27l3057,339r5,28l3069,397r6,28l3083,455r-6,26l3061,528r-24,63l3005,666r-38,82l2925,834r-46,84l2832,997r-48,68l2737,1120r-44,36l2653,1169r66,l2755,1143r49,-53l2860,1012r65,-105l2935,904r-10,l2988,790r46,-93l3066,622r22,-60l3102,514r38,l3116,451r8,-54l3102,397r-12,-47l3081,304r-4,-42l3075,223r1,-16l3078,180r7,-29l3098,132r26,l3110,127r-27,-1xm3675,902r-31,l3633,912r,29l3644,952r31,l3680,947r-32,l3638,938r,-22l3648,907r32,l3675,902xm3680,907r-9,l3679,916r,22l3671,947r9,l3685,941r,-29l3680,907xm3666,910r-17,l3649,941r5,l3654,930r14,l3667,929r-3,-2l3670,925r-16,l3654,917r16,l3669,915r-3,-5xm3668,930r-7,l3663,933r1,3l3665,941r5,l3669,936r,-4l3668,930xm3670,917r-8,l3664,918r,6l3661,925r9,l3670,921r,-4xm3140,514r-38,l3148,610r48,71l3243,732r43,35l3322,789r-77,15l3166,823r-81,23l3004,873r-79,31l2935,904r56,-18l3061,867r74,-16l3211,836r76,-11l3362,816r80,l3425,808r72,-3l3663,805r-27,-15l3596,782r-218,l3353,767r-25,-15l3304,736r-23,-17l3228,665r-46,-65l3145,528r-5,-14xm3442,816r-80,l3432,848r69,24l3565,887r54,5l3641,891r16,-5l3669,878r2,-3l3641,875r-42,-5l3546,857r-59,-21l3442,816xm3675,867r-8,4l3655,875r16,l3675,867xm3663,805r-166,l3582,808r69,14l3679,856r3,-8l3685,845r,-8l3672,810r-9,-5xm3506,774r-28,1l3446,777r-68,5l3596,782r-17,-4l3506,774xm3134,214r-6,31l3122,286r-9,50l3102,397r22,l3125,390r5,-59l3132,273r2,-59xm3124,132r-26,l3109,139r11,12l3129,169r5,25l3138,155r-9,-21l3124,132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 w14:anchorId="3D90F8C8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11.95pt;margin-top:22.05pt;width:44.6pt;height:17.1pt;z-index:251659264;mso-position-horizontal-relative:page" filled="f" stroked="f">
            <v:textbox inset="0,0,0,0">
              <w:txbxContent>
                <w:p w14:paraId="29031DE2" w14:textId="77777777" w:rsidR="004C139F" w:rsidRDefault="00000000">
                  <w:pPr>
                    <w:spacing w:before="3" w:line="338" w:lineRule="exact"/>
                    <w:rPr>
                      <w:rFonts w:ascii="Calibri" w:hAnsi="Calibri"/>
                      <w:sz w:val="28"/>
                    </w:rPr>
                  </w:pPr>
                  <w:r>
                    <w:rPr>
                      <w:rFonts w:ascii="Calibri" w:hAnsi="Calibri"/>
                      <w:w w:val="105"/>
                      <w:sz w:val="28"/>
                    </w:rPr>
                    <w:t>Zdeněk</w:t>
                  </w:r>
                </w:p>
              </w:txbxContent>
            </v:textbox>
            <w10:wrap anchorx="page"/>
          </v:shape>
        </w:pict>
      </w:r>
      <w:r>
        <w:rPr>
          <w:rFonts w:ascii="Calibri"/>
          <w:w w:val="105"/>
          <w:sz w:val="28"/>
        </w:rPr>
        <w:t>Ing.</w:t>
      </w:r>
    </w:p>
    <w:p w14:paraId="4D1D19F8" w14:textId="77777777" w:rsidR="004C139F" w:rsidRDefault="00000000">
      <w:pPr>
        <w:pStyle w:val="Zkladntext"/>
        <w:spacing w:before="3"/>
        <w:ind w:left="0"/>
        <w:rPr>
          <w:rFonts w:ascii="Calibri"/>
          <w:sz w:val="14"/>
        </w:rPr>
      </w:pPr>
      <w:r>
        <w:br w:type="column"/>
      </w:r>
    </w:p>
    <w:p w14:paraId="707A273E" w14:textId="1F3EBD06" w:rsidR="004C139F" w:rsidRDefault="00000000">
      <w:pPr>
        <w:spacing w:line="259" w:lineRule="auto"/>
        <w:ind w:left="451" w:right="6700"/>
        <w:rPr>
          <w:rFonts w:ascii="Calibri" w:hAnsi="Calibri"/>
          <w:sz w:val="12"/>
        </w:rPr>
      </w:pPr>
      <w:r>
        <w:rPr>
          <w:rFonts w:ascii="Calibri" w:hAnsi="Calibri"/>
          <w:w w:val="110"/>
          <w:sz w:val="12"/>
        </w:rPr>
        <w:t xml:space="preserve">Digitálně </w:t>
      </w:r>
      <w:r w:rsidR="006A084D">
        <w:rPr>
          <w:rFonts w:ascii="Calibri" w:hAnsi="Calibri"/>
          <w:w w:val="110"/>
          <w:sz w:val="12"/>
        </w:rPr>
        <w:t xml:space="preserve">           </w:t>
      </w:r>
      <w:r>
        <w:rPr>
          <w:rFonts w:ascii="Calibri" w:hAnsi="Calibri"/>
          <w:w w:val="110"/>
          <w:sz w:val="12"/>
        </w:rPr>
        <w:t>podepsal Ing.</w:t>
      </w:r>
    </w:p>
    <w:p w14:paraId="194061CC" w14:textId="77777777" w:rsidR="004C139F" w:rsidRDefault="004C139F">
      <w:pPr>
        <w:spacing w:line="259" w:lineRule="auto"/>
        <w:rPr>
          <w:rFonts w:ascii="Calibri" w:hAnsi="Calibri"/>
          <w:sz w:val="12"/>
        </w:rPr>
        <w:sectPr w:rsidR="004C139F">
          <w:type w:val="continuous"/>
          <w:pgSz w:w="11910" w:h="16840"/>
          <w:pgMar w:top="1320" w:right="1300" w:bottom="1160" w:left="1300" w:header="708" w:footer="708" w:gutter="0"/>
          <w:cols w:num="2" w:space="708" w:equalWidth="0">
            <w:col w:w="1382" w:space="40"/>
            <w:col w:w="7888"/>
          </w:cols>
        </w:sectPr>
      </w:pPr>
    </w:p>
    <w:p w14:paraId="55F494B7" w14:textId="77777777" w:rsidR="004C139F" w:rsidRDefault="00000000">
      <w:pPr>
        <w:spacing w:line="259" w:lineRule="auto"/>
        <w:ind w:left="1872" w:right="6655"/>
        <w:rPr>
          <w:rFonts w:ascii="Calibri" w:hAnsi="Calibri"/>
          <w:sz w:val="12"/>
        </w:rPr>
      </w:pPr>
      <w:r>
        <w:rPr>
          <w:rFonts w:ascii="Calibri" w:hAnsi="Calibri"/>
          <w:w w:val="110"/>
          <w:sz w:val="12"/>
        </w:rPr>
        <w:t>Zdeněk Přikryl Datum:</w:t>
      </w:r>
    </w:p>
    <w:p w14:paraId="22FA26DF" w14:textId="77777777" w:rsidR="004C139F" w:rsidRDefault="004C139F">
      <w:pPr>
        <w:spacing w:line="259" w:lineRule="auto"/>
        <w:rPr>
          <w:rFonts w:ascii="Calibri" w:hAnsi="Calibri"/>
          <w:sz w:val="12"/>
        </w:rPr>
        <w:sectPr w:rsidR="004C139F">
          <w:type w:val="continuous"/>
          <w:pgSz w:w="11910" w:h="16840"/>
          <w:pgMar w:top="1320" w:right="1300" w:bottom="1160" w:left="1300" w:header="708" w:footer="708" w:gutter="0"/>
          <w:cols w:space="708"/>
        </w:sectPr>
      </w:pPr>
    </w:p>
    <w:p w14:paraId="71B1EC2F" w14:textId="77777777" w:rsidR="004C139F" w:rsidRDefault="00000000">
      <w:pPr>
        <w:pStyle w:val="Nadpis2"/>
        <w:spacing w:line="261" w:lineRule="exact"/>
        <w:ind w:left="939"/>
      </w:pPr>
      <w:r>
        <w:t>Přikryl</w:t>
      </w:r>
    </w:p>
    <w:p w14:paraId="51BEC999" w14:textId="7F42AFF6" w:rsidR="004C139F" w:rsidRDefault="00000000">
      <w:pPr>
        <w:spacing w:line="139" w:lineRule="exact"/>
        <w:ind w:left="157"/>
        <w:rPr>
          <w:rFonts w:ascii="Calibri"/>
          <w:sz w:val="12"/>
        </w:rPr>
      </w:pPr>
      <w:r>
        <w:br w:type="column"/>
      </w:r>
      <w:r>
        <w:rPr>
          <w:rFonts w:ascii="Calibri"/>
          <w:w w:val="105"/>
          <w:sz w:val="12"/>
        </w:rPr>
        <w:t>2023.12.01</w:t>
      </w:r>
      <w:r w:rsidR="006A084D" w:rsidRPr="006A084D">
        <w:t xml:space="preserve"> </w:t>
      </w:r>
      <w:r w:rsidR="006A084D">
        <w:t xml:space="preserve">                                      </w:t>
      </w:r>
    </w:p>
    <w:p w14:paraId="1F48DC9C" w14:textId="77777777" w:rsidR="004C139F" w:rsidRDefault="00000000">
      <w:pPr>
        <w:spacing w:before="7" w:line="115" w:lineRule="exact"/>
        <w:ind w:left="157"/>
        <w:rPr>
          <w:rFonts w:ascii="Calibri"/>
          <w:sz w:val="12"/>
        </w:rPr>
      </w:pPr>
      <w:r>
        <w:rPr>
          <w:rFonts w:ascii="Calibri"/>
          <w:w w:val="105"/>
          <w:sz w:val="12"/>
        </w:rPr>
        <w:t>16:34:32 +01'00'</w:t>
      </w:r>
    </w:p>
    <w:p w14:paraId="494400F9" w14:textId="58A17438" w:rsidR="004C139F" w:rsidRPr="006A084D" w:rsidRDefault="006A084D">
      <w:pPr>
        <w:spacing w:line="115" w:lineRule="exact"/>
        <w:rPr>
          <w:rFonts w:ascii="Calibri"/>
          <w:sz w:val="14"/>
          <w:szCs w:val="14"/>
        </w:rPr>
        <w:sectPr w:rsidR="004C139F" w:rsidRPr="006A084D">
          <w:type w:val="continuous"/>
          <w:pgSz w:w="11910" w:h="16840"/>
          <w:pgMar w:top="1320" w:right="1300" w:bottom="1160" w:left="1300" w:header="708" w:footer="708" w:gutter="0"/>
          <w:cols w:num="2" w:space="708" w:equalWidth="0">
            <w:col w:w="1676" w:space="40"/>
            <w:col w:w="7594"/>
          </w:cols>
        </w:sectPr>
      </w:pPr>
      <w:r w:rsidRPr="006A084D">
        <w:rPr>
          <w:rFonts w:ascii="Calibri"/>
          <w:sz w:val="14"/>
          <w:szCs w:val="14"/>
        </w:rPr>
        <w:t xml:space="preserve">                                                                                                     </w:t>
      </w:r>
      <w:proofErr w:type="spellStart"/>
      <w:r w:rsidRPr="006A084D">
        <w:rPr>
          <w:sz w:val="14"/>
          <w:szCs w:val="14"/>
        </w:rPr>
        <w:t>Mgr.Barbora</w:t>
      </w:r>
      <w:proofErr w:type="spellEnd"/>
      <w:r w:rsidRPr="006A084D">
        <w:rPr>
          <w:sz w:val="14"/>
          <w:szCs w:val="14"/>
        </w:rPr>
        <w:t xml:space="preserve"> Dvořáková</w:t>
      </w:r>
    </w:p>
    <w:p w14:paraId="50E6220E" w14:textId="63BD5322" w:rsidR="004C139F" w:rsidRDefault="00000000">
      <w:pPr>
        <w:pStyle w:val="Zkladntext"/>
        <w:tabs>
          <w:tab w:val="left" w:pos="4333"/>
        </w:tabs>
        <w:spacing w:line="246" w:lineRule="exact"/>
        <w:ind w:left="116"/>
      </w:pPr>
      <w:r>
        <w:t>.......................................................</w:t>
      </w:r>
      <w:r>
        <w:tab/>
        <w:t>.............</w:t>
      </w:r>
      <w:r w:rsidR="006A084D">
        <w:t xml:space="preserve"> ……………………….</w:t>
      </w:r>
    </w:p>
    <w:p w14:paraId="27B54582" w14:textId="77777777" w:rsidR="004C139F" w:rsidRDefault="00000000">
      <w:pPr>
        <w:pStyle w:val="Zkladntext"/>
        <w:tabs>
          <w:tab w:val="left" w:pos="5781"/>
        </w:tabs>
        <w:spacing w:line="253" w:lineRule="exact"/>
        <w:ind w:left="1071"/>
      </w:pPr>
      <w:r>
        <w:t>poskytovatel</w:t>
      </w:r>
      <w:r>
        <w:tab/>
        <w:t>objednatel</w:t>
      </w:r>
    </w:p>
    <w:sectPr w:rsidR="004C139F">
      <w:type w:val="continuous"/>
      <w:pgSz w:w="11910" w:h="16840"/>
      <w:pgMar w:top="1320" w:right="1300" w:bottom="116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06110" w14:textId="77777777" w:rsidR="00717642" w:rsidRDefault="00717642">
      <w:r>
        <w:separator/>
      </w:r>
    </w:p>
  </w:endnote>
  <w:endnote w:type="continuationSeparator" w:id="0">
    <w:p w14:paraId="692A2E18" w14:textId="77777777" w:rsidR="00717642" w:rsidRDefault="00717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65FC5" w14:textId="77777777" w:rsidR="004C139F" w:rsidRDefault="00000000">
    <w:pPr>
      <w:pStyle w:val="Zkladntext"/>
      <w:spacing w:line="14" w:lineRule="auto"/>
      <w:ind w:left="0"/>
      <w:rPr>
        <w:sz w:val="20"/>
      </w:rPr>
    </w:pPr>
    <w:r>
      <w:pict w14:anchorId="707A906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73pt;margin-top:782.9pt;width:49.35pt;height:11pt;z-index:-251658752;mso-position-horizontal-relative:page;mso-position-vertical-relative:page" filled="f" stroked="f">
          <v:textbox inset="0,0,0,0">
            <w:txbxContent>
              <w:p w14:paraId="5044BAAD" w14:textId="77777777" w:rsidR="004C139F" w:rsidRDefault="00000000">
                <w:pPr>
                  <w:spacing w:before="15"/>
                  <w:ind w:left="20"/>
                  <w:rPr>
                    <w:b/>
                    <w:sz w:val="16"/>
                  </w:rPr>
                </w:pPr>
                <w:r>
                  <w:rPr>
                    <w:sz w:val="16"/>
                  </w:rPr>
                  <w:t xml:space="preserve">Stránka </w:t>
                </w:r>
                <w:r>
                  <w:fldChar w:fldCharType="begin"/>
                </w:r>
                <w:r>
                  <w:rPr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b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 xml:space="preserve">z </w:t>
                </w:r>
                <w:r>
                  <w:rPr>
                    <w:b/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758ED" w14:textId="77777777" w:rsidR="00717642" w:rsidRDefault="00717642">
      <w:r>
        <w:separator/>
      </w:r>
    </w:p>
  </w:footnote>
  <w:footnote w:type="continuationSeparator" w:id="0">
    <w:p w14:paraId="4C872C55" w14:textId="77777777" w:rsidR="00717642" w:rsidRDefault="00717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A7296"/>
    <w:multiLevelType w:val="hybridMultilevel"/>
    <w:tmpl w:val="6A5A98E6"/>
    <w:lvl w:ilvl="0" w:tplc="416065A8">
      <w:start w:val="1"/>
      <w:numFmt w:val="decimal"/>
      <w:lvlText w:val="%1)"/>
      <w:lvlJc w:val="left"/>
      <w:pPr>
        <w:ind w:left="375" w:hanging="259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72825420">
      <w:numFmt w:val="bullet"/>
      <w:lvlText w:val="-"/>
      <w:lvlJc w:val="left"/>
      <w:pPr>
        <w:ind w:left="716" w:hanging="360"/>
      </w:pPr>
      <w:rPr>
        <w:rFonts w:ascii="Arial" w:eastAsia="Arial" w:hAnsi="Arial" w:cs="Arial" w:hint="default"/>
        <w:w w:val="100"/>
        <w:sz w:val="22"/>
        <w:szCs w:val="22"/>
        <w:lang w:val="cs-CZ" w:eastAsia="cs-CZ" w:bidi="cs-CZ"/>
      </w:rPr>
    </w:lvl>
    <w:lvl w:ilvl="2" w:tplc="CD9463EC">
      <w:numFmt w:val="bullet"/>
      <w:lvlText w:val="•"/>
      <w:lvlJc w:val="left"/>
      <w:pPr>
        <w:ind w:left="1674" w:hanging="360"/>
      </w:pPr>
      <w:rPr>
        <w:rFonts w:hint="default"/>
        <w:lang w:val="cs-CZ" w:eastAsia="cs-CZ" w:bidi="cs-CZ"/>
      </w:rPr>
    </w:lvl>
    <w:lvl w:ilvl="3" w:tplc="D54EA028">
      <w:numFmt w:val="bullet"/>
      <w:lvlText w:val="•"/>
      <w:lvlJc w:val="left"/>
      <w:pPr>
        <w:ind w:left="2628" w:hanging="360"/>
      </w:pPr>
      <w:rPr>
        <w:rFonts w:hint="default"/>
        <w:lang w:val="cs-CZ" w:eastAsia="cs-CZ" w:bidi="cs-CZ"/>
      </w:rPr>
    </w:lvl>
    <w:lvl w:ilvl="4" w:tplc="CBE4A844">
      <w:numFmt w:val="bullet"/>
      <w:lvlText w:val="•"/>
      <w:lvlJc w:val="left"/>
      <w:pPr>
        <w:ind w:left="3582" w:hanging="360"/>
      </w:pPr>
      <w:rPr>
        <w:rFonts w:hint="default"/>
        <w:lang w:val="cs-CZ" w:eastAsia="cs-CZ" w:bidi="cs-CZ"/>
      </w:rPr>
    </w:lvl>
    <w:lvl w:ilvl="5" w:tplc="C35E8C10">
      <w:numFmt w:val="bullet"/>
      <w:lvlText w:val="•"/>
      <w:lvlJc w:val="left"/>
      <w:pPr>
        <w:ind w:left="4536" w:hanging="360"/>
      </w:pPr>
      <w:rPr>
        <w:rFonts w:hint="default"/>
        <w:lang w:val="cs-CZ" w:eastAsia="cs-CZ" w:bidi="cs-CZ"/>
      </w:rPr>
    </w:lvl>
    <w:lvl w:ilvl="6" w:tplc="AE209306">
      <w:numFmt w:val="bullet"/>
      <w:lvlText w:val="•"/>
      <w:lvlJc w:val="left"/>
      <w:pPr>
        <w:ind w:left="5490" w:hanging="360"/>
      </w:pPr>
      <w:rPr>
        <w:rFonts w:hint="default"/>
        <w:lang w:val="cs-CZ" w:eastAsia="cs-CZ" w:bidi="cs-CZ"/>
      </w:rPr>
    </w:lvl>
    <w:lvl w:ilvl="7" w:tplc="E35E0DAA">
      <w:numFmt w:val="bullet"/>
      <w:lvlText w:val="•"/>
      <w:lvlJc w:val="left"/>
      <w:pPr>
        <w:ind w:left="6444" w:hanging="360"/>
      </w:pPr>
      <w:rPr>
        <w:rFonts w:hint="default"/>
        <w:lang w:val="cs-CZ" w:eastAsia="cs-CZ" w:bidi="cs-CZ"/>
      </w:rPr>
    </w:lvl>
    <w:lvl w:ilvl="8" w:tplc="B936CB9C">
      <w:numFmt w:val="bullet"/>
      <w:lvlText w:val="•"/>
      <w:lvlJc w:val="left"/>
      <w:pPr>
        <w:ind w:left="7398" w:hanging="360"/>
      </w:pPr>
      <w:rPr>
        <w:rFonts w:hint="default"/>
        <w:lang w:val="cs-CZ" w:eastAsia="cs-CZ" w:bidi="cs-CZ"/>
      </w:rPr>
    </w:lvl>
  </w:abstractNum>
  <w:abstractNum w:abstractNumId="1" w15:restartNumberingAfterBreak="0">
    <w:nsid w:val="7B7C1DC1"/>
    <w:multiLevelType w:val="hybridMultilevel"/>
    <w:tmpl w:val="58A63544"/>
    <w:lvl w:ilvl="0" w:tplc="F776072A">
      <w:start w:val="5"/>
      <w:numFmt w:val="decimal"/>
      <w:lvlText w:val="%1)"/>
      <w:lvlJc w:val="left"/>
      <w:pPr>
        <w:ind w:left="375" w:hanging="2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4934CEA2">
      <w:numFmt w:val="bullet"/>
      <w:lvlText w:val="-"/>
      <w:lvlJc w:val="left"/>
      <w:pPr>
        <w:ind w:left="716" w:hanging="360"/>
      </w:pPr>
      <w:rPr>
        <w:rFonts w:ascii="Arial" w:eastAsia="Arial" w:hAnsi="Arial" w:cs="Arial" w:hint="default"/>
        <w:w w:val="100"/>
        <w:sz w:val="22"/>
        <w:szCs w:val="22"/>
        <w:lang w:val="cs-CZ" w:eastAsia="cs-CZ" w:bidi="cs-CZ"/>
      </w:rPr>
    </w:lvl>
    <w:lvl w:ilvl="2" w:tplc="C070093E">
      <w:numFmt w:val="bullet"/>
      <w:lvlText w:val="•"/>
      <w:lvlJc w:val="left"/>
      <w:pPr>
        <w:ind w:left="1674" w:hanging="360"/>
      </w:pPr>
      <w:rPr>
        <w:rFonts w:hint="default"/>
        <w:lang w:val="cs-CZ" w:eastAsia="cs-CZ" w:bidi="cs-CZ"/>
      </w:rPr>
    </w:lvl>
    <w:lvl w:ilvl="3" w:tplc="CC7EAE76">
      <w:numFmt w:val="bullet"/>
      <w:lvlText w:val="•"/>
      <w:lvlJc w:val="left"/>
      <w:pPr>
        <w:ind w:left="2628" w:hanging="360"/>
      </w:pPr>
      <w:rPr>
        <w:rFonts w:hint="default"/>
        <w:lang w:val="cs-CZ" w:eastAsia="cs-CZ" w:bidi="cs-CZ"/>
      </w:rPr>
    </w:lvl>
    <w:lvl w:ilvl="4" w:tplc="5114C334">
      <w:numFmt w:val="bullet"/>
      <w:lvlText w:val="•"/>
      <w:lvlJc w:val="left"/>
      <w:pPr>
        <w:ind w:left="3582" w:hanging="360"/>
      </w:pPr>
      <w:rPr>
        <w:rFonts w:hint="default"/>
        <w:lang w:val="cs-CZ" w:eastAsia="cs-CZ" w:bidi="cs-CZ"/>
      </w:rPr>
    </w:lvl>
    <w:lvl w:ilvl="5" w:tplc="41E6AA52">
      <w:numFmt w:val="bullet"/>
      <w:lvlText w:val="•"/>
      <w:lvlJc w:val="left"/>
      <w:pPr>
        <w:ind w:left="4536" w:hanging="360"/>
      </w:pPr>
      <w:rPr>
        <w:rFonts w:hint="default"/>
        <w:lang w:val="cs-CZ" w:eastAsia="cs-CZ" w:bidi="cs-CZ"/>
      </w:rPr>
    </w:lvl>
    <w:lvl w:ilvl="6" w:tplc="AADA1B48">
      <w:numFmt w:val="bullet"/>
      <w:lvlText w:val="•"/>
      <w:lvlJc w:val="left"/>
      <w:pPr>
        <w:ind w:left="5490" w:hanging="360"/>
      </w:pPr>
      <w:rPr>
        <w:rFonts w:hint="default"/>
        <w:lang w:val="cs-CZ" w:eastAsia="cs-CZ" w:bidi="cs-CZ"/>
      </w:rPr>
    </w:lvl>
    <w:lvl w:ilvl="7" w:tplc="EF36B500">
      <w:numFmt w:val="bullet"/>
      <w:lvlText w:val="•"/>
      <w:lvlJc w:val="left"/>
      <w:pPr>
        <w:ind w:left="6444" w:hanging="360"/>
      </w:pPr>
      <w:rPr>
        <w:rFonts w:hint="default"/>
        <w:lang w:val="cs-CZ" w:eastAsia="cs-CZ" w:bidi="cs-CZ"/>
      </w:rPr>
    </w:lvl>
    <w:lvl w:ilvl="8" w:tplc="407680CC">
      <w:numFmt w:val="bullet"/>
      <w:lvlText w:val="•"/>
      <w:lvlJc w:val="left"/>
      <w:pPr>
        <w:ind w:left="7398" w:hanging="360"/>
      </w:pPr>
      <w:rPr>
        <w:rFonts w:hint="default"/>
        <w:lang w:val="cs-CZ" w:eastAsia="cs-CZ" w:bidi="cs-CZ"/>
      </w:rPr>
    </w:lvl>
  </w:abstractNum>
  <w:num w:numId="1" w16cid:durableId="659039448">
    <w:abstractNumId w:val="1"/>
  </w:num>
  <w:num w:numId="2" w16cid:durableId="600838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139F"/>
    <w:rsid w:val="004C139F"/>
    <w:rsid w:val="006A084D"/>
    <w:rsid w:val="0071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2CEB57BD"/>
  <w15:docId w15:val="{683EF049-18B8-4C51-9A34-99E1568A9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1628" w:right="1628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outlineLvl w:val="1"/>
    </w:pPr>
    <w:rPr>
      <w:rFonts w:ascii="Calibri" w:eastAsia="Calibri" w:hAnsi="Calibri" w:cs="Calibri"/>
      <w:sz w:val="28"/>
      <w:szCs w:val="28"/>
    </w:rPr>
  </w:style>
  <w:style w:type="paragraph" w:styleId="Nadpis3">
    <w:name w:val="heading 3"/>
    <w:basedOn w:val="Normln"/>
    <w:uiPriority w:val="9"/>
    <w:unhideWhenUsed/>
    <w:qFormat/>
    <w:pPr>
      <w:spacing w:line="252" w:lineRule="exact"/>
      <w:ind w:left="116" w:hanging="26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716"/>
    </w:pPr>
  </w:style>
  <w:style w:type="paragraph" w:styleId="Odstavecseseznamem">
    <w:name w:val="List Paragraph"/>
    <w:basedOn w:val="Normln"/>
    <w:uiPriority w:val="1"/>
    <w:qFormat/>
    <w:pPr>
      <w:ind w:left="716" w:hanging="361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3621</Characters>
  <Application>Microsoft Office Word</Application>
  <DocSecurity>0</DocSecurity>
  <Lines>30</Lines>
  <Paragraphs>8</Paragraphs>
  <ScaleCrop>false</ScaleCrop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e1 smlouvy</dc:title>
  <dc:creator>Ing. Zdenik Poikryl</dc:creator>
  <cp:lastModifiedBy>Barbora Dvořáková</cp:lastModifiedBy>
  <cp:revision>2</cp:revision>
  <cp:lastPrinted>2023-12-04T06:58:00Z</cp:lastPrinted>
  <dcterms:created xsi:type="dcterms:W3CDTF">2023-12-04T06:46:00Z</dcterms:created>
  <dcterms:modified xsi:type="dcterms:W3CDTF">2023-12-04T06:59:00Z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2023-12-04T00:00:00Z</vt:filetime>
  </property>
</Properties>
</file>