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0A6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10A6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910A6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910A6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10A6E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10A6E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10A6E">
        <w:rPr>
          <w:rFonts w:ascii="Tahoma" w:hAnsi="Tahoma" w:cs="Tahoma"/>
          <w:noProof/>
          <w:sz w:val="28"/>
          <w:szCs w:val="28"/>
        </w:rPr>
        <w:t>409/23/7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10A6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pozemku p.č. 147/1 v k.ú. Strakonice</w:t>
            </w:r>
          </w:p>
        </w:tc>
        <w:tc>
          <w:tcPr>
            <w:tcW w:w="1440" w:type="dxa"/>
          </w:tcPr>
          <w:p w:rsidR="001F0477" w:rsidRPr="006F0BA2" w:rsidRDefault="00910A6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10A6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197 631,89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10A6E">
        <w:rPr>
          <w:rFonts w:ascii="Tahoma" w:hAnsi="Tahoma" w:cs="Tahoma"/>
          <w:b/>
          <w:bCs/>
          <w:noProof/>
          <w:sz w:val="20"/>
          <w:szCs w:val="20"/>
        </w:rPr>
        <w:t>197 631,89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10A6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východní části komunikace, která se nachází na pozemku p. č. 147/1 v k. ú. Strakonice, a výtluků v jihovýchodní části parkoviště u Sv. Markéty, balenou drtí a kamenivem - dle cenové nabídky z 28.11.2023. Cena bez DPH činí 163.332,14 Kč, tj. cena včetně DPH činí 197.631,89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10A6E">
        <w:rPr>
          <w:rFonts w:ascii="Tahoma" w:hAnsi="Tahoma" w:cs="Tahoma"/>
          <w:noProof/>
          <w:sz w:val="20"/>
          <w:szCs w:val="20"/>
        </w:rPr>
        <w:t>15. 12. 2023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10A6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10A6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6E" w:rsidRDefault="00910A6E">
      <w:r>
        <w:separator/>
      </w:r>
    </w:p>
  </w:endnote>
  <w:endnote w:type="continuationSeparator" w:id="0">
    <w:p w:rsidR="00910A6E" w:rsidRDefault="009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6E" w:rsidRDefault="00910A6E">
      <w:r>
        <w:separator/>
      </w:r>
    </w:p>
  </w:footnote>
  <w:footnote w:type="continuationSeparator" w:id="0">
    <w:p w:rsidR="00910A6E" w:rsidRDefault="0091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6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10A6E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2123-F1AA-49AE-B02C-A3551D6F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1291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2023-12-01T09:31:00Z</cp:lastPrinted>
  <dcterms:created xsi:type="dcterms:W3CDTF">2023-12-01T09:31:00Z</dcterms:created>
  <dcterms:modified xsi:type="dcterms:W3CDTF">2023-12-01T09:34:00Z</dcterms:modified>
</cp:coreProperties>
</file>