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84" w:rsidRPr="00935C27" w:rsidRDefault="00C04387" w:rsidP="00DC0BE5">
      <w:pPr>
        <w:spacing w:before="360"/>
      </w:pPr>
      <w:bookmarkStart w:id="0" w:name="S_D1_optCJ_5_F"/>
      <w:r w:rsidRPr="00150D32">
        <w:rPr>
          <w:rFonts w:cs="Arial"/>
          <w:szCs w:val="18"/>
        </w:rPr>
        <w:t xml:space="preserve">Komerční banka, a. s., vydává tyto </w:t>
      </w:r>
      <w:bookmarkStart w:id="1" w:name="_GoBack"/>
      <w:r w:rsidRPr="00150D32">
        <w:rPr>
          <w:rFonts w:cs="Arial"/>
          <w:szCs w:val="18"/>
        </w:rPr>
        <w:t xml:space="preserve">všeobecné obchodní podmínky </w:t>
      </w:r>
      <w:bookmarkEnd w:id="1"/>
      <w:r w:rsidRPr="00150D32">
        <w:rPr>
          <w:rFonts w:cs="Arial"/>
          <w:szCs w:val="18"/>
        </w:rPr>
        <w:t>(dále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rsidR="00A32584" w:rsidRPr="00F4789F" w:rsidRDefault="00C04387" w:rsidP="00F4789F">
      <w:pPr>
        <w:pStyle w:val="Nadpis1"/>
      </w:pPr>
      <w:r w:rsidRPr="00F4789F">
        <w:t>Úvodní ustanovení</w:t>
      </w:r>
    </w:p>
    <w:p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rsidR="00C04387" w:rsidRPr="00150D32" w:rsidRDefault="00C04387" w:rsidP="00F4789F">
      <w:pPr>
        <w:tabs>
          <w:tab w:val="num" w:pos="425"/>
        </w:tabs>
        <w:ind w:left="567"/>
        <w:rPr>
          <w:rFonts w:cs="Arial"/>
          <w:szCs w:val="18"/>
        </w:rPr>
      </w:pPr>
      <w:r w:rsidRPr="00150D32">
        <w:rPr>
          <w:rFonts w:cs="Arial"/>
          <w:szCs w:val="18"/>
        </w:rPr>
        <w:t>Identifikační údaje:</w:t>
      </w:r>
    </w:p>
    <w:p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rsidR="00C04387" w:rsidRPr="00150D32" w:rsidRDefault="00C04387" w:rsidP="00F4789F">
      <w:pPr>
        <w:tabs>
          <w:tab w:val="num" w:pos="425"/>
        </w:tabs>
        <w:ind w:left="567"/>
        <w:rPr>
          <w:rFonts w:cs="Arial"/>
          <w:szCs w:val="18"/>
        </w:rPr>
      </w:pPr>
      <w:r w:rsidRPr="00150D32">
        <w:rPr>
          <w:rFonts w:cs="Arial"/>
          <w:szCs w:val="18"/>
        </w:rPr>
        <w:t xml:space="preserve">IČO: 45317054, </w:t>
      </w:r>
    </w:p>
    <w:p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rsidR="00A32584" w:rsidRPr="00935C27" w:rsidRDefault="00C04387" w:rsidP="00F4789F">
      <w:pPr>
        <w:ind w:left="567"/>
      </w:pPr>
      <w:r w:rsidRPr="00150D32">
        <w:rPr>
          <w:rFonts w:cs="Arial"/>
          <w:szCs w:val="18"/>
        </w:rPr>
        <w:t>Činnost Banky podléhá dohledu ze strany ČNB.</w:t>
      </w:r>
    </w:p>
    <w:p w:rsidR="00C04387" w:rsidRPr="00C04387" w:rsidRDefault="00C04387" w:rsidP="00F4789F">
      <w:pPr>
        <w:pStyle w:val="Nadpis2"/>
      </w:pPr>
      <w:r w:rsidRPr="00C04387">
        <w:t>Banka poskytuje Bankovní služby zpravidla v Klientově obchodním místě, v Obchodních dnech a v jejích provozních hodinách.</w:t>
      </w:r>
    </w:p>
    <w:p w:rsidR="00C04387" w:rsidRPr="00150D32" w:rsidRDefault="00C04387" w:rsidP="00F4789F">
      <w:pPr>
        <w:pStyle w:val="Nadpis2"/>
      </w:pPr>
      <w:r w:rsidRPr="00150D32">
        <w:t>Banka nemá povinnost vstoupit s Klientem do smluvního vztahu nebo poskytnout Bankovní službu. Banka je oprávněna vázat poskytování Bankovních služeb na předložení potřebných dokumentů a informací.</w:t>
      </w:r>
    </w:p>
    <w:p w:rsidR="00C04387" w:rsidRPr="00C04387" w:rsidRDefault="00C04387" w:rsidP="00F4789F">
      <w:pPr>
        <w:pStyle w:val="Nadpis1"/>
      </w:pPr>
      <w:r>
        <w:t>Smluvní dokumentace</w:t>
      </w:r>
    </w:p>
    <w:p w:rsidR="00C04387" w:rsidRDefault="00C04387"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Bankovními službami souvisejícími jsou stanoveny v Sazebníku. VOP, Produktové podmínky pro příslušnou Bankovní službu, Oznámení pro příslušnou Bankovní službu a Sazebník (v rozsahu relevantním k příslušné Bankovní službě) tvoří část obsahu Smlouvy (dále jen „Smluvní dokumenty“).</w:t>
      </w:r>
    </w:p>
    <w:p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rsidR="00C04387" w:rsidRPr="00C04387" w:rsidRDefault="00C04387" w:rsidP="00F4789F">
      <w:pPr>
        <w:pStyle w:val="Nadpis1"/>
      </w:pPr>
      <w:r>
        <w:t>Identifikace klienta a předkládání dokumentů</w:t>
      </w:r>
    </w:p>
    <w:p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rsidR="002F558E" w:rsidRPr="00C04387" w:rsidRDefault="0072681B" w:rsidP="00F4789F">
      <w:pPr>
        <w:pStyle w:val="Nadpis1"/>
      </w:pPr>
      <w:r>
        <w:t>Informační povinnost</w:t>
      </w:r>
    </w:p>
    <w:p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rsidR="00C04387" w:rsidRPr="0072681B" w:rsidRDefault="0072681B" w:rsidP="00F4789F">
      <w:pPr>
        <w:pStyle w:val="Nadpis3"/>
      </w:pPr>
      <w:r w:rsidRPr="0072681B">
        <w:t>jakékoli skutečnosti, která z Klienta může činit Osobu se zvláštním vztahem k Bance,</w:t>
      </w:r>
    </w:p>
    <w:p w:rsidR="0072681B" w:rsidRPr="0072681B" w:rsidRDefault="0072681B" w:rsidP="00F4789F">
      <w:pPr>
        <w:pStyle w:val="Nadpis3"/>
      </w:pPr>
      <w:r w:rsidRPr="0072681B">
        <w:t>změně skutečností určujících status Politicky exponované osoby, Americké osoby nebo změně země daňové rezidence,</w:t>
      </w:r>
    </w:p>
    <w:p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doloží Klient anebo k tomu oprávněná třetí osoba. Banka je oprávněna dle těchto informací provést příslušná právní jednání ve vztahu k poskytovaným Bankovním službám, včetně jejich změn či ukončení</w:t>
      </w:r>
      <w:r>
        <w:t>.</w:t>
      </w:r>
    </w:p>
    <w:p w:rsidR="00A4354C" w:rsidRPr="00C04387" w:rsidRDefault="00A4354C" w:rsidP="00F4789F">
      <w:pPr>
        <w:pStyle w:val="Nadpis1"/>
      </w:pPr>
      <w:r>
        <w:t>Jednání klienta a banky</w:t>
      </w:r>
    </w:p>
    <w:p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(ii) člen statutárního orgánu této jiné právnické osoby, je-li jím fyzická osoba.</w:t>
      </w:r>
    </w:p>
    <w:p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rsidR="00ED7CCD" w:rsidRPr="00C04387" w:rsidRDefault="00ED7CCD" w:rsidP="00F4789F">
      <w:pPr>
        <w:pStyle w:val="Nadpis1"/>
      </w:pPr>
      <w:r>
        <w:t>Vzájemná komunikace</w:t>
      </w:r>
    </w:p>
    <w:p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rsidR="00ED7CCD" w:rsidRPr="00C04387" w:rsidRDefault="00ED7CCD" w:rsidP="00F4789F">
      <w:pPr>
        <w:pStyle w:val="Nadpis1"/>
      </w:pPr>
      <w:r>
        <w:t>Příkazy a žádosti klienta</w:t>
      </w:r>
    </w:p>
    <w:p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ze závažných provoznětechnických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(close-out netting)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rsidR="00CF2450" w:rsidRPr="00C04387" w:rsidRDefault="00CF2450" w:rsidP="00F4789F">
      <w:pPr>
        <w:pStyle w:val="Nadpis1"/>
      </w:pPr>
      <w:r>
        <w:t>Doručování zásilek</w:t>
      </w:r>
    </w:p>
    <w:p w:rsidR="00CF2450" w:rsidRDefault="00CF2450"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p>
    <w:p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zmaří,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rsidR="00CF2450" w:rsidRDefault="00CF2450"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takovéto Zásilky nebudou vyzvednuty po dobu delší než 6 měsíců, je Banka oprávněna tyto Zásilky zničit.</w:t>
      </w:r>
    </w:p>
    <w:p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rsidR="00CF2450" w:rsidRDefault="00CF2450" w:rsidP="00F4789F">
      <w:pPr>
        <w:pStyle w:val="Nadpis2"/>
      </w:pPr>
      <w:r w:rsidRPr="00150D32">
        <w:t>Banka neodpovídá za nefunkčnost nebo zneužití komunikačních prostředků (zejm. e-mailu) či sítí elektronických komunikací (např. sítě mobilních operátorů, Wi-Fi sítě, pevné připojení k internetu), které slouží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zmaří,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rsidR="00CF2450" w:rsidRPr="00C04387" w:rsidRDefault="00CF2450" w:rsidP="00F4789F">
      <w:pPr>
        <w:pStyle w:val="Nadpis1"/>
      </w:pPr>
      <w:r>
        <w:t>Vznik smluvního vztahu</w:t>
      </w:r>
    </w:p>
    <w:p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rsidR="00734018" w:rsidRPr="00C04387" w:rsidRDefault="00734018" w:rsidP="00F4789F">
      <w:pPr>
        <w:pStyle w:val="Nadpis1"/>
      </w:pPr>
      <w:r>
        <w:t>Zánik smluvního vztahu</w:t>
      </w:r>
    </w:p>
    <w:p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p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rsidR="00734018" w:rsidRPr="00C04387" w:rsidRDefault="00734018" w:rsidP="00F4789F">
      <w:pPr>
        <w:pStyle w:val="Nadpis1"/>
      </w:pPr>
      <w:r>
        <w:t>Zřizování a vedení účtů</w:t>
      </w:r>
    </w:p>
    <w:p w:rsidR="00734018" w:rsidRDefault="00734018" w:rsidP="00F4789F">
      <w:pPr>
        <w:pStyle w:val="Nadpis2"/>
      </w:pPr>
      <w:r w:rsidRPr="00150D32">
        <w:t>Banka zřizuje a vede Účty na základě Smlouvy.</w:t>
      </w:r>
    </w:p>
    <w:p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rsidR="001B4442" w:rsidRDefault="001B4442" w:rsidP="00F4789F">
      <w:pPr>
        <w:pStyle w:val="Nadpis2"/>
      </w:pPr>
      <w:r w:rsidRPr="00150D32">
        <w:rPr>
          <w:b/>
        </w:rPr>
        <w:t>Balíček služeb.</w:t>
      </w:r>
      <w:r w:rsidRPr="00150D32">
        <w:t xml:space="preserve"> K vybraným typům Účtů poskytuje Banka balíček služeb, v rámci kterého nabízí produkty a služby uvedené v Sazebníku pro daný typ Účtu.</w:t>
      </w:r>
    </w:p>
    <w:p w:rsidR="001B4442" w:rsidRDefault="001B4442"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p w:rsidR="001B4442" w:rsidRPr="00C04387" w:rsidRDefault="001B4442" w:rsidP="00F4789F">
      <w:pPr>
        <w:pStyle w:val="Nadpis1"/>
      </w:pPr>
      <w:r>
        <w:t>Rušení účtů</w:t>
      </w:r>
    </w:p>
    <w:p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rsidR="0084242A" w:rsidRDefault="0084242A" w:rsidP="00F4789F">
      <w:pPr>
        <w:pStyle w:val="Nadpis2"/>
      </w:pPr>
      <w:r w:rsidRPr="007E06EC">
        <w:rPr>
          <w:b/>
        </w:rPr>
        <w:t>Vypořádání.</w:t>
      </w:r>
      <w:r w:rsidRPr="007E06EC">
        <w:t xml:space="preserve"> Pokud Klient učiní úkon vedoucí k zániku smlouvy o Účtu nebo obdrží výpověď či odstoupení od smlouvy o Účtu ze strany Banky, je povinen dát Bance pokyn ohledně nakládání s případným zůstatkem na Účtu. Pokud takový pokyn Banka neobdrží, může zůstatek na Účtu převést na jakýkoli jiný Účet Klienta a nemá-li Klient jiný Účet, bude Banka evidovat nevypořádanou pohledávku ve výši zůstatku na Účtu do doby obdržení takového pokynu od Klienta.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uvolnění prostředků. V takovém případě Banka prostředky z tohoto Účtu nevyplatí a Účet nezruší až do splnění výše uvedených podmínek</w:t>
      </w:r>
      <w:r w:rsidRPr="00150D32">
        <w:t>.</w:t>
      </w:r>
    </w:p>
    <w:p w:rsidR="0084242A" w:rsidRDefault="0084242A" w:rsidP="00F4789F">
      <w:pPr>
        <w:pStyle w:val="Nadpis2"/>
      </w:pPr>
      <w:r w:rsidRPr="007E06EC">
        <w:t>Příkazy a žádosti týkající se nakládání s prostředky na Účtu budou Bankou zrušeny k datu zrušení Účtu. Nejpozději k datu zrušení Účtu Banka ukončí poskytování Bankovních služeb, které jsou na předmětný Účet vázány</w:t>
      </w:r>
      <w:r w:rsidRPr="00150D32">
        <w:t>.</w:t>
      </w:r>
    </w:p>
    <w:p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rsidR="0084242A" w:rsidRPr="00C04387" w:rsidRDefault="0084242A" w:rsidP="00F4789F">
      <w:pPr>
        <w:pStyle w:val="Nadpis1"/>
      </w:pPr>
      <w:r>
        <w:t>Debet na účtu</w:t>
      </w:r>
    </w:p>
    <w:p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rsidR="00B95D5B" w:rsidRDefault="00B95D5B" w:rsidP="00F4789F">
      <w:pPr>
        <w:pStyle w:val="Nadpis2"/>
      </w:pPr>
      <w:r w:rsidRPr="007E06EC">
        <w:rPr>
          <w:b/>
        </w:rPr>
        <w:t>Důsledky nepovoleného debetu.</w:t>
      </w:r>
      <w:r w:rsidRPr="007E06EC">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r w:rsidRPr="00150D32">
        <w:t>.</w:t>
      </w:r>
    </w:p>
    <w:p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Oznámením o úrokových sazbách. Výše úrokové sazby, kterou se úročí nepovolený debet, a výše úroku z prodlení mohou být po dobu trvání nepovoleného debetu měněny způsobem uvedeným v příslušných Produktových podmínkách</w:t>
      </w:r>
      <w:r w:rsidRPr="00150D32">
        <w:t>.</w:t>
      </w:r>
    </w:p>
    <w:p w:rsidR="00B95D5B" w:rsidRDefault="00B95D5B" w:rsidP="00F4789F">
      <w:pPr>
        <w:pStyle w:val="Nadpis2"/>
      </w:pPr>
      <w:r w:rsidRPr="007E06EC">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rsidR="00B95D5B" w:rsidRDefault="00B95D5B" w:rsidP="00F4789F">
      <w:pPr>
        <w:pStyle w:val="Nadpis2"/>
      </w:pPr>
      <w:r w:rsidRPr="007E06EC">
        <w:lastRenderedPageBreak/>
        <w:t>Banka informuje Klienta o aktuální výši úrokové sazby, kterou se úročí nepovolený debet, a o aktuální výši úroků z</w:t>
      </w:r>
      <w:r>
        <w:t> </w:t>
      </w:r>
      <w:r w:rsidRPr="007E06EC">
        <w:t>prodlení, sankcích a poplatcích v souladu s právními předpisy a podle VOP</w:t>
      </w:r>
      <w:r w:rsidRPr="00150D32">
        <w:t>.</w:t>
      </w:r>
    </w:p>
    <w:p w:rsidR="00B95D5B" w:rsidRDefault="00B95D5B" w:rsidP="00F4789F">
      <w:pPr>
        <w:pStyle w:val="Nadpis2"/>
      </w:pPr>
      <w:r w:rsidRPr="007E06EC">
        <w:rPr>
          <w:b/>
        </w:rPr>
        <w:t>Výrazný nepovolený debet.</w:t>
      </w:r>
      <w:r w:rsidRPr="007E06EC">
        <w:t xml:space="preserve"> V případě, že na Účtu dojde k výraznému nepovolenému debetu dle zákona o</w:t>
      </w:r>
      <w:r>
        <w:t> </w:t>
      </w:r>
      <w:r w:rsidRPr="007E06EC">
        <w:t>spotřebitelském úvěru</w:t>
      </w:r>
      <w:r w:rsidRPr="00B95D5B">
        <w:rPr>
          <w:rStyle w:val="Znakapoznpodarou"/>
        </w:rPr>
        <w:footnoteReference w:id="12"/>
      </w:r>
      <w:r w:rsidRPr="007E06EC">
        <w:t xml:space="preserve">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r w:rsidRPr="00150D32">
        <w:t>.</w:t>
      </w:r>
    </w:p>
    <w:p w:rsidR="00B95D5B" w:rsidRPr="00C04387" w:rsidRDefault="00B95D5B" w:rsidP="00F4789F">
      <w:pPr>
        <w:pStyle w:val="Nadpis1"/>
      </w:pPr>
      <w:r>
        <w:t>Nakládání s prostředky na účtu</w:t>
      </w:r>
    </w:p>
    <w:p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s použitím debetní karty poskytnuté k Účtu</w:t>
      </w:r>
      <w:r w:rsidRPr="00150D32">
        <w:t>.</w:t>
      </w:r>
    </w:p>
    <w:p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rsidR="00B95D5B" w:rsidRPr="007E06EC" w:rsidRDefault="00B95D5B" w:rsidP="00F4789F">
      <w:pPr>
        <w:pStyle w:val="Nadpis3"/>
        <w:numPr>
          <w:ilvl w:val="0"/>
          <w:numId w:val="6"/>
        </w:numPr>
        <w:ind w:left="907" w:hanging="340"/>
      </w:pPr>
      <w:r w:rsidRPr="00F4789F">
        <w:t>úhrady</w:t>
      </w:r>
      <w:r w:rsidRPr="007E06EC">
        <w:t xml:space="preserve"> splatných úroků;</w:t>
      </w:r>
    </w:p>
    <w:p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rsidR="00B95D5B" w:rsidRPr="007E06EC" w:rsidRDefault="00B95D5B" w:rsidP="00F4789F">
      <w:pPr>
        <w:pStyle w:val="Nadpis3"/>
      </w:pPr>
      <w:r w:rsidRPr="007E06EC">
        <w:t>úhrady v zákonem stanovených případech;</w:t>
      </w:r>
    </w:p>
    <w:p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rsidR="00B95D5B" w:rsidRPr="007E06EC" w:rsidRDefault="00B95D5B" w:rsidP="00F4789F">
      <w:pPr>
        <w:pStyle w:val="Nadpis3"/>
      </w:pPr>
      <w:r w:rsidRPr="007E06EC">
        <w:t>vrácení připsané platby, pokud číslo Účtu příjemce nebo plátce je uvedeno na seznamu nepovolených internetových her;</w:t>
      </w:r>
      <w:r w:rsidRPr="007E06EC">
        <w:rPr>
          <w:vertAlign w:val="superscript"/>
        </w:rPr>
        <w:footnoteReference w:id="16"/>
      </w:r>
    </w:p>
    <w:p w:rsidR="00B95D5B" w:rsidRPr="007E06EC" w:rsidRDefault="00B95D5B" w:rsidP="00F4789F">
      <w:pPr>
        <w:pStyle w:val="Nadpis3"/>
      </w:pPr>
      <w:r w:rsidRPr="007E06EC">
        <w:lastRenderedPageBreak/>
        <w:t>úhrady cen za pojištění poskytované Komerční pojišťovnou, a. s., pokud je takový způsob úhrady ve smlouvě o daném pojištění sjednán nebo</w:t>
      </w:r>
    </w:p>
    <w:p w:rsidR="00231B64" w:rsidRDefault="00B95D5B" w:rsidP="00F4789F">
      <w:pPr>
        <w:pStyle w:val="Nadpis3"/>
      </w:pPr>
      <w:r w:rsidRPr="007E06EC">
        <w:t>úhrady jakékoli jiné splatné pohledávky Banky za Klientem, a to i promlčené.</w:t>
      </w:r>
    </w:p>
    <w:p w:rsidR="00B95D5B" w:rsidRDefault="00B95D5B" w:rsidP="00F4789F">
      <w:pPr>
        <w:pStyle w:val="Nadpis2"/>
      </w:pPr>
      <w:r w:rsidRPr="007E06EC">
        <w:t>Banka je oprávněna odepsat prostředky z Účtu Klienta i v případě, že na Účtu vznikne v důsledku takové operace debetní zůstatek</w:t>
      </w:r>
      <w:r>
        <w:t>.</w:t>
      </w:r>
    </w:p>
    <w:p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rsidR="00B95D5B" w:rsidRPr="00C04387" w:rsidRDefault="00B95D5B" w:rsidP="00F4789F">
      <w:pPr>
        <w:pStyle w:val="Nadpis1"/>
      </w:pPr>
      <w:r>
        <w:t>Výpisy z účtu</w:t>
      </w:r>
    </w:p>
    <w:p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rsidR="00B95D5B" w:rsidRDefault="00B95D5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Ustanovení tohoto článku se uplatní též na oznámení Banky Klientovi o výši pohledávky ze Smlouvy, na základě níž Banka poskytla Klientovi úvěr</w:t>
      </w:r>
      <w:r w:rsidRPr="00150D32">
        <w:t>.</w:t>
      </w:r>
    </w:p>
    <w:p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rsidR="00B95D5B" w:rsidRPr="00C04387" w:rsidRDefault="00B95D5B" w:rsidP="00F4789F">
      <w:pPr>
        <w:pStyle w:val="Nadpis1"/>
      </w:pPr>
      <w:r>
        <w:t>Úroky a zdanění</w:t>
      </w:r>
    </w:p>
    <w:p w:rsidR="00B95D5B" w:rsidRDefault="00B95D5B" w:rsidP="00F4789F">
      <w:pPr>
        <w:pStyle w:val="Nadpis2"/>
      </w:pPr>
      <w:r w:rsidRPr="007E06EC">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r w:rsidRPr="00150D32">
        <w:t>.</w:t>
      </w:r>
    </w:p>
    <w:p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končí dnem předcházejícím dni jejich výběru nebo převodu, u vkladových Účtů pak dnem </w:t>
      </w:r>
      <w:r w:rsidRPr="007E06EC">
        <w:lastRenderedPageBreak/>
        <w:t>předcházejícím dni splatnosti vkladu. Banka počítá a připisuje úroky v měně Účtu. Úroky z kreditního zůstatku na Účtu jsou splatné vždy poslední den kalendářního měsíce, za který se hradí</w:t>
      </w:r>
      <w:r w:rsidRPr="00150D32">
        <w:t>.</w:t>
      </w:r>
    </w:p>
    <w:p w:rsidR="007563FD" w:rsidRDefault="007563FD" w:rsidP="00F4789F">
      <w:pPr>
        <w:pStyle w:val="Nadpis2"/>
      </w:pPr>
      <w:r w:rsidRPr="007E06EC">
        <w:rPr>
          <w:b/>
        </w:rPr>
        <w:t xml:space="preserve">Úročení debetního zůstatku. </w:t>
      </w:r>
      <w:r w:rsidRPr="007E06EC">
        <w:t>Úročení debetního zůstatku na Účtu počíná dnem vzniku debetu a končí dnem předcházejícím dni jeho vyrovnání. Úroky z povoleného debetního zůstatku na Účtu jsou splatné vždy poslední den kalendářního měsíce, za který se hradí</w:t>
      </w:r>
      <w:r w:rsidRPr="00150D32">
        <w:t>.</w:t>
      </w:r>
    </w:p>
    <w:p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rsidR="007563FD" w:rsidRPr="00C04387" w:rsidRDefault="007563FD" w:rsidP="00F4789F">
      <w:pPr>
        <w:pStyle w:val="Nadpis1"/>
      </w:pPr>
      <w:r>
        <w:t>Platební služby</w:t>
      </w:r>
    </w:p>
    <w:p w:rsidR="007563FD" w:rsidRDefault="007563FD" w:rsidP="00F4789F">
      <w:pPr>
        <w:pStyle w:val="Nadpis2"/>
      </w:pPr>
      <w:r w:rsidRPr="007E06EC">
        <w:rPr>
          <w:b/>
        </w:rPr>
        <w:t>Informační povinnosti Banky.</w:t>
      </w:r>
      <w:r w:rsidRPr="007E06EC">
        <w:t xml:space="preserve"> </w:t>
      </w:r>
      <w:bookmarkStart w:id="2" w:name="_DV_M174"/>
      <w:bookmarkEnd w:id="2"/>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rsidR="007563FD" w:rsidRPr="00C04387" w:rsidRDefault="007563FD" w:rsidP="00F4789F">
      <w:pPr>
        <w:pStyle w:val="Nadpis1"/>
      </w:pPr>
      <w:r>
        <w:t>Ukončení smlouvy o platebních službách</w:t>
      </w:r>
    </w:p>
    <w:p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rsidR="006E4DA1" w:rsidRPr="00C04387" w:rsidRDefault="006E4DA1" w:rsidP="00F4789F">
      <w:pPr>
        <w:pStyle w:val="Nadpis1"/>
      </w:pPr>
      <w:r>
        <w:t>Dokumentární platby a záruky</w:t>
      </w:r>
    </w:p>
    <w:p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rsidR="006E4DA1" w:rsidRDefault="006E4DA1" w:rsidP="00F4789F">
      <w:pPr>
        <w:pStyle w:val="Nadpis2"/>
      </w:pPr>
      <w:r w:rsidRPr="007E06EC">
        <w:t>Za správnost instrukcí uvedených v příkazu zodpovídá Klient</w:t>
      </w:r>
      <w:r w:rsidRPr="00150D32">
        <w:t>.</w:t>
      </w:r>
    </w:p>
    <w:p w:rsidR="006E4DA1" w:rsidRDefault="006E4DA1" w:rsidP="00F4789F">
      <w:pPr>
        <w:pStyle w:val="Nadpis2"/>
      </w:pPr>
      <w:r w:rsidRPr="007E06EC">
        <w:t>Podpis Klienta uvedený na příkazu ověřuje Banka dle Podpisového vzoru Klienta k Účtu, který Klient na příkazu uvede</w:t>
      </w:r>
      <w:r w:rsidRPr="00150D32">
        <w:t>.</w:t>
      </w:r>
    </w:p>
    <w:p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rsidR="006E4DA1" w:rsidRDefault="006E4DA1" w:rsidP="00F4789F">
      <w:pPr>
        <w:pStyle w:val="Nadpis2"/>
      </w:pPr>
      <w:r w:rsidRPr="007E06EC">
        <w:t>Je-li ve prospěch Klienta vystaven exportní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Pr="00150D32">
        <w:t>.</w:t>
      </w:r>
    </w:p>
    <w:p w:rsidR="006E4DA1" w:rsidRPr="00C04387" w:rsidRDefault="006E4DA1" w:rsidP="00F4789F">
      <w:pPr>
        <w:pStyle w:val="Nadpis1"/>
      </w:pPr>
      <w:r>
        <w:lastRenderedPageBreak/>
        <w:t>Šeky</w:t>
      </w:r>
    </w:p>
    <w:p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rsidR="006E4DA1" w:rsidRPr="00C04387" w:rsidRDefault="006E4DA1" w:rsidP="00F4789F">
      <w:pPr>
        <w:pStyle w:val="Nadpis1"/>
      </w:pPr>
      <w:r>
        <w:t>Transakce a úvěry v cizí měně</w:t>
      </w:r>
    </w:p>
    <w:p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rsidR="006F523B" w:rsidRDefault="006F523B" w:rsidP="00F4789F">
      <w:pPr>
        <w:pStyle w:val="Nadpis2"/>
      </w:pPr>
      <w:r w:rsidRPr="007E06EC">
        <w:t>Přepočet mezi cizími měnami bude proveden přes české koruny postupem uvedeným v článcích 21.1 a 21.2 VOP.</w:t>
      </w:r>
    </w:p>
    <w:p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rsidR="006F523B" w:rsidRPr="00C04387" w:rsidRDefault="006F523B" w:rsidP="00F4789F">
      <w:pPr>
        <w:pStyle w:val="Nadpis1"/>
      </w:pPr>
      <w:r>
        <w:t>Reklamace</w:t>
      </w:r>
    </w:p>
    <w:p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rsidR="006F523B" w:rsidRPr="00C04387" w:rsidRDefault="006F523B" w:rsidP="00F4789F">
      <w:pPr>
        <w:pStyle w:val="Nadpis1"/>
      </w:pPr>
      <w:r>
        <w:t>Ombudsman</w:t>
      </w:r>
    </w:p>
    <w:p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rsidR="006F523B" w:rsidRPr="00C04387" w:rsidRDefault="006F523B" w:rsidP="00F4789F">
      <w:pPr>
        <w:pStyle w:val="Nadpis1"/>
      </w:pPr>
      <w:r>
        <w:t>Ceny bankovních služeb a úhrada nákladů</w:t>
      </w:r>
    </w:p>
    <w:p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nímž jsou Bankovní služby poskytnuty, jinak z jakéhokoli jiného Účtu Klienta vedeného u Banky, a to v termínech určených Bankou. Ceny a další úhrady jsou splatné k poslednímu dni období, za které se účtují, není-li v Sazebníku uvedeno jinak. Ceny se účtují v měně Bankovní služby nebo v měně, ve které je veden Účet, pokud nebude sjednáno jinak</w:t>
      </w:r>
      <w:r w:rsidRPr="00150D32">
        <w:t>.</w:t>
      </w:r>
    </w:p>
    <w:p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rsidR="006F523B" w:rsidRPr="00C04387" w:rsidRDefault="006F523B" w:rsidP="00F4789F">
      <w:pPr>
        <w:pStyle w:val="Nadpis1"/>
      </w:pPr>
      <w:r>
        <w:lastRenderedPageBreak/>
        <w:t>Úhrada pohledávek banky, úroky z prodlení</w:t>
      </w:r>
    </w:p>
    <w:p w:rsidR="006F523B" w:rsidRDefault="006F523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150D32">
        <w:t>.</w:t>
      </w:r>
    </w:p>
    <w:p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rsidR="006F523B" w:rsidRPr="00C04387" w:rsidRDefault="006F523B" w:rsidP="00F4789F">
      <w:pPr>
        <w:pStyle w:val="Nadpis1"/>
      </w:pPr>
      <w:r>
        <w:t>Postoupení a zástava</w:t>
      </w:r>
    </w:p>
    <w:p w:rsidR="006F523B" w:rsidRDefault="006F523B" w:rsidP="00F4789F">
      <w:pPr>
        <w:pStyle w:val="Nadpis2"/>
      </w:pPr>
      <w:r w:rsidRPr="007E06EC">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w:t>
      </w:r>
      <w:r w:rsidRPr="00150D32">
        <w:t>.</w:t>
      </w:r>
    </w:p>
    <w:p w:rsidR="006F523B" w:rsidRDefault="006F523B" w:rsidP="00F4789F">
      <w:pPr>
        <w:pStyle w:val="Nadpis2"/>
      </w:pPr>
      <w:r w:rsidRPr="007E06EC">
        <w:t>Klient souhlasí s tím, že Banka je oprávněna postoupit Smlouvu na třetí osobu</w:t>
      </w:r>
      <w:r w:rsidRPr="00150D32">
        <w:t>.</w:t>
      </w:r>
    </w:p>
    <w:p w:rsidR="006F523B" w:rsidRPr="00C04387" w:rsidRDefault="006F523B" w:rsidP="00F4789F">
      <w:pPr>
        <w:pStyle w:val="Nadpis1"/>
      </w:pPr>
      <w:r>
        <w:t>Pojištění vkladů</w:t>
      </w:r>
    </w:p>
    <w:p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rsidR="006F523B" w:rsidRPr="00C04387" w:rsidRDefault="006F523B" w:rsidP="00F4789F">
      <w:pPr>
        <w:pStyle w:val="Nadpis1"/>
      </w:pPr>
      <w:r>
        <w:t>Bankovní tajemství, ochrana osobních údajů a souhlasy klienta</w:t>
      </w:r>
    </w:p>
    <w:p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rsidR="003431E5" w:rsidRDefault="003431E5" w:rsidP="00F4789F">
      <w:pPr>
        <w:pStyle w:val="Nadpis2"/>
      </w:pPr>
      <w:r w:rsidRPr="007E06EC">
        <w:rPr>
          <w:b/>
        </w:rPr>
        <w:lastRenderedPageBreak/>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rsidR="003431E5" w:rsidRPr="00C04387" w:rsidRDefault="003431E5" w:rsidP="00F4789F">
      <w:pPr>
        <w:pStyle w:val="Nadpis1"/>
      </w:pPr>
      <w:r>
        <w:t>Odpovědnost banky</w:t>
      </w:r>
    </w:p>
    <w:p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rsidR="003431E5" w:rsidRDefault="003431E5" w:rsidP="00F4789F">
      <w:pPr>
        <w:pStyle w:val="Nadpis2"/>
      </w:pPr>
      <w:r w:rsidRPr="007E06EC">
        <w:t>Banka neodpovídá Klientovi za škodu, když:</w:t>
      </w:r>
    </w:p>
    <w:p w:rsidR="003431E5" w:rsidRPr="007E06EC" w:rsidRDefault="003431E5" w:rsidP="00F4789F">
      <w:pPr>
        <w:pStyle w:val="Nadpis3"/>
        <w:numPr>
          <w:ilvl w:val="0"/>
          <w:numId w:val="8"/>
        </w:numPr>
        <w:ind w:left="907" w:hanging="340"/>
      </w:pPr>
      <w:r w:rsidRPr="007E06EC">
        <w:t>škoda byla způsobena protiprávním jednáním Klienta nebo třetí osoby;</w:t>
      </w:r>
    </w:p>
    <w:p w:rsidR="003431E5" w:rsidRPr="007E06EC" w:rsidRDefault="003431E5" w:rsidP="00F4789F">
      <w:pPr>
        <w:pStyle w:val="Nadpis3"/>
      </w:pPr>
      <w:r w:rsidRPr="007E06EC">
        <w:t>škoda byla způsobena porušením povinností osob jednajících za Klienta dle Smlouvy;</w:t>
      </w:r>
    </w:p>
    <w:p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rsidR="003431E5" w:rsidRPr="007E06EC" w:rsidRDefault="003431E5" w:rsidP="00F4789F">
      <w:pPr>
        <w:pStyle w:val="Nadpis3"/>
      </w:pPr>
      <w:r w:rsidRPr="007E06EC">
        <w:t>škoda byla způsobena tím, že Banka jednala v souladu se Smlouvou, nebo tím, že Klient porušil Smlouvu;</w:t>
      </w:r>
    </w:p>
    <w:p w:rsidR="003431E5" w:rsidRPr="007E06EC" w:rsidRDefault="003431E5" w:rsidP="00F4789F">
      <w:pPr>
        <w:pStyle w:val="Nadpis3"/>
      </w:pPr>
      <w:r w:rsidRPr="007E06EC">
        <w:t>škoda byla způsobena jinak než úmyslně nebo z hrubé nedbalosti;</w:t>
      </w:r>
    </w:p>
    <w:p w:rsidR="003431E5" w:rsidRPr="007E06EC" w:rsidRDefault="003431E5" w:rsidP="00F4789F">
      <w:pPr>
        <w:pStyle w:val="Nadpis3"/>
      </w:pPr>
      <w:r w:rsidRPr="007E06EC">
        <w:t>porušení povinnosti Banky bylo způsobeno jednáním Klienta nebo nedostatkem součinnosti ze strany Klienta;</w:t>
      </w:r>
    </w:p>
    <w:p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rsidR="003431E5" w:rsidRPr="00C04387" w:rsidRDefault="003431E5" w:rsidP="00F4789F">
      <w:pPr>
        <w:pStyle w:val="Nadpis1"/>
      </w:pPr>
      <w:r>
        <w:t>Zajištění</w:t>
      </w:r>
    </w:p>
    <w:p w:rsidR="003431E5" w:rsidRDefault="003431E5" w:rsidP="00F4789F">
      <w:pPr>
        <w:pStyle w:val="Nadpis2"/>
      </w:pPr>
      <w:r w:rsidRPr="007E06EC">
        <w:t>V souvislosti s poskytováním Bankovní služby je Banka oprávněna žádat poskytnutí přiměřeného zajištění či dozajištění dluhů Klienta vůči Bance, a to i v průběhu poskytování příslušné Bankovní služby, zejména pak v</w:t>
      </w:r>
      <w:r>
        <w:t> </w:t>
      </w:r>
      <w:r w:rsidRPr="007E06EC">
        <w:t>případě, kdy dojde k výraznému zhoršení finanční situace Klienta či k zásadní změně v jeho právním postavení. Neposkytnutí takovéhoto zajištění či dozajištění může Banka považovat za podstatné porušení Smlouvy s</w:t>
      </w:r>
      <w:r>
        <w:t> </w:t>
      </w:r>
      <w:r w:rsidRPr="007E06EC">
        <w:t>Klientem</w:t>
      </w:r>
      <w:r w:rsidRPr="00150D32">
        <w:t>.</w:t>
      </w:r>
    </w:p>
    <w:p w:rsidR="003431E5" w:rsidRDefault="003431E5" w:rsidP="00F4789F">
      <w:pPr>
        <w:pStyle w:val="Nadpis2"/>
      </w:pPr>
      <w:r w:rsidRPr="007E06EC">
        <w:t>Banka je oprávněna realizovat zajištění za podmínek stanovených příslušnou Smlouvou</w:t>
      </w:r>
      <w:r w:rsidRPr="00150D32">
        <w:t>.</w:t>
      </w:r>
    </w:p>
    <w:p w:rsidR="003431E5" w:rsidRDefault="003431E5" w:rsidP="00F4789F">
      <w:pPr>
        <w:pStyle w:val="Nadpis2"/>
      </w:pPr>
      <w:r w:rsidRPr="007E06EC">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r w:rsidRPr="00150D32">
        <w:t>.</w:t>
      </w:r>
    </w:p>
    <w:p w:rsidR="003431E5" w:rsidRDefault="003431E5" w:rsidP="00F4789F">
      <w:pPr>
        <w:pStyle w:val="Nadpis2"/>
      </w:pPr>
      <w:r w:rsidRPr="007E06EC">
        <w:t>Bez předchozího výslovného písemného souhlasu Banky nepřechází zajišťovaný dluh na nabyvatele předmětu zajištění</w:t>
      </w:r>
      <w:r w:rsidRPr="00150D32">
        <w:t>.</w:t>
      </w:r>
    </w:p>
    <w:p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rsidR="003431E5" w:rsidRPr="00C04387" w:rsidRDefault="003431E5" w:rsidP="00F4789F">
      <w:pPr>
        <w:pStyle w:val="Nadpis1"/>
      </w:pPr>
      <w:r>
        <w:t>Změna smlouvy</w:t>
      </w:r>
    </w:p>
    <w:p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rsidR="003431E5" w:rsidRDefault="003431E5" w:rsidP="00F4789F">
      <w:pPr>
        <w:pStyle w:val="Nadpis2"/>
      </w:pPr>
      <w:r w:rsidRPr="007E06EC">
        <w:rPr>
          <w:b/>
        </w:rPr>
        <w:lastRenderedPageBreak/>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rsidR="005D78DB" w:rsidRPr="007E06EC" w:rsidRDefault="005D78DB" w:rsidP="00F4789F">
      <w:pPr>
        <w:pStyle w:val="Nadpis3"/>
      </w:pPr>
      <w:r w:rsidRPr="007E06EC">
        <w:t>obchodního názvu Bankovní služby, která nemá vliv na práva a povinnosti smluvních stran vyplývající ze Smlouvy,</w:t>
      </w:r>
    </w:p>
    <w:p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rsidR="005D78DB" w:rsidRPr="00C04387" w:rsidRDefault="005D78DB" w:rsidP="00F4789F">
      <w:pPr>
        <w:pStyle w:val="Nadpis1"/>
      </w:pPr>
      <w:r>
        <w:t>Rozhodné právo a řešení sporů</w:t>
      </w:r>
    </w:p>
    <w:p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rsidR="00693DCC" w:rsidRDefault="00693DCC" w:rsidP="00F4789F">
      <w:pPr>
        <w:pStyle w:val="Nadpis2"/>
      </w:pPr>
      <w:r w:rsidRPr="007E06EC">
        <w:t>Klient i Banka vynaloží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rsidR="00693DCC" w:rsidRDefault="00693DCC" w:rsidP="00F4789F">
      <w:pPr>
        <w:pStyle w:val="Nadpis2"/>
      </w:pPr>
      <w:r w:rsidRPr="007E06EC">
        <w:lastRenderedPageBreak/>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rsidR="00693DCC" w:rsidRPr="00C04387" w:rsidRDefault="00693DCC" w:rsidP="00F4789F">
      <w:pPr>
        <w:pStyle w:val="Nadpis1"/>
      </w:pPr>
      <w:r>
        <w:t>Přechodná ustanovení</w:t>
      </w:r>
    </w:p>
    <w:p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rsidR="00693DCC" w:rsidRPr="00C04387" w:rsidRDefault="00693DCC" w:rsidP="00F4789F">
      <w:pPr>
        <w:pStyle w:val="Nadpis1"/>
      </w:pPr>
      <w:r>
        <w:t>Oddělitelnost ustanovení</w:t>
      </w:r>
    </w:p>
    <w:p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rsidR="004B6FEE" w:rsidRPr="00C04387" w:rsidRDefault="004B6FEE" w:rsidP="00F4789F">
      <w:pPr>
        <w:pStyle w:val="Nadpis1"/>
      </w:pPr>
      <w:r>
        <w:t>Produkty a služby v novém prostředí KB</w:t>
      </w:r>
    </w:p>
    <w:p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rsidR="004B6FEE" w:rsidRDefault="004B6FEE" w:rsidP="00F4789F">
      <w:pPr>
        <w:pStyle w:val="Nadpis2"/>
      </w:pPr>
      <w:r w:rsidRPr="007E06EC">
        <w:t>Banka a Klient spolu komunikují přednostně elektronicky, a to na Klientem uvedený kontaktní e-mail nebo kontaktní telefon, u kterých Klient potvrdil, že slouží ke komunikaci mezi ním a Bankou, zejména pro zasílání dokumentace a jejích změn a zasílání hesel a kódů, není-li dohodnuto jinak. Ke vzájemné komunikaci slouží také schránka v</w:t>
      </w:r>
      <w:r w:rsidRPr="007E06EC" w:rsidDel="00605B76">
        <w:t xml:space="preserve"> </w:t>
      </w:r>
      <w:r w:rsidRPr="007E06EC">
        <w:t>internetovém bankovnictví KB+.</w:t>
      </w:r>
    </w:p>
    <w:p w:rsidR="004B6FEE" w:rsidRDefault="004B6FEE"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na kontaktní e-mail, u kterého Klient potvrdil, že slouží ke komunikaci mezi ním a Bankou, zejména pro zasílání dokumentace a jejích změn, nebo do schránky v internetovém bankovnictví KB+. Banka může určit dokumenty, které přednostně doručuje Klientovi do schránky v internetovém bankovnictví KB+.“</w:t>
      </w:r>
    </w:p>
    <w:p w:rsidR="004B6FEE" w:rsidRPr="004B6FEE" w:rsidRDefault="004B6FEE" w:rsidP="0054163C">
      <w:pPr>
        <w:ind w:left="567"/>
      </w:pPr>
      <w:r w:rsidRPr="007E06EC">
        <w:rPr>
          <w:rFonts w:cs="Arial"/>
          <w:szCs w:val="18"/>
        </w:rPr>
        <w:t>Odkazují-li VOP na článek 8.4 VOP, použije se přiměřeně znění tohoto článku 35.3.</w:t>
      </w:r>
    </w:p>
    <w:p w:rsidR="004B6FEE" w:rsidRDefault="004B6FEE" w:rsidP="00F4789F">
      <w:pPr>
        <w:pStyle w:val="Nadpis2"/>
      </w:pPr>
      <w:r w:rsidRPr="00985762">
        <w:t>Pokud z kontextu nevyplývá jinak, platí pro smluvní vztahy dle článku 35.1 při výkladu VOP následující pravidla:</w:t>
      </w:r>
    </w:p>
    <w:p w:rsidR="004B6FEE" w:rsidRPr="00985762" w:rsidRDefault="004B6FEE" w:rsidP="00F4789F">
      <w:pPr>
        <w:pStyle w:val="Nadpis3"/>
        <w:numPr>
          <w:ilvl w:val="0"/>
          <w:numId w:val="12"/>
        </w:numPr>
        <w:ind w:left="907" w:hanging="340"/>
      </w:pPr>
      <w:r w:rsidRPr="00985762">
        <w:t>Sazebníkem se rozumí Ceník produktů a služeb;</w:t>
      </w:r>
    </w:p>
    <w:p w:rsidR="004B6FEE" w:rsidRPr="00985762" w:rsidRDefault="004B6FEE" w:rsidP="00F4789F">
      <w:pPr>
        <w:pStyle w:val="Nadpis3"/>
      </w:pPr>
      <w:r w:rsidRPr="00985762">
        <w:t>Oznámením o provádění platebního styku se rozumí Pravidla provádění plateb;</w:t>
      </w:r>
    </w:p>
    <w:p w:rsidR="004B6FEE" w:rsidRPr="00985762" w:rsidRDefault="004B6FEE" w:rsidP="00F4789F">
      <w:pPr>
        <w:pStyle w:val="Nadpis3"/>
      </w:pPr>
      <w:r w:rsidRPr="00985762">
        <w:t>Smlouvou se rozumí také Rámcová smlouva o produktech a službách;</w:t>
      </w:r>
    </w:p>
    <w:p w:rsidR="003431E5" w:rsidRDefault="004B6FEE" w:rsidP="00F4789F">
      <w:pPr>
        <w:pStyle w:val="Nadpis3"/>
      </w:pPr>
      <w:r w:rsidRPr="00985762">
        <w:t>Internetovým bankovnictvím se rozumí internetové bankovnictví KB+.</w:t>
      </w:r>
    </w:p>
    <w:p w:rsidR="004B6FEE" w:rsidRDefault="004B6FEE" w:rsidP="00F4789F">
      <w:pPr>
        <w:pStyle w:val="Nadpis2"/>
      </w:pPr>
      <w:r w:rsidRPr="00985762">
        <w:t>Na smluvní vztahy dle tohoto článku se nepoužijí články 14.3, 15.1 a 15.2 VOP.</w:t>
      </w:r>
    </w:p>
    <w:p w:rsidR="004B6FEE" w:rsidRDefault="004B6FEE"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Takovéto vyhotovení bez záznamu dynamických biometrických dat se při jednání Klienta a Banky považuje za originál podepsaného dokumentu.</w:t>
      </w:r>
    </w:p>
    <w:p w:rsidR="00557FD3" w:rsidRPr="00C04387" w:rsidRDefault="00557FD3" w:rsidP="00F4789F">
      <w:pPr>
        <w:pStyle w:val="Nadpis1"/>
      </w:pPr>
      <w:r>
        <w:t>Vymezení pojmů a výkladová pravidla</w:t>
      </w:r>
    </w:p>
    <w:p w:rsidR="00557FD3" w:rsidRDefault="00557FD3" w:rsidP="00F4789F">
      <w:pPr>
        <w:pStyle w:val="Nadpis2"/>
      </w:pPr>
      <w:r w:rsidRPr="00985762">
        <w:t>Pojmy s velkým počátečním písmenem mají ve VOP následující význam:</w:t>
      </w:r>
    </w:p>
    <w:p w:rsidR="00693DCC" w:rsidRDefault="00EA1B38" w:rsidP="00F4789F">
      <w:pPr>
        <w:spacing w:before="60"/>
        <w:ind w:left="567"/>
        <w:rPr>
          <w:rFonts w:cs="Arial"/>
          <w:szCs w:val="18"/>
        </w:rPr>
      </w:pPr>
      <w:r w:rsidRPr="00985762">
        <w:rPr>
          <w:rFonts w:cs="Arial"/>
          <w:szCs w:val="18"/>
        </w:rPr>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rsidR="00EA1B38" w:rsidRDefault="00EA1B38" w:rsidP="00F4789F">
      <w:pPr>
        <w:spacing w:before="60"/>
        <w:ind w:left="567"/>
        <w:rPr>
          <w:rFonts w:cs="Arial"/>
          <w:szCs w:val="18"/>
        </w:rPr>
      </w:pPr>
      <w:r w:rsidRPr="00985762">
        <w:rPr>
          <w:rFonts w:cs="Arial"/>
          <w:szCs w:val="18"/>
        </w:rPr>
        <w:lastRenderedPageBreak/>
        <w:t>„</w:t>
      </w:r>
      <w:r w:rsidRPr="00985762">
        <w:rPr>
          <w:rFonts w:cs="Arial"/>
          <w:b/>
          <w:szCs w:val="18"/>
        </w:rPr>
        <w:t>ČBA</w:t>
      </w:r>
      <w:r w:rsidRPr="00985762">
        <w:rPr>
          <w:rFonts w:cs="Arial"/>
          <w:szCs w:val="18"/>
        </w:rPr>
        <w:t>“ je Česká bankovní asociace.</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26764652, Factoring KB, a. s., IČO: 25148290 a další subjekty, v nichž Banka má či nabude majetkovou účast spočívající v přímém či nepřímém podílu na jejich základním kapitálu.</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BOX.</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rsidR="00EA1B38" w:rsidRPr="00985762" w:rsidRDefault="00EA1B38" w:rsidP="00F4789F">
      <w:pPr>
        <w:spacing w:before="60"/>
        <w:ind w:left="567"/>
        <w:rPr>
          <w:rFonts w:cs="Arial"/>
          <w:szCs w:val="18"/>
        </w:rPr>
      </w:pPr>
      <w:r w:rsidRPr="00985762">
        <w:rPr>
          <w:rFonts w:cs="Arial"/>
          <w:szCs w:val="18"/>
        </w:rPr>
        <w:lastRenderedPageBreak/>
        <w:t>„</w:t>
      </w:r>
      <w:r w:rsidRPr="00985762">
        <w:rPr>
          <w:rFonts w:cs="Arial"/>
          <w:b/>
          <w:szCs w:val="18"/>
        </w:rPr>
        <w:t>Platební Účet</w:t>
      </w:r>
      <w:r w:rsidRPr="00985762">
        <w:rPr>
          <w:rFonts w:cs="Arial"/>
          <w:szCs w:val="18"/>
        </w:rPr>
        <w:t>“ je Účet, který je platebním účtem ve smyslu zákona o platebním styku, tj. účet, který slouží k</w:t>
      </w:r>
      <w:r>
        <w:rPr>
          <w:rFonts w:cs="Arial"/>
          <w:szCs w:val="18"/>
        </w:rPr>
        <w:t> </w:t>
      </w:r>
      <w:r w:rsidRPr="00985762">
        <w:rPr>
          <w:rFonts w:cs="Arial"/>
          <w:szCs w:val="18"/>
        </w:rPr>
        <w:t xml:space="preserve">provádění platebních transakcí. </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(ii) Spojené státy americké, (iii) Evropská unie nebo kterýkoli z jejích stávajících nebo budoucích členských států; nebo (iv) Spojené království Velké Británie a Severního Irska.</w:t>
      </w:r>
    </w:p>
    <w:p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(ii) umístěná nebo organizovaná podle práva země nebo území, které je předmětem komplexních Sankcí; (iii) přímo či nepřímo vlastněná nebo ovládaná, dle definice příslušných Sankcí, osobou uvedenou v bodě (i) nebo (ii) výše; nebo (iv) která je, nebo po uplynutí jakékoli lhůty bude, předmětem Sankcí.</w:t>
      </w:r>
    </w:p>
    <w:p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je Société Générale SA, B 552 120 222, se sídlem 29, Boulevard Haussmann, 75009 Paříž, Francie.</w:t>
      </w:r>
    </w:p>
    <w:p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rsidR="00C06577" w:rsidRPr="00C06577" w:rsidRDefault="00C06577" w:rsidP="00F4789F">
      <w:pPr>
        <w:spacing w:before="60"/>
        <w:ind w:left="567"/>
      </w:pPr>
      <w:r w:rsidRPr="00C06577">
        <w:t>„</w:t>
      </w:r>
      <w:r w:rsidRPr="00C06577">
        <w:rPr>
          <w:b/>
        </w:rPr>
        <w:t>Smlouva</w:t>
      </w:r>
      <w:r w:rsidRPr="00C06577">
        <w:t>“ je smlouva nebo dohoda o poskytnutí Bankovní služby uzavřená mezi Klientem a Bankou.</w:t>
      </w:r>
    </w:p>
    <w:p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s., IČO: 60196769, a Amundi Czech Republic Asset Management, a. s., IČO: 25684558</w:t>
      </w:r>
      <w:r w:rsidRPr="00C06577">
        <w:t>.</w:t>
      </w:r>
    </w:p>
    <w:p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rsidR="00C06577" w:rsidRPr="00985762" w:rsidRDefault="00C06577" w:rsidP="00F4789F">
      <w:pPr>
        <w:spacing w:before="60"/>
        <w:ind w:left="567"/>
        <w:rPr>
          <w:rFonts w:cs="Arial"/>
          <w:szCs w:val="18"/>
        </w:rPr>
      </w:pPr>
      <w:r w:rsidRPr="00985762">
        <w:rPr>
          <w:rFonts w:cs="Arial"/>
          <w:szCs w:val="18"/>
        </w:rPr>
        <w:lastRenderedPageBreak/>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je fyzická nebo právnická osoba, kterou Klient zmocnil plnou mocí, aby jej zastupovala ve vztahu k</w:t>
      </w:r>
      <w:r>
        <w:rPr>
          <w:rFonts w:cs="Arial"/>
          <w:szCs w:val="18"/>
        </w:rPr>
        <w:t> </w:t>
      </w:r>
      <w:r w:rsidRPr="00985762">
        <w:rPr>
          <w:rFonts w:cs="Arial"/>
          <w:szCs w:val="18"/>
        </w:rPr>
        <w:t>Bance v rozsahu stanoveném touto plnou mocí, nebo která je zmocněna zastupovat Klienta na základě právního předpisu nebo rozhodnutí soudu.</w:t>
      </w:r>
    </w:p>
    <w:p w:rsidR="00C06577" w:rsidRDefault="00C06577" w:rsidP="00F4789F">
      <w:pPr>
        <w:pStyle w:val="Nadpis2"/>
      </w:pPr>
      <w:r w:rsidRPr="00985762">
        <w:t>Pokud z kontextu nevyplývá jinak, platí při výkladu VOP a Smlouvy následující pravidla:</w:t>
      </w:r>
    </w:p>
    <w:p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rsidR="00C06577" w:rsidRPr="00985762" w:rsidRDefault="00C06577" w:rsidP="00F4789F">
      <w:pPr>
        <w:pStyle w:val="Nadpis3"/>
      </w:pPr>
      <w:r w:rsidRPr="00985762">
        <w:t>pojmem „příkaz“ se rozumí jak Příkaz, tak případně i jiný pokyn Klienta Bance;</w:t>
      </w:r>
    </w:p>
    <w:p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rsidR="00C06577" w:rsidRPr="00985762" w:rsidRDefault="00C06577" w:rsidP="00F4789F">
      <w:pPr>
        <w:pStyle w:val="Nadpis3"/>
      </w:pPr>
      <w:r w:rsidRPr="00985762">
        <w:t>poštou se rozumí provozovatel poštovních služeb;</w:t>
      </w:r>
    </w:p>
    <w:p w:rsidR="00C06577" w:rsidRPr="00985762" w:rsidRDefault="00C06577" w:rsidP="00F4789F">
      <w:pPr>
        <w:pStyle w:val="Nadpis3"/>
      </w:pPr>
      <w:r w:rsidRPr="00985762">
        <w:t>osobami jednajícími za Klienta se rozumí Zmocněnec, Jednající osoba a Oprávněna osoba;</w:t>
      </w:r>
    </w:p>
    <w:p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rsidR="00C06577" w:rsidRPr="00985762" w:rsidRDefault="00C06577" w:rsidP="00F4789F">
      <w:pPr>
        <w:pStyle w:val="Nadpis3"/>
      </w:pPr>
      <w:r w:rsidRPr="00985762">
        <w:t>přímým bankovnictvím se rozumí internetové bankovnictví a telefonické bankovnictví;</w:t>
      </w:r>
    </w:p>
    <w:p w:rsidR="00C06577" w:rsidRPr="00985762" w:rsidRDefault="00C06577" w:rsidP="00F4789F">
      <w:pPr>
        <w:pStyle w:val="Nadpis3"/>
      </w:pPr>
      <w:r w:rsidRPr="00985762">
        <w:t>trvalým pobytem se rozumí trvalý nebo jiný pobyt;</w:t>
      </w:r>
    </w:p>
    <w:p w:rsidR="00693DCC" w:rsidRDefault="00C06577" w:rsidP="00F4789F">
      <w:pPr>
        <w:pStyle w:val="Nadpis3"/>
      </w:pPr>
      <w:r w:rsidRPr="00985762">
        <w:t>pojmem „Kvalifikovaný klient“ se rozumí Klient spotřebitel.</w:t>
      </w:r>
    </w:p>
    <w:p w:rsidR="00C06577" w:rsidRPr="00C04387" w:rsidRDefault="00C06577" w:rsidP="00F4789F">
      <w:pPr>
        <w:pStyle w:val="Nadpis1"/>
      </w:pPr>
      <w:r>
        <w:t>Zrušovací ustanovení</w:t>
      </w:r>
    </w:p>
    <w:p w:rsidR="00C06577" w:rsidRDefault="00C06577" w:rsidP="00F4789F">
      <w:pPr>
        <w:pStyle w:val="Nadpis2"/>
      </w:pPr>
      <w:r w:rsidRPr="00985762">
        <w:t>Tyto VOP nabývají účinnosti dne 7. 3. 2023.</w:t>
      </w:r>
    </w:p>
    <w:p w:rsidR="00C06577" w:rsidRDefault="00C06577" w:rsidP="00F4789F">
      <w:pPr>
        <w:pStyle w:val="Nadpis2"/>
      </w:pPr>
      <w:r w:rsidRPr="00985762">
        <w:t>Tyto VOP ruší a nahrazují VOP účinné od 28. 10. 2022.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p w:rsidR="00817FDF" w:rsidRPr="00817FDF" w:rsidRDefault="00817FDF" w:rsidP="00817FDF">
      <w:pPr>
        <w:spacing w:after="120"/>
        <w:rPr>
          <w:b/>
          <w:bCs/>
        </w:rPr>
      </w:pPr>
      <w:r>
        <w:br w:type="page"/>
      </w:r>
      <w:r w:rsidRPr="00817FDF">
        <w:rPr>
          <w:b/>
          <w:bCs/>
        </w:rPr>
        <w:lastRenderedPageBreak/>
        <w:t xml:space="preserve">Přehled změn Všeobecných obchodních podmínek účinných ode dne </w:t>
      </w:r>
      <w:r w:rsidR="004A0BD6">
        <w:rPr>
          <w:b/>
          <w:bCs/>
        </w:rPr>
        <w:t>1</w:t>
      </w:r>
      <w:r w:rsidRPr="00817FDF">
        <w:rPr>
          <w:b/>
          <w:bCs/>
        </w:rPr>
        <w:t>.1.202</w:t>
      </w:r>
      <w:r w:rsidR="004A0BD6">
        <w:rPr>
          <w:b/>
          <w:bCs/>
        </w:rPr>
        <w:t>4</w:t>
      </w:r>
    </w:p>
    <w:p w:rsidR="00817FDF" w:rsidRDefault="00817FDF" w:rsidP="00817FDF">
      <w:pPr>
        <w:spacing w:after="120"/>
        <w:rPr>
          <w:rFonts w:cs="Arial"/>
          <w:szCs w:val="18"/>
        </w:rPr>
      </w:pPr>
      <w:r w:rsidRPr="00F47890">
        <w:rPr>
          <w:rFonts w:cs="Arial"/>
          <w:szCs w:val="18"/>
        </w:rPr>
        <w:t xml:space="preserve">Ode dne </w:t>
      </w:r>
      <w:r w:rsidR="004A0BD6">
        <w:rPr>
          <w:rFonts w:cs="Arial"/>
          <w:szCs w:val="18"/>
        </w:rPr>
        <w:t>1</w:t>
      </w:r>
      <w:r w:rsidRPr="00F47890">
        <w:rPr>
          <w:rFonts w:cs="Arial"/>
          <w:szCs w:val="18"/>
        </w:rPr>
        <w:t>.1.202</w:t>
      </w:r>
      <w:r w:rsidR="004A0BD6">
        <w:rPr>
          <w:rFonts w:cs="Arial"/>
          <w:szCs w:val="18"/>
        </w:rPr>
        <w:t>4</w:t>
      </w:r>
      <w:r w:rsidRPr="00F47890">
        <w:rPr>
          <w:rFonts w:cs="Arial"/>
          <w:szCs w:val="18"/>
        </w:rPr>
        <w:t xml:space="preserve"> se za nedílnou součást smlouvy ve smyslu čl. 2.1 Všeobecných obchodních podmínek považují tyto nové Všeobecné obchodní podmínky ve znění níže uvedených změn. Nový text je upraven kurzívou a podtržením, rušený text je upraven kurzívou a přeškrtnutím.</w:t>
      </w:r>
    </w:p>
    <w:p w:rsidR="00817FDF" w:rsidRPr="00F47890" w:rsidRDefault="00817FDF" w:rsidP="00817FDF">
      <w:pPr>
        <w:spacing w:before="60"/>
        <w:rPr>
          <w:rFonts w:cs="Arial"/>
          <w:b/>
          <w:bCs/>
          <w:szCs w:val="18"/>
        </w:rPr>
      </w:pPr>
      <w:r w:rsidRPr="00F47890">
        <w:rPr>
          <w:rFonts w:cs="Arial"/>
          <w:b/>
          <w:bCs/>
          <w:szCs w:val="18"/>
        </w:rPr>
        <w:t>Čl. 1.3 se mění následujícím způsobem:</w:t>
      </w:r>
    </w:p>
    <w:p w:rsidR="00817FDF" w:rsidRPr="00F47890" w:rsidRDefault="00817FDF" w:rsidP="00817FDF">
      <w:pPr>
        <w:spacing w:after="120"/>
        <w:rPr>
          <w:rFonts w:cs="Arial"/>
          <w:szCs w:val="18"/>
        </w:rPr>
      </w:pPr>
      <w:r w:rsidRPr="00F47890">
        <w:rPr>
          <w:rFonts w:cs="Arial"/>
          <w:szCs w:val="18"/>
        </w:rPr>
        <w:t xml:space="preserve">Banka nemá povinnost vstoupit s Klientem do smluvního vztahu nebo </w:t>
      </w:r>
      <w:r w:rsidRPr="00F47890">
        <w:rPr>
          <w:rFonts w:cs="Arial"/>
          <w:i/>
          <w:iCs/>
          <w:szCs w:val="18"/>
          <w:u w:val="single"/>
        </w:rPr>
        <w:t xml:space="preserve">mu </w:t>
      </w:r>
      <w:r w:rsidRPr="00F47890">
        <w:rPr>
          <w:rFonts w:cs="Arial"/>
          <w:szCs w:val="18"/>
        </w:rPr>
        <w:t>poskytnout Bankovní službu. Banka je oprávněna vázat poskytování Bankovních služeb na předložení potřebných dokumentů a informací.</w:t>
      </w:r>
    </w:p>
    <w:p w:rsidR="00817FDF" w:rsidRPr="00F47890" w:rsidRDefault="00817FDF" w:rsidP="00817FDF">
      <w:pPr>
        <w:spacing w:before="60"/>
        <w:rPr>
          <w:rFonts w:cs="Arial"/>
          <w:b/>
          <w:bCs/>
          <w:szCs w:val="18"/>
        </w:rPr>
      </w:pPr>
      <w:r w:rsidRPr="00F47890">
        <w:rPr>
          <w:rFonts w:cs="Arial"/>
          <w:b/>
          <w:bCs/>
          <w:szCs w:val="18"/>
        </w:rPr>
        <w:t>Čl. 2.1 se mění následujícím způsobem:</w:t>
      </w:r>
    </w:p>
    <w:p w:rsidR="00817FDF" w:rsidRPr="00F47890" w:rsidRDefault="00817FDF" w:rsidP="00817FDF">
      <w:pPr>
        <w:spacing w:after="120"/>
        <w:rPr>
          <w:rFonts w:cs="Arial"/>
          <w:szCs w:val="18"/>
        </w:rPr>
      </w:pPr>
      <w:r w:rsidRPr="00F47890">
        <w:rPr>
          <w:rFonts w:cs="Arial"/>
          <w:b/>
          <w:bCs/>
          <w:szCs w:val="18"/>
        </w:rPr>
        <w:t>Výčet Smluvních dokumentů.</w:t>
      </w:r>
      <w:r w:rsidRPr="00F47890">
        <w:rPr>
          <w:rFonts w:cs="Arial"/>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w:t>
      </w:r>
      <w:r w:rsidRPr="00F47890">
        <w:rPr>
          <w:rFonts w:cs="Arial"/>
          <w:i/>
          <w:iCs/>
          <w:strike/>
          <w:szCs w:val="18"/>
        </w:rPr>
        <w:t>mi</w:t>
      </w:r>
      <w:r w:rsidRPr="00F47890">
        <w:rPr>
          <w:rFonts w:cs="Arial"/>
          <w:szCs w:val="18"/>
        </w:rPr>
        <w:t xml:space="preserve"> jsou stanoveny v Sazebníku. VOP, Produktové podmínky pro příslušnou Bankovní službu, Oznámení pro příslušnou Bankovní službu a Sazebník (v rozsahu relevantním k příslušné Bankovní službě) tvoří část obsahu Smlouvy (dále jen „Smluvní dokumenty“).</w:t>
      </w:r>
    </w:p>
    <w:p w:rsidR="00817FDF" w:rsidRPr="00F47890" w:rsidRDefault="00817FDF" w:rsidP="00817FDF">
      <w:pPr>
        <w:spacing w:before="60"/>
        <w:rPr>
          <w:rFonts w:cs="Arial"/>
          <w:b/>
          <w:bCs/>
          <w:szCs w:val="18"/>
        </w:rPr>
      </w:pPr>
      <w:r w:rsidRPr="00F47890">
        <w:rPr>
          <w:rFonts w:cs="Arial"/>
          <w:b/>
          <w:bCs/>
          <w:szCs w:val="18"/>
        </w:rPr>
        <w:t>Čl. 8.1 se mění následujícím způsobem:</w:t>
      </w:r>
    </w:p>
    <w:p w:rsidR="00817FDF" w:rsidRPr="00F47890" w:rsidRDefault="00817FDF" w:rsidP="00817FDF">
      <w:pPr>
        <w:spacing w:after="120"/>
        <w:rPr>
          <w:rFonts w:cs="Arial"/>
          <w:szCs w:val="18"/>
        </w:rPr>
      </w:pPr>
      <w:r w:rsidRPr="00F47890">
        <w:rPr>
          <w:rFonts w:cs="Arial"/>
          <w:b/>
          <w:bCs/>
          <w:szCs w:val="18"/>
        </w:rPr>
        <w:t>Doručování Klientovi.</w:t>
      </w:r>
      <w:r w:rsidRPr="00F47890">
        <w:rPr>
          <w:rFonts w:cs="Arial"/>
          <w:szCs w:val="18"/>
        </w:rPr>
        <w:t xml:space="preserve"> Doručování Zásilek provádí Banka buď na Kontaktní adresu, nebo do příslušné schránky internetového bankovnictví, které si Klient zřídil. Jsou-li k tomu zvláštní důvody, Banka může Klientovi doručit Zásilku i</w:t>
      </w:r>
      <w:r>
        <w:rPr>
          <w:rFonts w:cs="Arial"/>
          <w:szCs w:val="18"/>
        </w:rPr>
        <w:t> </w:t>
      </w:r>
      <w:r w:rsidRPr="00F47890">
        <w:rPr>
          <w:rFonts w:cs="Arial"/>
          <w:szCs w:val="18"/>
        </w:rPr>
        <w:t>jiným obdobným způsobem</w:t>
      </w:r>
      <w:r w:rsidRPr="00F47890">
        <w:rPr>
          <w:rFonts w:cs="Arial"/>
          <w:i/>
          <w:iCs/>
          <w:szCs w:val="18"/>
          <w:u w:val="single"/>
        </w:rPr>
        <w:t>, například do datové schránky Klienta</w:t>
      </w:r>
      <w:r w:rsidRPr="00F47890">
        <w:rPr>
          <w:rFonts w:cs="Arial"/>
          <w:szCs w:val="18"/>
        </w:rPr>
        <w:t>.</w:t>
      </w:r>
    </w:p>
    <w:p w:rsidR="00817FDF" w:rsidRPr="00F47890" w:rsidRDefault="00817FDF" w:rsidP="00817FDF">
      <w:pPr>
        <w:spacing w:before="60"/>
        <w:rPr>
          <w:rFonts w:cs="Arial"/>
          <w:b/>
          <w:bCs/>
          <w:szCs w:val="18"/>
        </w:rPr>
      </w:pPr>
      <w:r w:rsidRPr="00F47890">
        <w:rPr>
          <w:rFonts w:cs="Arial"/>
          <w:b/>
          <w:bCs/>
          <w:szCs w:val="18"/>
        </w:rPr>
        <w:t>Čl. 8.7 se mění následujícím způsobem:</w:t>
      </w:r>
    </w:p>
    <w:p w:rsidR="00817FDF" w:rsidRPr="00F47890" w:rsidRDefault="00817FDF" w:rsidP="00817FDF">
      <w:pPr>
        <w:spacing w:after="120"/>
        <w:rPr>
          <w:rFonts w:cs="Arial"/>
          <w:szCs w:val="18"/>
        </w:rPr>
      </w:pPr>
      <w:r w:rsidRPr="00F47890">
        <w:rPr>
          <w:rFonts w:cs="Arial"/>
          <w:szCs w:val="18"/>
        </w:rPr>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 případě, že takové</w:t>
      </w:r>
      <w:r w:rsidRPr="00F47890">
        <w:rPr>
          <w:rFonts w:cs="Arial"/>
          <w:i/>
          <w:iCs/>
          <w:strike/>
          <w:szCs w:val="18"/>
        </w:rPr>
        <w:t>to</w:t>
      </w:r>
      <w:r w:rsidRPr="00F47890">
        <w:rPr>
          <w:rFonts w:cs="Arial"/>
          <w:szCs w:val="18"/>
        </w:rPr>
        <w:t xml:space="preserve"> Zásilky nebudou vyzvednuty po dobu delší než 6 měsíců, je Banka oprávněna tyto Zásilky zničit.</w:t>
      </w:r>
    </w:p>
    <w:p w:rsidR="00817FDF" w:rsidRPr="00F47890" w:rsidRDefault="00817FDF" w:rsidP="00817FDF">
      <w:pPr>
        <w:spacing w:before="60"/>
        <w:rPr>
          <w:rFonts w:cs="Arial"/>
          <w:b/>
          <w:bCs/>
          <w:szCs w:val="18"/>
        </w:rPr>
      </w:pPr>
      <w:r w:rsidRPr="00F47890">
        <w:rPr>
          <w:rFonts w:cs="Arial"/>
          <w:b/>
          <w:bCs/>
          <w:szCs w:val="18"/>
        </w:rPr>
        <w:t>Čl. 8.9 se mění následujícím způsobem:</w:t>
      </w:r>
    </w:p>
    <w:p w:rsidR="00817FDF" w:rsidRPr="00F47890" w:rsidRDefault="00817FDF" w:rsidP="00817FDF">
      <w:pPr>
        <w:spacing w:after="120"/>
        <w:rPr>
          <w:rFonts w:cs="Arial"/>
          <w:szCs w:val="18"/>
        </w:rPr>
      </w:pPr>
      <w:r w:rsidRPr="00F47890">
        <w:rPr>
          <w:rFonts w:cs="Arial"/>
          <w:szCs w:val="18"/>
        </w:rPr>
        <w:t>Banka neodpovídá za nefunkčnost nebo zneužití komunikačních prostředků (zejm</w:t>
      </w:r>
      <w:r w:rsidRPr="00F47890">
        <w:rPr>
          <w:rFonts w:cs="Arial"/>
          <w:i/>
          <w:iCs/>
          <w:strike/>
          <w:szCs w:val="18"/>
        </w:rPr>
        <w:t>.</w:t>
      </w:r>
      <w:r w:rsidRPr="00F47890">
        <w:rPr>
          <w:rFonts w:cs="Arial"/>
          <w:i/>
          <w:iCs/>
          <w:szCs w:val="18"/>
          <w:u w:val="single"/>
        </w:rPr>
        <w:t>éna</w:t>
      </w:r>
      <w:r w:rsidRPr="00F47890">
        <w:rPr>
          <w:rFonts w:cs="Arial"/>
          <w:szCs w:val="18"/>
        </w:rPr>
        <w:t xml:space="preserve"> e-mailu) či sítí elektronických komunikací (např. sítě mobilních operátorů, Wi-Fi sítě, pevné připojení k internetu), které slouží pro komunikaci s 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rsidR="00817FDF" w:rsidRPr="00F47890" w:rsidRDefault="00817FDF" w:rsidP="00817FDF">
      <w:pPr>
        <w:spacing w:before="60"/>
        <w:rPr>
          <w:rFonts w:cs="Arial"/>
          <w:b/>
          <w:bCs/>
          <w:szCs w:val="18"/>
        </w:rPr>
      </w:pPr>
      <w:r w:rsidRPr="00F47890">
        <w:rPr>
          <w:rFonts w:cs="Arial"/>
          <w:b/>
          <w:bCs/>
          <w:szCs w:val="18"/>
        </w:rPr>
        <w:t>Čl. 11.6 se mění následujícím způsobem:</w:t>
      </w:r>
    </w:p>
    <w:p w:rsidR="00817FDF" w:rsidRPr="00F47890" w:rsidRDefault="00817FDF" w:rsidP="00817FDF">
      <w:pPr>
        <w:spacing w:after="120"/>
        <w:rPr>
          <w:rFonts w:cs="Arial"/>
          <w:szCs w:val="18"/>
        </w:rPr>
      </w:pPr>
      <w:r w:rsidRPr="00F47890">
        <w:rPr>
          <w:rFonts w:cs="Arial"/>
          <w:b/>
          <w:bCs/>
          <w:szCs w:val="18"/>
        </w:rPr>
        <w:t>Oznámení o provádění platebního styku.</w:t>
      </w:r>
      <w:r w:rsidRPr="00F47890">
        <w:rPr>
          <w:rFonts w:cs="Arial"/>
          <w:szCs w:val="18"/>
        </w:rPr>
        <w:t xml:space="preserve"> Další podmínky a informace týkající se Účtů a provádění platebního styku, zejména služby zahraničního a tuzemského hotovostního i bezhotovostního platebního styku poskytované na Účtech včetně šeků</w:t>
      </w:r>
      <w:r w:rsidRPr="00F47890">
        <w:rPr>
          <w:rFonts w:cs="Arial"/>
          <w:i/>
          <w:iCs/>
          <w:szCs w:val="18"/>
          <w:u w:val="single"/>
        </w:rPr>
        <w:t>,</w:t>
      </w:r>
      <w:r w:rsidRPr="00F47890">
        <w:rPr>
          <w:rFonts w:cs="Arial"/>
          <w:i/>
          <w:iCs/>
          <w:szCs w:val="18"/>
        </w:rPr>
        <w:t xml:space="preserve"> </w:t>
      </w:r>
      <w:r w:rsidRPr="00F47890">
        <w:rPr>
          <w:rFonts w:cs="Arial"/>
          <w:i/>
          <w:iCs/>
          <w:strike/>
          <w:szCs w:val="18"/>
        </w:rPr>
        <w:t>a</w:t>
      </w:r>
      <w:r w:rsidRPr="00F47890">
        <w:rPr>
          <w:rFonts w:cs="Arial"/>
          <w:strike/>
          <w:szCs w:val="18"/>
        </w:rPr>
        <w:t xml:space="preserve"> </w:t>
      </w:r>
      <w:r w:rsidRPr="00F47890">
        <w:rPr>
          <w:rFonts w:cs="Arial"/>
          <w:szCs w:val="18"/>
        </w:rPr>
        <w:t>lhůty pro provádění platebního styku</w:t>
      </w:r>
      <w:r w:rsidRPr="00F47890">
        <w:rPr>
          <w:rFonts w:cs="Arial"/>
          <w:i/>
          <w:iCs/>
          <w:strike/>
          <w:szCs w:val="18"/>
        </w:rPr>
        <w:t>,</w:t>
      </w:r>
      <w:r w:rsidRPr="00F47890">
        <w:rPr>
          <w:rFonts w:cs="Arial"/>
          <w:szCs w:val="18"/>
        </w:rPr>
        <w:t xml:space="preserve"> </w:t>
      </w:r>
      <w:r w:rsidRPr="00F47890">
        <w:rPr>
          <w:rFonts w:cs="Arial"/>
          <w:i/>
          <w:iCs/>
          <w:szCs w:val="18"/>
          <w:u w:val="single"/>
        </w:rPr>
        <w:t xml:space="preserve">a </w:t>
      </w:r>
      <w:r w:rsidRPr="00F47890">
        <w:rPr>
          <w:rFonts w:cs="Arial"/>
          <w:szCs w:val="18"/>
        </w:rPr>
        <w:t>podmínky platebního styku prováděného prostřednictvím služeb přímého bankovnictví jsou uvedeny v Oznámení o provádění platebního styku.</w:t>
      </w:r>
    </w:p>
    <w:p w:rsidR="00817FDF" w:rsidRPr="00F47890" w:rsidRDefault="00817FDF" w:rsidP="00817FDF">
      <w:pPr>
        <w:spacing w:before="60"/>
        <w:rPr>
          <w:rFonts w:cs="Arial"/>
          <w:b/>
          <w:bCs/>
          <w:szCs w:val="18"/>
        </w:rPr>
      </w:pPr>
      <w:r w:rsidRPr="00F47890">
        <w:rPr>
          <w:rFonts w:cs="Arial"/>
          <w:b/>
          <w:bCs/>
          <w:szCs w:val="18"/>
        </w:rPr>
        <w:t>Čl. 13.2 se mění následujícím způsobem:</w:t>
      </w:r>
    </w:p>
    <w:p w:rsidR="00817FDF" w:rsidRPr="00F47890" w:rsidRDefault="00817FDF" w:rsidP="00817FDF">
      <w:pPr>
        <w:pStyle w:val="Nadpis2"/>
        <w:numPr>
          <w:ilvl w:val="0"/>
          <w:numId w:val="0"/>
        </w:numPr>
        <w:spacing w:before="0" w:after="120"/>
        <w:rPr>
          <w:rFonts w:cs="Arial"/>
          <w:szCs w:val="18"/>
        </w:rPr>
      </w:pPr>
      <w:r w:rsidRPr="00F47890">
        <w:rPr>
          <w:rFonts w:cs="Arial"/>
          <w:b/>
          <w:bCs/>
          <w:szCs w:val="18"/>
        </w:rPr>
        <w:t>Důsledky nepovoleného debetu.</w:t>
      </w:r>
      <w:r w:rsidRPr="00F47890">
        <w:rPr>
          <w:rFonts w:cs="Arial"/>
          <w:szCs w:val="18"/>
        </w:rPr>
        <w:t xml:space="preserve"> </w:t>
      </w:r>
      <w:r w:rsidRPr="00F47890">
        <w:rPr>
          <w:rFonts w:cs="Arial"/>
          <w:i/>
          <w:iCs/>
          <w:szCs w:val="18"/>
          <w:u w:val="single"/>
        </w:rPr>
        <w:t>Nepovoleným debetem se rozumí čerpání více peněžních prostředků, než je zůstatek na Účtu nebo než je limit povoleného debetu na Účtu.</w:t>
      </w:r>
      <w:r w:rsidRPr="00F47890">
        <w:rPr>
          <w:rFonts w:cs="Arial"/>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w:t>
      </w:r>
      <w:r>
        <w:rPr>
          <w:rFonts w:cs="Arial"/>
          <w:szCs w:val="18"/>
        </w:rPr>
        <w:t> </w:t>
      </w:r>
      <w:r w:rsidRPr="00F47890">
        <w:rPr>
          <w:rFonts w:cs="Arial"/>
          <w:szCs w:val="18"/>
        </w:rPr>
        <w:t>dobu trvání nepovoleného debetu na Účtu Klienta je Banka oprávněna zřídit zvláštní (vnitřní) účet pohledávky z</w:t>
      </w:r>
      <w:r>
        <w:rPr>
          <w:rFonts w:cs="Arial"/>
          <w:szCs w:val="18"/>
        </w:rPr>
        <w:t> </w:t>
      </w:r>
      <w:r w:rsidRPr="00F47890">
        <w:rPr>
          <w:rFonts w:cs="Arial"/>
          <w:szCs w:val="18"/>
        </w:rPr>
        <w:t>nepovoleného debetu, na kterém povede pohledávku z nepovoleného debetu, včetně příslušenství.</w:t>
      </w:r>
    </w:p>
    <w:p w:rsidR="00817FDF" w:rsidRPr="00F47890" w:rsidRDefault="00817FDF" w:rsidP="00817FDF">
      <w:pPr>
        <w:spacing w:before="60"/>
        <w:rPr>
          <w:rFonts w:cs="Arial"/>
          <w:b/>
          <w:bCs/>
          <w:szCs w:val="18"/>
        </w:rPr>
      </w:pPr>
      <w:r w:rsidRPr="00F47890">
        <w:rPr>
          <w:rFonts w:cs="Arial"/>
          <w:b/>
          <w:bCs/>
          <w:szCs w:val="18"/>
        </w:rPr>
        <w:t>Čl. 13.6 se mění následujícím způsobem:</w:t>
      </w:r>
    </w:p>
    <w:p w:rsidR="00817FDF" w:rsidRPr="00F47890" w:rsidRDefault="00817FDF" w:rsidP="00817FDF">
      <w:pPr>
        <w:pStyle w:val="Nadpis2"/>
        <w:numPr>
          <w:ilvl w:val="0"/>
          <w:numId w:val="0"/>
        </w:numPr>
        <w:spacing w:before="0" w:after="120"/>
        <w:rPr>
          <w:rFonts w:cs="Arial"/>
          <w:i/>
          <w:iCs/>
          <w:szCs w:val="18"/>
          <w:u w:val="single"/>
        </w:rPr>
      </w:pPr>
      <w:r w:rsidRPr="00F47890">
        <w:rPr>
          <w:rFonts w:cs="Arial"/>
          <w:b/>
          <w:bCs/>
          <w:szCs w:val="18"/>
        </w:rPr>
        <w:t xml:space="preserve">Výrazný nepovolený debet. </w:t>
      </w:r>
      <w:r w:rsidRPr="00F47890">
        <w:rPr>
          <w:rFonts w:cs="Arial"/>
          <w:szCs w:val="18"/>
        </w:rPr>
        <w:t>V případě, že na Účtu dojde k výraznému nepovolenému debetu dle zákona o spotřebitelském úvěru</w:t>
      </w:r>
      <w:r w:rsidRPr="00F47890">
        <w:rPr>
          <w:rFonts w:cs="Arial"/>
          <w:szCs w:val="18"/>
          <w:vertAlign w:val="superscript"/>
        </w:rPr>
        <w:t>12</w:t>
      </w:r>
      <w:r w:rsidRPr="00F47890">
        <w:rPr>
          <w:rFonts w:cs="Arial"/>
          <w:szCs w:val="18"/>
        </w:rPr>
        <w:t xml:space="preserve">trvajícímu déle než jeden měsíc, Banka zašle Klientovi způsobem sjednaným ve Smlouvě informaci vyžadovanou právními předpisy. </w:t>
      </w:r>
      <w:r w:rsidRPr="00F47890">
        <w:rPr>
          <w:rFonts w:cs="Arial"/>
          <w:i/>
          <w:iCs/>
          <w:strike/>
          <w:szCs w:val="18"/>
        </w:rPr>
        <w:t>Banka je dále oprávněna odstoupit od Smlouvy, na základě které je Účet veden, i od Smlouvy, na základě které byl povolený debet poskytnut.</w:t>
      </w:r>
      <w:r w:rsidRPr="00F47890">
        <w:rPr>
          <w:rFonts w:cs="Arial"/>
          <w:szCs w:val="18"/>
        </w:rPr>
        <w:t xml:space="preserve"> </w:t>
      </w:r>
      <w:r w:rsidRPr="00F47890">
        <w:rPr>
          <w:rFonts w:cs="Arial"/>
          <w:i/>
          <w:iCs/>
          <w:szCs w:val="18"/>
          <w:u w:val="single"/>
        </w:rPr>
        <w:t>Výrazný nepovolený debet se považuje za závažné porušení smluvní povinnosti ve smyslu čl. 10.1 VOP.</w:t>
      </w:r>
    </w:p>
    <w:p w:rsidR="00817FDF" w:rsidRPr="00F47890" w:rsidRDefault="00817FDF" w:rsidP="00817FDF">
      <w:pPr>
        <w:spacing w:before="60"/>
        <w:rPr>
          <w:rFonts w:cs="Arial"/>
          <w:b/>
          <w:bCs/>
          <w:szCs w:val="18"/>
        </w:rPr>
      </w:pPr>
      <w:r w:rsidRPr="00F47890">
        <w:rPr>
          <w:rFonts w:cs="Arial"/>
          <w:b/>
          <w:bCs/>
          <w:szCs w:val="18"/>
        </w:rPr>
        <w:t>Čl. 14.5 se mění následujícím způsobem:</w:t>
      </w:r>
    </w:p>
    <w:p w:rsidR="00817FDF" w:rsidRPr="00F47890" w:rsidRDefault="00817FDF" w:rsidP="00817FDF">
      <w:pPr>
        <w:pStyle w:val="Nadpis2"/>
        <w:numPr>
          <w:ilvl w:val="0"/>
          <w:numId w:val="0"/>
        </w:numPr>
        <w:spacing w:before="0" w:after="120"/>
        <w:rPr>
          <w:rFonts w:cs="Arial"/>
          <w:szCs w:val="18"/>
        </w:rPr>
      </w:pPr>
      <w:r w:rsidRPr="00F47890">
        <w:rPr>
          <w:rFonts w:cs="Arial"/>
          <w:szCs w:val="18"/>
        </w:rPr>
        <w:t>Banka je oprávněna omezit nakládání s prostředky na Účtu Klienta v souladu s právními předpisy. Právo na výplatu peněžních prostředků podle zvláštního právního předpisu</w:t>
      </w:r>
      <w:r w:rsidR="00077490" w:rsidRPr="00077490">
        <w:rPr>
          <w:rFonts w:cs="Arial"/>
          <w:szCs w:val="18"/>
          <w:vertAlign w:val="superscript"/>
        </w:rPr>
        <w:t>13</w:t>
      </w:r>
      <w:r w:rsidRPr="00F47890">
        <w:rPr>
          <w:rFonts w:cs="Arial"/>
          <w:szCs w:val="18"/>
        </w:rPr>
        <w:t xml:space="preserve"> z Účtu, ke kterému má Klient omezeno právo nakládat s peněžními prostředky, může uplatnit pouze Klient spotřebitel, a to osobně v Klientově obchodním místě nebo </w:t>
      </w:r>
      <w:r w:rsidRPr="00F47890">
        <w:rPr>
          <w:rFonts w:cs="Arial"/>
          <w:i/>
          <w:iCs/>
          <w:strike/>
          <w:szCs w:val="18"/>
        </w:rPr>
        <w:t>s</w:t>
      </w:r>
      <w:r>
        <w:rPr>
          <w:rFonts w:cs="Arial"/>
          <w:i/>
          <w:iCs/>
          <w:strike/>
          <w:szCs w:val="18"/>
        </w:rPr>
        <w:t> </w:t>
      </w:r>
      <w:r w:rsidRPr="00F47890">
        <w:rPr>
          <w:rFonts w:cs="Arial"/>
          <w:szCs w:val="18"/>
        </w:rPr>
        <w:t>použitím debetní karty poskytnuté k Účtu.</w:t>
      </w:r>
    </w:p>
    <w:p w:rsidR="00817FDF" w:rsidRPr="00F47890" w:rsidRDefault="00817FDF" w:rsidP="00217FB8">
      <w:pPr>
        <w:keepNext/>
        <w:spacing w:before="60"/>
        <w:rPr>
          <w:rFonts w:cs="Arial"/>
          <w:b/>
          <w:bCs/>
          <w:szCs w:val="18"/>
        </w:rPr>
      </w:pPr>
      <w:r w:rsidRPr="00F47890">
        <w:rPr>
          <w:rFonts w:cs="Arial"/>
          <w:b/>
          <w:bCs/>
          <w:szCs w:val="18"/>
        </w:rPr>
        <w:lastRenderedPageBreak/>
        <w:t>Čl. 15.2 se mění následujícím způsobem:</w:t>
      </w:r>
    </w:p>
    <w:p w:rsidR="00817FDF" w:rsidRPr="00F47890" w:rsidRDefault="00817FDF" w:rsidP="00817FDF">
      <w:pPr>
        <w:pStyle w:val="Nadpis2"/>
        <w:numPr>
          <w:ilvl w:val="0"/>
          <w:numId w:val="0"/>
        </w:numPr>
        <w:spacing w:before="0" w:after="120"/>
        <w:rPr>
          <w:rFonts w:cs="Arial"/>
          <w:szCs w:val="18"/>
        </w:rPr>
      </w:pPr>
      <w:r w:rsidRPr="00F47890">
        <w:rPr>
          <w:rFonts w:cs="Arial"/>
          <w:szCs w:val="18"/>
        </w:rPr>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F47890" w:rsidDel="00A23176">
        <w:rPr>
          <w:rFonts w:cs="Arial"/>
          <w:szCs w:val="18"/>
        </w:rPr>
        <w:t xml:space="preserve"> </w:t>
      </w:r>
      <w:r w:rsidRPr="00F47890">
        <w:rPr>
          <w:rFonts w:cs="Arial"/>
          <w:szCs w:val="18"/>
        </w:rPr>
        <w:t xml:space="preserve">Ustanovení tohoto článku se uplatní též na oznámení Banky Klientovi o výši pohledávky ze Smlouvy, na základě </w:t>
      </w:r>
      <w:r w:rsidRPr="00F47890">
        <w:rPr>
          <w:rFonts w:cs="Arial"/>
          <w:i/>
          <w:iCs/>
          <w:strike/>
          <w:szCs w:val="18"/>
        </w:rPr>
        <w:t xml:space="preserve">níž </w:t>
      </w:r>
      <w:r w:rsidRPr="00F47890">
        <w:rPr>
          <w:rFonts w:cs="Arial"/>
          <w:i/>
          <w:iCs/>
          <w:szCs w:val="18"/>
          <w:u w:val="single"/>
        </w:rPr>
        <w:t>které</w:t>
      </w:r>
      <w:r w:rsidRPr="00F47890">
        <w:rPr>
          <w:rFonts w:cs="Arial"/>
          <w:szCs w:val="18"/>
        </w:rPr>
        <w:t xml:space="preserve"> Banka poskytla Klientovi úvěr.</w:t>
      </w:r>
    </w:p>
    <w:p w:rsidR="00817FDF" w:rsidRPr="00F47890" w:rsidRDefault="00817FDF" w:rsidP="00817FDF">
      <w:pPr>
        <w:spacing w:before="60"/>
        <w:rPr>
          <w:rFonts w:cs="Arial"/>
          <w:b/>
          <w:bCs/>
          <w:szCs w:val="18"/>
        </w:rPr>
      </w:pPr>
      <w:r w:rsidRPr="00F47890">
        <w:rPr>
          <w:rFonts w:cs="Arial"/>
          <w:b/>
          <w:bCs/>
          <w:szCs w:val="18"/>
        </w:rPr>
        <w:t>Doplnili jsme nový článek 19.5 tohoto znění:</w:t>
      </w:r>
    </w:p>
    <w:p w:rsidR="00817FDF" w:rsidRPr="00F47890" w:rsidRDefault="00817FDF" w:rsidP="00817FDF">
      <w:pPr>
        <w:pStyle w:val="Nadpis2"/>
        <w:numPr>
          <w:ilvl w:val="0"/>
          <w:numId w:val="0"/>
        </w:numPr>
        <w:spacing w:before="0" w:after="120"/>
        <w:rPr>
          <w:rFonts w:cs="Arial"/>
          <w:i/>
          <w:iCs/>
          <w:szCs w:val="18"/>
          <w:u w:val="single"/>
        </w:rPr>
      </w:pPr>
      <w:r w:rsidRPr="00F47890">
        <w:rPr>
          <w:rFonts w:cs="Arial"/>
          <w:i/>
          <w:iCs/>
          <w:szCs w:val="18"/>
          <w:u w:val="single"/>
        </w:rPr>
        <w:t>Banka je oprávněna oznámit (avizovat) Klientovi vystavení dokumentárního akreditivu v jeho prospěch jinou osobou, případně změnu dokumentárního</w:t>
      </w:r>
      <w:r w:rsidR="00A07A01">
        <w:rPr>
          <w:rFonts w:cs="Arial"/>
          <w:i/>
          <w:iCs/>
          <w:szCs w:val="18"/>
          <w:u w:val="single"/>
        </w:rPr>
        <w:t xml:space="preserve"> </w:t>
      </w:r>
      <w:r w:rsidRPr="00F47890">
        <w:rPr>
          <w:rFonts w:cs="Arial"/>
          <w:i/>
          <w:iCs/>
          <w:szCs w:val="18"/>
          <w:u w:val="single"/>
        </w:rPr>
        <w:t>akreditivu, a tuto Bankovní službu zpoplatnit dle Sazebníku.</w:t>
      </w:r>
    </w:p>
    <w:p w:rsidR="00817FDF" w:rsidRPr="00F47890" w:rsidRDefault="00817FDF" w:rsidP="00817FDF">
      <w:pPr>
        <w:spacing w:before="60"/>
        <w:rPr>
          <w:rFonts w:cs="Arial"/>
          <w:b/>
          <w:bCs/>
          <w:szCs w:val="18"/>
        </w:rPr>
      </w:pPr>
      <w:r w:rsidRPr="00F47890">
        <w:rPr>
          <w:rFonts w:cs="Arial"/>
          <w:b/>
          <w:bCs/>
          <w:szCs w:val="18"/>
        </w:rPr>
        <w:t>Stávající článek 19.5 se mění na článek 19.6 v následujícím znění:</w:t>
      </w:r>
    </w:p>
    <w:p w:rsidR="00817FDF" w:rsidRPr="00F47890" w:rsidRDefault="00817FDF" w:rsidP="00817FDF">
      <w:pPr>
        <w:pStyle w:val="Nadpis2"/>
        <w:numPr>
          <w:ilvl w:val="0"/>
          <w:numId w:val="0"/>
        </w:numPr>
        <w:spacing w:before="0" w:after="120"/>
        <w:ind w:hanging="11"/>
        <w:rPr>
          <w:rFonts w:cs="Arial"/>
          <w:szCs w:val="18"/>
        </w:rPr>
      </w:pPr>
      <w:r w:rsidRPr="00F47890">
        <w:rPr>
          <w:rFonts w:cs="Arial"/>
          <w:szCs w:val="18"/>
        </w:rPr>
        <w:t xml:space="preserve">Je-li ve prospěch Klienta vystaven </w:t>
      </w:r>
      <w:r w:rsidRPr="00F47890">
        <w:rPr>
          <w:rFonts w:cs="Arial"/>
          <w:i/>
          <w:iCs/>
          <w:strike/>
          <w:szCs w:val="18"/>
        </w:rPr>
        <w:t xml:space="preserve">exportní </w:t>
      </w:r>
      <w:r w:rsidRPr="00F47890">
        <w:rPr>
          <w:rFonts w:cs="Arial"/>
          <w:szCs w:val="18"/>
        </w:rPr>
        <w:t>dokumentární akreditiv, je Banka oprávněna ověřit podpis Klienta na průvodním dopise k předkládaným dokumentům obsahujícím číslo účtu, na který má být provedeno plnění z akreditivu, a</w:t>
      </w:r>
      <w:r>
        <w:rPr>
          <w:rFonts w:cs="Arial"/>
          <w:szCs w:val="18"/>
        </w:rPr>
        <w:t> </w:t>
      </w:r>
      <w:r w:rsidRPr="00F47890">
        <w:rPr>
          <w:rFonts w:cs="Arial"/>
          <w:szCs w:val="18"/>
        </w:rPr>
        <w:t>to podle Podpisového vzoru k některému z jeho Účtů u Banky. Pokud podpis Klienta nesouhlasí s Podpisovým vzorem, je Banka oprávněna plnění z akreditivu neprovést a dohodnout s Klientem další postup.</w:t>
      </w:r>
    </w:p>
    <w:p w:rsidR="00817FDF" w:rsidRPr="00F47890" w:rsidRDefault="00817FDF" w:rsidP="00817FDF">
      <w:pPr>
        <w:spacing w:before="60"/>
        <w:rPr>
          <w:rFonts w:cs="Arial"/>
          <w:b/>
          <w:bCs/>
          <w:szCs w:val="18"/>
        </w:rPr>
      </w:pPr>
      <w:r w:rsidRPr="00F47890">
        <w:rPr>
          <w:rFonts w:cs="Arial"/>
          <w:b/>
          <w:bCs/>
          <w:szCs w:val="18"/>
        </w:rPr>
        <w:t>Čl. 25.1 se mění následujícím způsobem:</w:t>
      </w:r>
    </w:p>
    <w:p w:rsidR="00817FDF" w:rsidRPr="00F47890" w:rsidRDefault="00817FDF" w:rsidP="00817FDF">
      <w:pPr>
        <w:spacing w:after="120"/>
        <w:rPr>
          <w:rFonts w:cs="Arial"/>
          <w:szCs w:val="18"/>
        </w:rPr>
      </w:pPr>
      <w:r w:rsidRPr="00F47890">
        <w:rPr>
          <w:rFonts w:cs="Arial"/>
          <w:b/>
          <w:bCs/>
          <w:szCs w:val="18"/>
        </w:rPr>
        <w:t>Započtení.</w:t>
      </w:r>
      <w:r w:rsidRPr="00F47890">
        <w:rPr>
          <w:rFonts w:cs="Arial"/>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rsidRPr="00F47890">
        <w:rPr>
          <w:rFonts w:cs="Arial"/>
          <w:i/>
          <w:iCs/>
          <w:strike/>
          <w:szCs w:val="18"/>
        </w:rPr>
        <w:t xml:space="preserve">, </w:t>
      </w:r>
      <w:r w:rsidRPr="00F47890">
        <w:rPr>
          <w:rFonts w:cs="Arial"/>
          <w:i/>
          <w:iCs/>
          <w:szCs w:val="18"/>
          <w:u w:val="single"/>
        </w:rPr>
        <w:t>nebo</w:t>
      </w:r>
      <w:r w:rsidRPr="00F47890">
        <w:rPr>
          <w:rFonts w:cs="Arial"/>
          <w:szCs w:val="18"/>
        </w:rPr>
        <w:t xml:space="preserve"> které nelze postihnout výkonem rozhodnutí. Za účelem započtení je Banka oprávněna provést konverzi jedné měny do druhé za použití příslušného Kurzu Banky v 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p>
    <w:p w:rsidR="00817FDF" w:rsidRPr="00F47890" w:rsidRDefault="00817FDF" w:rsidP="00817FDF">
      <w:pPr>
        <w:spacing w:before="60"/>
        <w:rPr>
          <w:rFonts w:cs="Arial"/>
          <w:b/>
          <w:bCs/>
          <w:szCs w:val="18"/>
        </w:rPr>
      </w:pPr>
      <w:r w:rsidRPr="00F47890">
        <w:rPr>
          <w:rFonts w:cs="Arial"/>
          <w:b/>
          <w:bCs/>
          <w:szCs w:val="18"/>
        </w:rPr>
        <w:t>Čl. 30.3 se mění následujícím způsobem:</w:t>
      </w:r>
    </w:p>
    <w:p w:rsidR="00817FDF" w:rsidRPr="00F47890" w:rsidRDefault="00817FDF" w:rsidP="00817FDF">
      <w:pPr>
        <w:spacing w:after="120"/>
        <w:rPr>
          <w:rFonts w:cs="Arial"/>
          <w:szCs w:val="18"/>
        </w:rPr>
      </w:pPr>
      <w:r w:rsidRPr="00F47890">
        <w:rPr>
          <w:rFonts w:cs="Arial"/>
          <w:szCs w:val="18"/>
        </w:rPr>
        <w:t>Klient se zavazuje, že ve vztahu k předmětu zajištění, který slouží k zajištění dluhů Klienta vůči Bance, takový předmět zajištění nepřevede, nepostoupí, nezcizí ani jinak neumožní nabytí jakéhokoli</w:t>
      </w:r>
      <w:r w:rsidRPr="00F47890">
        <w:rPr>
          <w:rFonts w:cs="Arial"/>
          <w:i/>
          <w:iCs/>
          <w:strike/>
          <w:szCs w:val="18"/>
        </w:rPr>
        <w:t>v</w:t>
      </w:r>
      <w:r w:rsidRPr="00F47890">
        <w:rPr>
          <w:rFonts w:cs="Arial"/>
          <w:szCs w:val="18"/>
        </w:rPr>
        <w:t xml:space="preserve">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w:t>
      </w:r>
      <w:r w:rsidRPr="00F47890">
        <w:rPr>
          <w:rFonts w:cs="Arial"/>
          <w:i/>
          <w:iCs/>
          <w:strike/>
          <w:szCs w:val="18"/>
        </w:rPr>
        <w:t>v</w:t>
      </w:r>
      <w:r w:rsidRPr="00F47890">
        <w:rPr>
          <w:rFonts w:cs="Arial"/>
          <w:szCs w:val="18"/>
        </w:rPr>
        <w:t xml:space="preserve"> věcného práva k takovému předmětu zajištění třetí osobě ani ho nevyčlení do svěřenského fondu ani ho neposkytne jako jistotu ve prospěch osoby rozdílné od Banky bez předchozího písemného souhlasu Banky.</w:t>
      </w:r>
    </w:p>
    <w:p w:rsidR="00817FDF" w:rsidRPr="00F47890" w:rsidRDefault="00817FDF" w:rsidP="00817FDF">
      <w:pPr>
        <w:rPr>
          <w:rFonts w:cs="Arial"/>
          <w:b/>
          <w:bCs/>
          <w:szCs w:val="18"/>
        </w:rPr>
      </w:pPr>
      <w:r w:rsidRPr="00F47890">
        <w:rPr>
          <w:rFonts w:cs="Arial"/>
          <w:b/>
          <w:bCs/>
          <w:szCs w:val="18"/>
        </w:rPr>
        <w:t xml:space="preserve">Upravili jsme název článku 35 takto: Produkty a služby v novém </w:t>
      </w:r>
      <w:r w:rsidRPr="00F47890">
        <w:rPr>
          <w:rFonts w:cs="Arial"/>
          <w:b/>
          <w:bCs/>
          <w:i/>
          <w:iCs/>
          <w:szCs w:val="18"/>
          <w:u w:val="single"/>
        </w:rPr>
        <w:t>bankovnictví</w:t>
      </w:r>
      <w:r w:rsidRPr="00F47890">
        <w:rPr>
          <w:rFonts w:cs="Arial"/>
          <w:b/>
          <w:bCs/>
          <w:szCs w:val="18"/>
        </w:rPr>
        <w:t xml:space="preserve"> </w:t>
      </w:r>
      <w:r w:rsidRPr="00F47890">
        <w:rPr>
          <w:rFonts w:cs="Arial"/>
          <w:b/>
          <w:bCs/>
          <w:i/>
          <w:iCs/>
          <w:strike/>
          <w:szCs w:val="18"/>
        </w:rPr>
        <w:t>prostředí</w:t>
      </w:r>
      <w:r w:rsidRPr="00F47890">
        <w:rPr>
          <w:rFonts w:cs="Arial"/>
          <w:b/>
          <w:bCs/>
          <w:szCs w:val="18"/>
        </w:rPr>
        <w:t xml:space="preserve"> KB</w:t>
      </w:r>
    </w:p>
    <w:p w:rsidR="00817FDF" w:rsidRPr="00F47890" w:rsidRDefault="00817FDF" w:rsidP="00817FDF">
      <w:pPr>
        <w:spacing w:before="60"/>
        <w:rPr>
          <w:rFonts w:cs="Arial"/>
          <w:b/>
          <w:bCs/>
          <w:szCs w:val="18"/>
        </w:rPr>
      </w:pPr>
      <w:r w:rsidRPr="00F47890">
        <w:rPr>
          <w:rFonts w:cs="Arial"/>
          <w:b/>
          <w:bCs/>
          <w:szCs w:val="18"/>
        </w:rPr>
        <w:t>Čl. 35.3 se mění následujícím způsobem:</w:t>
      </w:r>
    </w:p>
    <w:p w:rsidR="00817FDF" w:rsidRPr="00F47890" w:rsidRDefault="00817FDF" w:rsidP="00817FDF">
      <w:pPr>
        <w:rPr>
          <w:rFonts w:cs="Arial"/>
          <w:szCs w:val="18"/>
        </w:rPr>
      </w:pPr>
      <w:r w:rsidRPr="00F47890">
        <w:rPr>
          <w:rFonts w:cs="Arial"/>
          <w:szCs w:val="18"/>
        </w:rPr>
        <w:t xml:space="preserve">Třetí a čtvrtá věta článku 8.4 VOP Způsob doručování se nahrazují tímto zněním: „Smluvní a jiné dokumenty či jejich změny dle článku 31 VOP doručuje Banka Klientovi </w:t>
      </w:r>
      <w:r w:rsidRPr="00F47890">
        <w:rPr>
          <w:rFonts w:cs="Arial"/>
          <w:i/>
          <w:iCs/>
          <w:szCs w:val="18"/>
          <w:u w:val="single"/>
        </w:rPr>
        <w:t>do schránky v internetovém bankovnictví KB+ nebo</w:t>
      </w:r>
      <w:r w:rsidRPr="00F47890">
        <w:rPr>
          <w:rFonts w:cs="Arial"/>
          <w:szCs w:val="18"/>
        </w:rPr>
        <w:t xml:space="preserve"> na kontaktní e</w:t>
      </w:r>
      <w:r>
        <w:rPr>
          <w:rFonts w:cs="Arial"/>
          <w:szCs w:val="18"/>
        </w:rPr>
        <w:noBreakHyphen/>
      </w:r>
      <w:r w:rsidRPr="00F47890">
        <w:rPr>
          <w:rFonts w:cs="Arial"/>
          <w:szCs w:val="18"/>
        </w:rPr>
        <w:t>mail, u kterého Klient potvrdil, že slouží ke komunikaci mezi ním a Bankou, zejména pro zasílání dokumentace a jejích změn</w:t>
      </w:r>
      <w:r w:rsidRPr="00F47890">
        <w:rPr>
          <w:rFonts w:cs="Arial"/>
          <w:i/>
          <w:iCs/>
          <w:strike/>
          <w:szCs w:val="18"/>
        </w:rPr>
        <w:t>, nebo do schránky v internetovém bankovnictví KB+</w:t>
      </w:r>
      <w:r w:rsidRPr="00F47890">
        <w:rPr>
          <w:rFonts w:cs="Arial"/>
          <w:szCs w:val="18"/>
        </w:rPr>
        <w:t>. Banka může určit dokumenty, které přednostně doručuje Klientovi do schránky v internetovém bankovnictví KB+.“</w:t>
      </w:r>
    </w:p>
    <w:p w:rsidR="00817FDF" w:rsidRPr="00F47890" w:rsidRDefault="00817FDF" w:rsidP="00817FDF">
      <w:pPr>
        <w:spacing w:after="120"/>
        <w:rPr>
          <w:rFonts w:cs="Arial"/>
          <w:b/>
          <w:bCs/>
          <w:szCs w:val="18"/>
        </w:rPr>
      </w:pPr>
      <w:r w:rsidRPr="00F47890">
        <w:rPr>
          <w:rFonts w:cs="Arial"/>
          <w:szCs w:val="18"/>
        </w:rPr>
        <w:t>Odkazují-li VOP na článek 8.4 VOP, použije se přiměřeně znění tohoto článku 35.3.</w:t>
      </w:r>
    </w:p>
    <w:p w:rsidR="00817FDF" w:rsidRPr="00F47890" w:rsidRDefault="00817FDF" w:rsidP="00817FDF">
      <w:pPr>
        <w:spacing w:before="60"/>
        <w:rPr>
          <w:rFonts w:cs="Arial"/>
          <w:b/>
          <w:bCs/>
          <w:szCs w:val="18"/>
        </w:rPr>
      </w:pPr>
      <w:r w:rsidRPr="00F47890">
        <w:rPr>
          <w:rFonts w:cs="Arial"/>
          <w:b/>
          <w:bCs/>
          <w:szCs w:val="18"/>
        </w:rPr>
        <w:t>Čl. 35.4 se mění následujícím způsobem:</w:t>
      </w:r>
    </w:p>
    <w:p w:rsidR="00817FDF" w:rsidRPr="00F47890" w:rsidRDefault="00817FDF" w:rsidP="00817FDF">
      <w:pPr>
        <w:rPr>
          <w:rFonts w:cs="Arial"/>
          <w:szCs w:val="18"/>
        </w:rPr>
      </w:pPr>
      <w:r w:rsidRPr="00F47890">
        <w:rPr>
          <w:rFonts w:cs="Arial"/>
          <w:szCs w:val="18"/>
        </w:rPr>
        <w:t>Pokud z kontextu nevyplývá jinak, platí pro smluvní vztahy dle článku 35.1 při výkladu VOP následující pravidla:</w:t>
      </w:r>
    </w:p>
    <w:p w:rsidR="00817FDF" w:rsidRPr="00F47890" w:rsidRDefault="00817FDF" w:rsidP="00817FDF">
      <w:pPr>
        <w:pStyle w:val="Nadpis3"/>
        <w:numPr>
          <w:ilvl w:val="0"/>
          <w:numId w:val="34"/>
        </w:numPr>
        <w:ind w:left="340" w:hanging="340"/>
      </w:pPr>
      <w:r w:rsidRPr="00F47890">
        <w:t>Sazebníkem se rozumí Ceník produktů a služeb;</w:t>
      </w:r>
    </w:p>
    <w:p w:rsidR="00817FDF" w:rsidRPr="00F47890" w:rsidRDefault="00817FDF" w:rsidP="00817FDF">
      <w:pPr>
        <w:pStyle w:val="Nadpis3"/>
        <w:numPr>
          <w:ilvl w:val="0"/>
          <w:numId w:val="6"/>
        </w:numPr>
        <w:ind w:left="340" w:hanging="340"/>
      </w:pPr>
      <w:r w:rsidRPr="00F47890">
        <w:t>Oznámením o provádění platebního styku se rozumí Pravidla provádění plateb;</w:t>
      </w:r>
    </w:p>
    <w:p w:rsidR="00817FDF" w:rsidRPr="00F47890" w:rsidRDefault="00817FDF" w:rsidP="00817FDF">
      <w:pPr>
        <w:pStyle w:val="Nadpis3"/>
        <w:numPr>
          <w:ilvl w:val="0"/>
          <w:numId w:val="6"/>
        </w:numPr>
        <w:ind w:left="340" w:hanging="340"/>
      </w:pPr>
      <w:r w:rsidRPr="00F47890">
        <w:t>Smlouvou se rozumí také Rámcová smlouva o produktech a službách;</w:t>
      </w:r>
    </w:p>
    <w:p w:rsidR="00817FDF" w:rsidRPr="00F47890" w:rsidRDefault="00817FDF" w:rsidP="00817FDF">
      <w:pPr>
        <w:pStyle w:val="Nadpis3"/>
        <w:numPr>
          <w:ilvl w:val="0"/>
          <w:numId w:val="6"/>
        </w:numPr>
        <w:ind w:left="340" w:hanging="340"/>
      </w:pPr>
      <w:r w:rsidRPr="00F47890">
        <w:t>Internetovým bankovnictvím se rozumí internetové bankovnictví KB+</w:t>
      </w:r>
      <w:r w:rsidRPr="00F47890">
        <w:rPr>
          <w:i/>
          <w:iCs/>
          <w:u w:val="single"/>
        </w:rPr>
        <w:t>;</w:t>
      </w:r>
    </w:p>
    <w:p w:rsidR="00817FDF" w:rsidRPr="00F47890" w:rsidRDefault="00817FDF" w:rsidP="00817FDF">
      <w:pPr>
        <w:pStyle w:val="Nadpis3"/>
        <w:numPr>
          <w:ilvl w:val="0"/>
          <w:numId w:val="6"/>
        </w:numPr>
        <w:spacing w:after="120"/>
        <w:ind w:left="340" w:hanging="340"/>
        <w:rPr>
          <w:i/>
          <w:iCs/>
          <w:u w:val="single"/>
        </w:rPr>
      </w:pPr>
      <w:r w:rsidRPr="00F47890">
        <w:rPr>
          <w:i/>
          <w:iCs/>
          <w:u w:val="single"/>
        </w:rPr>
        <w:t>povoleným debetem se rozumí Kontokorent.</w:t>
      </w:r>
    </w:p>
    <w:p w:rsidR="00817FDF" w:rsidRPr="00F47890" w:rsidRDefault="00817FDF" w:rsidP="00817FDF">
      <w:pPr>
        <w:keepNext/>
        <w:spacing w:before="60"/>
        <w:rPr>
          <w:rFonts w:cs="Arial"/>
          <w:b/>
          <w:bCs/>
          <w:szCs w:val="18"/>
        </w:rPr>
      </w:pPr>
      <w:r w:rsidRPr="00F47890">
        <w:rPr>
          <w:rFonts w:cs="Arial"/>
          <w:b/>
          <w:bCs/>
          <w:szCs w:val="18"/>
        </w:rPr>
        <w:t>Čl. 35.6 se mění následujícím způsobem:</w:t>
      </w:r>
    </w:p>
    <w:p w:rsidR="00817FDF" w:rsidRPr="00F47890" w:rsidRDefault="00817FDF" w:rsidP="00817FDF">
      <w:pPr>
        <w:spacing w:after="120"/>
        <w:rPr>
          <w:rFonts w:cs="Arial"/>
          <w:szCs w:val="18"/>
        </w:rPr>
      </w:pPr>
      <w:r w:rsidRPr="00F47890">
        <w:rPr>
          <w:rFonts w:cs="Arial"/>
          <w:b/>
          <w:bCs/>
          <w:szCs w:val="18"/>
        </w:rPr>
        <w:t>Biometrický podpis.</w:t>
      </w:r>
      <w:r w:rsidRPr="00F47890">
        <w:rPr>
          <w:rFonts w:cs="Arial"/>
          <w:szCs w:val="18"/>
        </w:rPr>
        <w:t xml:space="preserve">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w:t>
      </w:r>
      <w:r w:rsidRPr="00F47890">
        <w:rPr>
          <w:rFonts w:cs="Arial"/>
          <w:i/>
          <w:iCs/>
          <w:strike/>
          <w:szCs w:val="18"/>
        </w:rPr>
        <w:t>to</w:t>
      </w:r>
      <w:r w:rsidRPr="00F47890">
        <w:rPr>
          <w:rFonts w:cs="Arial"/>
          <w:szCs w:val="18"/>
        </w:rPr>
        <w:t xml:space="preserve"> vyhotovení bez záznamu dynamických biometrických dat se při jednání Klienta a Banky považuje za originál podepsaného dokumentu.</w:t>
      </w:r>
    </w:p>
    <w:p w:rsidR="00817FDF" w:rsidRPr="00F47890" w:rsidRDefault="00817FDF" w:rsidP="00217FB8">
      <w:pPr>
        <w:keepNext/>
        <w:spacing w:before="60"/>
        <w:rPr>
          <w:rFonts w:cs="Arial"/>
          <w:b/>
          <w:bCs/>
          <w:szCs w:val="18"/>
        </w:rPr>
      </w:pPr>
      <w:r w:rsidRPr="00F47890">
        <w:rPr>
          <w:rFonts w:cs="Arial"/>
          <w:b/>
          <w:bCs/>
          <w:szCs w:val="18"/>
        </w:rPr>
        <w:lastRenderedPageBreak/>
        <w:t>Ve čl. 36.1</w:t>
      </w:r>
      <w:r w:rsidR="00A07A01">
        <w:rPr>
          <w:rFonts w:cs="Arial"/>
          <w:b/>
          <w:bCs/>
          <w:szCs w:val="18"/>
        </w:rPr>
        <w:t xml:space="preserve"> </w:t>
      </w:r>
      <w:r w:rsidRPr="00F47890">
        <w:rPr>
          <w:rFonts w:cs="Arial"/>
          <w:b/>
          <w:bCs/>
          <w:szCs w:val="18"/>
        </w:rPr>
        <w:t>jsme upravili následující pojmy:</w:t>
      </w:r>
    </w:p>
    <w:p w:rsidR="00817FDF" w:rsidRPr="00F47890" w:rsidRDefault="00817FDF" w:rsidP="00817FDF">
      <w:pPr>
        <w:rPr>
          <w:rFonts w:cs="Arial"/>
          <w:szCs w:val="18"/>
        </w:rPr>
      </w:pPr>
      <w:r w:rsidRPr="00817FDF">
        <w:rPr>
          <w:rFonts w:cs="Arial"/>
          <w:szCs w:val="18"/>
        </w:rPr>
        <w:t>„</w:t>
      </w:r>
      <w:r w:rsidRPr="00F47890">
        <w:rPr>
          <w:rFonts w:cs="Arial"/>
          <w:b/>
          <w:bCs/>
          <w:szCs w:val="18"/>
        </w:rPr>
        <w:t>Kontaktní adresa</w:t>
      </w:r>
      <w:r w:rsidRPr="00817FDF">
        <w:rPr>
          <w:rFonts w:cs="Arial"/>
          <w:szCs w:val="18"/>
        </w:rPr>
        <w:t>“</w:t>
      </w:r>
      <w:r w:rsidRPr="00F47890">
        <w:rPr>
          <w:rFonts w:cs="Arial"/>
          <w:szCs w:val="18"/>
        </w:rPr>
        <w:t xml:space="preserve">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Pr="00F47890">
        <w:rPr>
          <w:rFonts w:cs="Arial"/>
          <w:i/>
          <w:iCs/>
          <w:szCs w:val="18"/>
          <w:u w:val="single"/>
        </w:rPr>
        <w:t>ox</w:t>
      </w:r>
      <w:r w:rsidRPr="00F47890">
        <w:rPr>
          <w:rFonts w:cs="Arial"/>
          <w:i/>
          <w:iCs/>
          <w:strike/>
          <w:szCs w:val="18"/>
        </w:rPr>
        <w:t>OX</w:t>
      </w:r>
      <w:r w:rsidRPr="00F47890">
        <w:rPr>
          <w:rFonts w:cs="Arial"/>
          <w:szCs w:val="18"/>
        </w:rPr>
        <w:t>.</w:t>
      </w:r>
    </w:p>
    <w:p w:rsidR="00817FDF" w:rsidRPr="00F47890" w:rsidRDefault="00817FDF" w:rsidP="00817FDF">
      <w:pPr>
        <w:spacing w:after="120"/>
        <w:rPr>
          <w:rFonts w:cs="Arial"/>
          <w:i/>
          <w:iCs/>
          <w:szCs w:val="18"/>
          <w:u w:val="single"/>
        </w:rPr>
      </w:pPr>
      <w:r w:rsidRPr="00F47890">
        <w:rPr>
          <w:rFonts w:cs="Arial"/>
          <w:szCs w:val="18"/>
        </w:rPr>
        <w:t>„</w:t>
      </w:r>
      <w:r w:rsidRPr="00F47890">
        <w:rPr>
          <w:rFonts w:cs="Arial"/>
          <w:b/>
          <w:bCs/>
          <w:szCs w:val="18"/>
        </w:rPr>
        <w:t>Zmocněnec</w:t>
      </w:r>
      <w:r w:rsidRPr="00F47890">
        <w:rPr>
          <w:rFonts w:cs="Arial"/>
          <w:szCs w:val="18"/>
        </w:rPr>
        <w:t>“ je fyzická nebo právnická osoba, kterou Klient zmocnil plnou mocí, aby jej zastupovala ve vztahu k Bance v rozsahu stanoveném touto plnou mocí, nebo která je zmocněna zastupovat Klienta na základě právního předpisu nebo rozhodnutí soudu</w:t>
      </w:r>
      <w:r w:rsidRPr="00F47890">
        <w:rPr>
          <w:rFonts w:cs="Arial"/>
          <w:i/>
          <w:iCs/>
          <w:szCs w:val="18"/>
        </w:rPr>
        <w:t>.</w:t>
      </w:r>
      <w:r w:rsidRPr="00F47890">
        <w:rPr>
          <w:rFonts w:cs="Arial"/>
          <w:i/>
          <w:iCs/>
          <w:szCs w:val="18"/>
          <w:u w:val="single"/>
        </w:rPr>
        <w:t xml:space="preserve"> Pokud Banka v odůvodněných případech akceptuje pověření zaměstnance Klienta k jednání za Klienta, považuje se takto pověřená osoba za Zmocněnce.</w:t>
      </w:r>
    </w:p>
    <w:p w:rsidR="00817FDF" w:rsidRPr="00F47890" w:rsidRDefault="00817FDF" w:rsidP="00817FDF">
      <w:pPr>
        <w:spacing w:before="60"/>
        <w:rPr>
          <w:rFonts w:cs="Arial"/>
          <w:b/>
          <w:bCs/>
          <w:szCs w:val="18"/>
        </w:rPr>
      </w:pPr>
      <w:r w:rsidRPr="00F47890">
        <w:rPr>
          <w:rFonts w:cs="Arial"/>
          <w:b/>
          <w:bCs/>
          <w:szCs w:val="18"/>
        </w:rPr>
        <w:t>Upravili jsme znění poznámky</w:t>
      </w:r>
      <w:r w:rsidRPr="00817FDF">
        <w:rPr>
          <w:rFonts w:cs="Arial"/>
          <w:b/>
          <w:bCs/>
          <w:szCs w:val="18"/>
          <w:vertAlign w:val="superscript"/>
        </w:rPr>
        <w:t>26</w:t>
      </w:r>
      <w:r w:rsidRPr="00F47890">
        <w:rPr>
          <w:rFonts w:cs="Arial"/>
          <w:b/>
          <w:bCs/>
          <w:szCs w:val="18"/>
        </w:rPr>
        <w:t xml:space="preserve"> následujícím způsobem:</w:t>
      </w:r>
    </w:p>
    <w:p w:rsidR="00817FDF" w:rsidRPr="00F47890" w:rsidRDefault="00817FDF" w:rsidP="00817FDF">
      <w:pPr>
        <w:spacing w:after="120"/>
        <w:rPr>
          <w:rFonts w:cs="Arial"/>
          <w:szCs w:val="18"/>
        </w:rPr>
      </w:pPr>
      <w:r w:rsidRPr="00F47890">
        <w:rPr>
          <w:rFonts w:cs="Arial"/>
          <w:i/>
          <w:iCs/>
          <w:strike/>
          <w:szCs w:val="18"/>
        </w:rPr>
        <w:t>T</w:t>
      </w:r>
      <w:r w:rsidRPr="00F47890">
        <w:rPr>
          <w:rFonts w:cs="Arial"/>
          <w:i/>
          <w:iCs/>
          <w:szCs w:val="18"/>
          <w:u w:val="single"/>
        </w:rPr>
        <w:t>t</w:t>
      </w:r>
      <w:r w:rsidRPr="00F47890">
        <w:rPr>
          <w:rFonts w:cs="Arial"/>
          <w:szCs w:val="18"/>
        </w:rPr>
        <w:t>j. spory týkající se poskytování platebních služeb, nabízení, poskytování nebo zprostředkování spotřebitelského úvěru</w:t>
      </w:r>
      <w:r w:rsidRPr="00F47890">
        <w:rPr>
          <w:rFonts w:cs="Arial"/>
          <w:i/>
          <w:iCs/>
          <w:szCs w:val="18"/>
          <w:u w:val="single"/>
        </w:rPr>
        <w:t>,</w:t>
      </w:r>
      <w:r w:rsidRPr="00F47890">
        <w:rPr>
          <w:rFonts w:cs="Arial"/>
          <w:szCs w:val="18"/>
        </w:rPr>
        <w:t xml:space="preserve"> provedení směnárenského obchodu § 1 odst. 1 z. č. 229/2002 Sb., o finančním arbitrovi, ve znění pozdějších předpisů</w:t>
      </w:r>
    </w:p>
    <w:p w:rsidR="00817FDF" w:rsidRPr="00F47890" w:rsidRDefault="00817FDF" w:rsidP="00817FDF">
      <w:pPr>
        <w:spacing w:before="60"/>
        <w:rPr>
          <w:rFonts w:cs="Arial"/>
          <w:b/>
          <w:bCs/>
          <w:szCs w:val="18"/>
        </w:rPr>
      </w:pPr>
      <w:r w:rsidRPr="00F47890">
        <w:rPr>
          <w:rFonts w:cs="Arial"/>
          <w:b/>
          <w:bCs/>
          <w:szCs w:val="18"/>
        </w:rPr>
        <w:t>Čl. 37.1 se mění následujícím způsobem:</w:t>
      </w:r>
    </w:p>
    <w:p w:rsidR="00817FDF" w:rsidRPr="00F47890" w:rsidRDefault="00817FDF" w:rsidP="00817FDF">
      <w:pPr>
        <w:spacing w:after="120"/>
        <w:rPr>
          <w:rFonts w:cs="Arial"/>
          <w:b/>
          <w:bCs/>
          <w:szCs w:val="18"/>
        </w:rPr>
      </w:pPr>
      <w:r w:rsidRPr="00F47890">
        <w:rPr>
          <w:rFonts w:cs="Arial"/>
          <w:szCs w:val="18"/>
        </w:rPr>
        <w:t xml:space="preserve">Tyto VOP nabývají účinnosti dne </w:t>
      </w:r>
      <w:r w:rsidRPr="00F47890">
        <w:rPr>
          <w:rFonts w:cs="Arial"/>
          <w:i/>
          <w:iCs/>
          <w:strike/>
          <w:szCs w:val="18"/>
        </w:rPr>
        <w:t>7.3.2023</w:t>
      </w:r>
      <w:r w:rsidRPr="00F47890">
        <w:rPr>
          <w:rFonts w:cs="Arial"/>
          <w:i/>
          <w:iCs/>
          <w:szCs w:val="18"/>
        </w:rPr>
        <w:t xml:space="preserve"> </w:t>
      </w:r>
      <w:r w:rsidR="004A0BD6">
        <w:rPr>
          <w:rFonts w:cs="Arial"/>
          <w:i/>
          <w:iCs/>
          <w:szCs w:val="18"/>
          <w:u w:val="single"/>
        </w:rPr>
        <w:t>1</w:t>
      </w:r>
      <w:r w:rsidRPr="00F47890">
        <w:rPr>
          <w:rFonts w:cs="Arial"/>
          <w:i/>
          <w:iCs/>
          <w:szCs w:val="18"/>
          <w:u w:val="single"/>
        </w:rPr>
        <w:t>.1.202</w:t>
      </w:r>
      <w:r w:rsidR="004A0BD6">
        <w:rPr>
          <w:rFonts w:cs="Arial"/>
          <w:i/>
          <w:iCs/>
          <w:szCs w:val="18"/>
          <w:u w:val="single"/>
        </w:rPr>
        <w:t>4</w:t>
      </w:r>
      <w:r w:rsidRPr="00F47890">
        <w:rPr>
          <w:rFonts w:cs="Arial"/>
          <w:szCs w:val="18"/>
          <w:u w:val="single"/>
        </w:rPr>
        <w:t>.</w:t>
      </w:r>
    </w:p>
    <w:p w:rsidR="00817FDF" w:rsidRPr="00F47890" w:rsidRDefault="00817FDF" w:rsidP="00817FDF">
      <w:pPr>
        <w:spacing w:before="60"/>
        <w:rPr>
          <w:rFonts w:cs="Arial"/>
          <w:b/>
          <w:bCs/>
          <w:szCs w:val="18"/>
        </w:rPr>
      </w:pPr>
      <w:r w:rsidRPr="00F47890">
        <w:rPr>
          <w:rFonts w:cs="Arial"/>
          <w:b/>
          <w:bCs/>
          <w:szCs w:val="18"/>
        </w:rPr>
        <w:t>Čl. 37.2 se mění následujícím způsobem:</w:t>
      </w:r>
    </w:p>
    <w:p w:rsidR="00817FDF" w:rsidRPr="00F47890" w:rsidRDefault="00817FDF" w:rsidP="00817FDF">
      <w:pPr>
        <w:rPr>
          <w:rFonts w:cs="Arial"/>
          <w:szCs w:val="18"/>
        </w:rPr>
      </w:pPr>
      <w:r w:rsidRPr="00F47890">
        <w:rPr>
          <w:rFonts w:cs="Arial"/>
          <w:szCs w:val="18"/>
        </w:rPr>
        <w:t xml:space="preserve">Tyto VOP ruší a nahrazují VOP účinné od </w:t>
      </w:r>
      <w:r w:rsidRPr="00F47890">
        <w:rPr>
          <w:rFonts w:cs="Arial"/>
          <w:i/>
          <w:iCs/>
          <w:strike/>
          <w:szCs w:val="18"/>
        </w:rPr>
        <w:t>28.10.2022</w:t>
      </w:r>
      <w:r w:rsidRPr="00F47890">
        <w:rPr>
          <w:rFonts w:cs="Arial"/>
          <w:szCs w:val="18"/>
        </w:rPr>
        <w:t xml:space="preserve"> </w:t>
      </w:r>
      <w:r w:rsidRPr="00F47890">
        <w:rPr>
          <w:rFonts w:cs="Arial"/>
          <w:i/>
          <w:iCs/>
          <w:szCs w:val="18"/>
          <w:u w:val="single"/>
        </w:rPr>
        <w:t>7.3.2023</w:t>
      </w:r>
      <w:r w:rsidRPr="00F47890">
        <w:rPr>
          <w:rFonts w:cs="Arial"/>
          <w:szCs w:val="18"/>
        </w:rPr>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rsidR="0010129B" w:rsidRPr="0070310A" w:rsidRDefault="0010129B" w:rsidP="003D3632">
      <w:pPr>
        <w:rPr>
          <w:lang w:val="en-GB"/>
        </w:rPr>
      </w:pPr>
    </w:p>
    <w:sectPr w:rsidR="0010129B" w:rsidRPr="0070310A" w:rsidSect="00880394">
      <w:headerReference w:type="even" r:id="rId10"/>
      <w:headerReference w:type="default" r:id="rId11"/>
      <w:footerReference w:type="default" r:id="rId12"/>
      <w:headerReference w:type="first" r:id="rId13"/>
      <w:footerReference w:type="first" r:id="rId14"/>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47" w:rsidRDefault="00466947" w:rsidP="00A32584">
      <w:r>
        <w:separator/>
      </w:r>
    </w:p>
  </w:endnote>
  <w:endnote w:type="continuationSeparator" w:id="0">
    <w:p w:rsidR="00466947" w:rsidRDefault="00466947"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31"/>
      <w:gridCol w:w="3808"/>
    </w:tblGrid>
    <w:tr w:rsidR="0036089E" w:rsidRPr="008C2564" w:rsidTr="009A147F">
      <w:tc>
        <w:tcPr>
          <w:tcW w:w="5920" w:type="dxa"/>
          <w:shd w:val="clear" w:color="auto" w:fill="auto"/>
        </w:tcPr>
        <w:p w:rsidR="0036089E" w:rsidRPr="008C2564" w:rsidRDefault="0036089E" w:rsidP="0036089E">
          <w:pPr>
            <w:spacing w:after="0"/>
            <w:rPr>
              <w:rFonts w:cs="Arial"/>
              <w:color w:val="949494"/>
              <w:szCs w:val="18"/>
            </w:rPr>
          </w:pPr>
          <w:bookmarkStart w:id="4" w:name="S_D1_optCJ_4_F"/>
        </w:p>
        <w:p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00902735">
            <w:rPr>
              <w:rFonts w:cs="Arial"/>
              <w:noProof/>
              <w:szCs w:val="18"/>
            </w:rPr>
            <w:t>2</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00902735">
            <w:rPr>
              <w:rFonts w:cs="Arial"/>
              <w:noProof/>
              <w:szCs w:val="18"/>
            </w:rPr>
            <w:t>20</w:t>
          </w:r>
          <w:r w:rsidRPr="00443F7A">
            <w:rPr>
              <w:rFonts w:cs="Arial"/>
              <w:szCs w:val="18"/>
            </w:rPr>
            <w:fldChar w:fldCharType="end"/>
          </w:r>
        </w:p>
        <w:p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7707B9">
            <w:rPr>
              <w:rFonts w:cs="Arial"/>
              <w:color w:val="949494"/>
              <w:sz w:val="12"/>
            </w:rPr>
            <w:t>8</w:t>
          </w:r>
          <w:r w:rsidRPr="008C2564">
            <w:rPr>
              <w:rFonts w:cs="Arial"/>
              <w:color w:val="949494"/>
              <w:sz w:val="12"/>
            </w:rPr>
            <w:t xml:space="preserve">. </w:t>
          </w:r>
          <w:r w:rsidR="007707B9">
            <w:rPr>
              <w:rFonts w:cs="Arial"/>
              <w:color w:val="949494"/>
              <w:sz w:val="12"/>
            </w:rPr>
            <w:t>9</w:t>
          </w:r>
          <w:r w:rsidRPr="008C2564">
            <w:rPr>
              <w:rFonts w:cs="Arial"/>
              <w:color w:val="949494"/>
              <w:sz w:val="12"/>
            </w:rPr>
            <w:t xml:space="preserve">. </w:t>
          </w:r>
          <w:r w:rsidR="008F6D5E" w:rsidRPr="008C2564">
            <w:rPr>
              <w:rFonts w:cs="Arial"/>
              <w:color w:val="949494"/>
              <w:sz w:val="12"/>
            </w:rPr>
            <w:t>2023</w:t>
          </w:r>
        </w:p>
        <w:p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902735">
            <w:rPr>
              <w:rFonts w:cs="Arial"/>
              <w:noProof/>
              <w:color w:val="949494"/>
              <w:sz w:val="12"/>
            </w:rPr>
            <w:t>01.12.2023 8:41</w:t>
          </w:r>
          <w:r w:rsidR="008F6D5E" w:rsidRPr="008C2564">
            <w:rPr>
              <w:rFonts w:cs="Arial"/>
              <w:color w:val="949494"/>
              <w:sz w:val="12"/>
            </w:rPr>
            <w:fldChar w:fldCharType="end"/>
          </w:r>
        </w:p>
      </w:tc>
    </w:tr>
    <w:bookmarkEnd w:id="4"/>
  </w:tbl>
  <w:p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31"/>
      <w:gridCol w:w="3808"/>
    </w:tblGrid>
    <w:tr w:rsidR="00557FD3" w:rsidRPr="008C2564" w:rsidTr="006645CE">
      <w:tc>
        <w:tcPr>
          <w:tcW w:w="5920" w:type="dxa"/>
          <w:shd w:val="clear" w:color="auto" w:fill="auto"/>
        </w:tcPr>
        <w:p w:rsidR="00557FD3" w:rsidRPr="008C2564" w:rsidRDefault="00557FD3" w:rsidP="00557FD3">
          <w:pPr>
            <w:spacing w:after="0"/>
            <w:rPr>
              <w:rFonts w:cs="Arial"/>
              <w:color w:val="949494"/>
              <w:szCs w:val="18"/>
            </w:rPr>
          </w:pPr>
          <w:bookmarkStart w:id="6" w:name="S_D1_optCJ_2_F"/>
        </w:p>
        <w:p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00902735">
            <w:rPr>
              <w:rFonts w:cs="Arial"/>
              <w:noProof/>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00902735">
            <w:rPr>
              <w:rFonts w:cs="Arial"/>
              <w:noProof/>
              <w:szCs w:val="18"/>
            </w:rPr>
            <w:t>20</w:t>
          </w:r>
          <w:r w:rsidRPr="00443F7A">
            <w:rPr>
              <w:rFonts w:cs="Arial"/>
              <w:szCs w:val="18"/>
            </w:rPr>
            <w:fldChar w:fldCharType="end"/>
          </w:r>
        </w:p>
        <w:p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7707B9">
            <w:rPr>
              <w:rFonts w:cs="Arial"/>
              <w:color w:val="949494"/>
              <w:sz w:val="12"/>
            </w:rPr>
            <w:t>8</w:t>
          </w:r>
          <w:r w:rsidRPr="008C2564">
            <w:rPr>
              <w:rFonts w:cs="Arial"/>
              <w:color w:val="949494"/>
              <w:sz w:val="12"/>
            </w:rPr>
            <w:t xml:space="preserve">. </w:t>
          </w:r>
          <w:r w:rsidR="007707B9">
            <w:rPr>
              <w:rFonts w:cs="Arial"/>
              <w:color w:val="949494"/>
              <w:sz w:val="12"/>
            </w:rPr>
            <w:t>9</w:t>
          </w:r>
          <w:r w:rsidRPr="008C2564">
            <w:rPr>
              <w:rFonts w:cs="Arial"/>
              <w:color w:val="949494"/>
              <w:sz w:val="12"/>
            </w:rPr>
            <w:t xml:space="preserve">. </w:t>
          </w:r>
          <w:r w:rsidR="008F6D5E" w:rsidRPr="008C2564">
            <w:rPr>
              <w:rFonts w:cs="Arial"/>
              <w:color w:val="949494"/>
              <w:sz w:val="12"/>
            </w:rPr>
            <w:t>2023</w:t>
          </w:r>
        </w:p>
        <w:p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902735">
            <w:rPr>
              <w:rFonts w:cs="Arial"/>
              <w:noProof/>
              <w:color w:val="949494"/>
              <w:sz w:val="12"/>
            </w:rPr>
            <w:t>01.12.2023 8:41</w:t>
          </w:r>
          <w:r w:rsidR="008F6D5E" w:rsidRPr="008C2564">
            <w:rPr>
              <w:rFonts w:cs="Arial"/>
              <w:color w:val="949494"/>
              <w:sz w:val="12"/>
            </w:rPr>
            <w:fldChar w:fldCharType="end"/>
          </w:r>
        </w:p>
      </w:tc>
    </w:tr>
    <w:bookmarkEnd w:id="6"/>
  </w:tbl>
  <w:p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47" w:rsidRDefault="00466947" w:rsidP="00A32584">
      <w:r>
        <w:separator/>
      </w:r>
    </w:p>
  </w:footnote>
  <w:footnote w:type="continuationSeparator" w:id="0">
    <w:p w:rsidR="00466947" w:rsidRDefault="00466947" w:rsidP="00A32584">
      <w:r>
        <w:continuationSeparator/>
      </w:r>
    </w:p>
  </w:footnote>
  <w:footnote w:id="1">
    <w:p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rsidR="002F558E" w:rsidRPr="00880394" w:rsidRDefault="002F558E" w:rsidP="004550CF">
      <w:pPr>
        <w:pStyle w:val="Textpoznpodarou"/>
      </w:pPr>
      <w:r w:rsidRPr="00880394">
        <w:rPr>
          <w:rStyle w:val="Znakapoznpodarou"/>
        </w:rPr>
        <w:footnoteRef/>
      </w:r>
      <w:r w:rsidRPr="00880394">
        <w:tab/>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rsidR="002F558E" w:rsidRPr="00A4354C" w:rsidRDefault="002F558E" w:rsidP="004550CF">
      <w:pPr>
        <w:pStyle w:val="Textpoznpodarou"/>
        <w:rPr>
          <w:lang w:val="cs-CZ"/>
        </w:rPr>
      </w:pPr>
      <w:r w:rsidRPr="00880394">
        <w:rPr>
          <w:rStyle w:val="Znakapoznpodarou"/>
        </w:rPr>
        <w:footnoteRef/>
      </w:r>
      <w:r w:rsidRPr="00A4354C">
        <w:tab/>
        <w:t>z. č. 40/2009 Sb., trestní zákoník, ve znění pozdějších předpisů</w:t>
      </w:r>
    </w:p>
  </w:footnote>
  <w:footnote w:id="5">
    <w:p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rsidR="00535DF5" w:rsidRPr="00A4354C" w:rsidRDefault="00535DF5" w:rsidP="004550CF">
      <w:pPr>
        <w:pStyle w:val="Textpoznpodarou"/>
      </w:pPr>
      <w:r w:rsidRPr="00A4354C">
        <w:rPr>
          <w:rStyle w:val="Znakapoznpodarou"/>
        </w:rPr>
        <w:footnoteRef/>
      </w:r>
      <w:r w:rsidRPr="00A4354C">
        <w:tab/>
        <w:t>§ 38af a násl. z. č. 21/1992 Sb., o bankách, ve znění pozdějších předpisů</w:t>
      </w:r>
    </w:p>
  </w:footnote>
  <w:footnote w:id="7">
    <w:p w:rsidR="00ED7CCD" w:rsidRPr="00F57DB6" w:rsidRDefault="00ED7CCD" w:rsidP="004550CF">
      <w:pPr>
        <w:pStyle w:val="Textpoznpodarou"/>
      </w:pPr>
      <w:r w:rsidRPr="007767A9">
        <w:rPr>
          <w:rStyle w:val="Znakapoznpodarou"/>
        </w:rPr>
        <w:footnoteRef/>
      </w:r>
      <w:r w:rsidRPr="007767A9">
        <w:tab/>
        <w:t>§ 6 odst. 2 z. č. 297/2016 Sb., o službách vytvářejících důvěru pro elektronické transakce, ve znění pozdějších předpisů</w:t>
      </w:r>
    </w:p>
  </w:footnote>
  <w:footnote w:id="8">
    <w:p w:rsidR="00CF2450" w:rsidRPr="004B4C03" w:rsidRDefault="00CF2450" w:rsidP="004550CF">
      <w:pPr>
        <w:pStyle w:val="Textpoznpodarou"/>
      </w:pPr>
      <w:r w:rsidRPr="004B4C03">
        <w:rPr>
          <w:rStyle w:val="Znakapoznpodarou"/>
        </w:rPr>
        <w:footnoteRef/>
      </w:r>
      <w:r w:rsidRPr="004B4C03">
        <w:tab/>
        <w:t>zejména z. č. 253/2008 Sb., o některých opatřeních proti legalizaci výnosů z trestné činnosti a financování terorismu, ve znění pozdějších předpisů</w:t>
      </w:r>
    </w:p>
  </w:footnote>
  <w:footnote w:id="9">
    <w:p w:rsidR="00CF2450" w:rsidRPr="004B4C03" w:rsidRDefault="00CF2450" w:rsidP="004550CF">
      <w:pPr>
        <w:pStyle w:val="Textpoznpodarou"/>
        <w:rPr>
          <w:lang w:val="cs-CZ"/>
        </w:rPr>
      </w:pPr>
      <w:r w:rsidRPr="004B4C03">
        <w:rPr>
          <w:rStyle w:val="Znakapoznpodarou"/>
        </w:rPr>
        <w:footnoteRef/>
      </w:r>
      <w:r w:rsidRPr="004B4C03">
        <w:tab/>
        <w:t xml:space="preserve">§ 570 odst. </w:t>
      </w:r>
      <w:r w:rsidRPr="004B4C03">
        <w:rPr>
          <w:lang w:val="cs-CZ"/>
        </w:rPr>
        <w:t>1 z.</w:t>
      </w:r>
      <w:r w:rsidRPr="004B4C03">
        <w:t xml:space="preserve"> č. 89/2012, občanský zákoník, ve znění pozdějších předpisů</w:t>
      </w:r>
    </w:p>
  </w:footnote>
  <w:footnote w:id="10">
    <w:p w:rsidR="00734018" w:rsidRPr="004B4C03" w:rsidRDefault="00734018" w:rsidP="004550CF">
      <w:pPr>
        <w:pStyle w:val="Textpoznpodarou"/>
      </w:pPr>
      <w:r w:rsidRPr="004B4C03">
        <w:rPr>
          <w:rStyle w:val="Znakapoznpodarou"/>
        </w:rPr>
        <w:footnoteRef/>
      </w:r>
      <w:r w:rsidRPr="004B4C03">
        <w:tab/>
        <w:t>z. č. 89/2012 Sb., občanský zákoník, ve znění pozdějších předpisů</w:t>
      </w:r>
    </w:p>
  </w:footnote>
  <w:footnote w:id="11">
    <w:p w:rsidR="00734018" w:rsidRPr="004B4C03" w:rsidRDefault="00734018" w:rsidP="004550CF">
      <w:pPr>
        <w:pStyle w:val="Textpoznpodarou"/>
        <w:rPr>
          <w:sz w:val="18"/>
          <w:szCs w:val="18"/>
        </w:rPr>
      </w:pPr>
      <w:r w:rsidRPr="004B4C03">
        <w:rPr>
          <w:rStyle w:val="Znakapoznpodarou"/>
        </w:rPr>
        <w:footnoteRef/>
      </w:r>
      <w:r w:rsidRPr="004B4C03">
        <w:tab/>
        <w:t>z. č. 89/2012 Sb., občanský zákoník, ve znění pozdějších předpisů</w:t>
      </w:r>
    </w:p>
  </w:footnote>
  <w:footnote w:id="12">
    <w:p w:rsidR="00B95D5B" w:rsidRPr="004B4C03" w:rsidRDefault="00B95D5B" w:rsidP="004550CF">
      <w:pPr>
        <w:pStyle w:val="Textpoznpodarou"/>
      </w:pPr>
      <w:r w:rsidRPr="004B4C03">
        <w:rPr>
          <w:rStyle w:val="Znakapoznpodarou"/>
        </w:rPr>
        <w:footnoteRef/>
      </w:r>
      <w:r w:rsidRPr="004B4C03">
        <w:tab/>
        <w:t>z. č. 257/2016 Sb., o spotřebitelském úvěru, ve znění pozdějších předpisů</w:t>
      </w:r>
    </w:p>
  </w:footnote>
  <w:footnote w:id="13">
    <w:p w:rsidR="00B95D5B" w:rsidRPr="004B4C03" w:rsidRDefault="00B95D5B" w:rsidP="004550CF">
      <w:pPr>
        <w:pStyle w:val="Textpoznpodarou"/>
      </w:pPr>
      <w:r w:rsidRPr="004B4C03">
        <w:rPr>
          <w:rStyle w:val="Znakapoznpodarou"/>
        </w:rPr>
        <w:footnoteRef/>
      </w:r>
      <w:r w:rsidRPr="004B4C03">
        <w:tab/>
        <w:t>§ 304b z. č. 99/1963 Sb., občanský soudní řád, ve znění pozdějších předpisů</w:t>
      </w:r>
    </w:p>
  </w:footnote>
  <w:footnote w:id="14">
    <w:p w:rsidR="00B95D5B" w:rsidRPr="004B4C03" w:rsidRDefault="00B95D5B" w:rsidP="004550CF">
      <w:pPr>
        <w:pStyle w:val="Textpoznpodarou"/>
      </w:pPr>
      <w:r w:rsidRPr="004B4C03">
        <w:rPr>
          <w:rStyle w:val="Znakapoznpodarou"/>
        </w:rPr>
        <w:footnoteRef/>
      </w:r>
      <w:r w:rsidRPr="004B4C03">
        <w:tab/>
        <w:t>z. č. 21/1992 Sb., o bankách, ve znění pozdějších předpisů</w:t>
      </w:r>
    </w:p>
  </w:footnote>
  <w:footnote w:id="15">
    <w:p w:rsidR="00B95D5B" w:rsidRPr="004B4C03" w:rsidRDefault="00B95D5B" w:rsidP="004550CF">
      <w:pPr>
        <w:pStyle w:val="Textpoznpodarou"/>
      </w:pPr>
      <w:r w:rsidRPr="004B4C03">
        <w:rPr>
          <w:rStyle w:val="Znakapoznpodarou"/>
        </w:rPr>
        <w:footnoteRef/>
      </w:r>
      <w:r w:rsidRPr="004B4C03">
        <w:tab/>
        <w:t>z. č. 370/2017</w:t>
      </w:r>
      <w:r w:rsidRPr="004B4C03">
        <w:rPr>
          <w:lang w:val="cs-CZ"/>
        </w:rPr>
        <w:t xml:space="preserve"> </w:t>
      </w:r>
      <w:r w:rsidRPr="004B4C03">
        <w:t>Sb., o platebním styku, ve znění pozdějších předpisů</w:t>
      </w:r>
    </w:p>
  </w:footnote>
  <w:footnote w:id="16">
    <w:p w:rsidR="00B95D5B" w:rsidRPr="004B4C03" w:rsidRDefault="00B95D5B" w:rsidP="004550CF">
      <w:pPr>
        <w:pStyle w:val="Textpoznpodarou"/>
      </w:pPr>
      <w:r w:rsidRPr="004B4C03">
        <w:rPr>
          <w:rStyle w:val="Znakapoznpodarou"/>
        </w:rPr>
        <w:footnoteRef/>
      </w:r>
      <w:r w:rsidRPr="004B4C03">
        <w:tab/>
        <w:t>z. č. 186/2016 Sb., o hazardních hrách, ve znění pozdějších předpisů</w:t>
      </w:r>
    </w:p>
  </w:footnote>
  <w:footnote w:id="17">
    <w:p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rsidR="006F523B" w:rsidRPr="004B4C03" w:rsidRDefault="006F523B" w:rsidP="004550CF">
      <w:pPr>
        <w:pStyle w:val="Textpoznpodarou"/>
      </w:pPr>
      <w:r w:rsidRPr="004B4C03">
        <w:rPr>
          <w:rStyle w:val="Znakapoznpodarou"/>
        </w:rPr>
        <w:footnoteRef/>
      </w:r>
      <w:r w:rsidRPr="004B4C03">
        <w:tab/>
        <w:t>např. z. č. 21/1992 Sb., o bankách, ve znění pozdějších předpisů</w:t>
      </w:r>
    </w:p>
  </w:footnote>
  <w:footnote w:id="21">
    <w:p w:rsidR="003431E5" w:rsidRPr="004B4C03" w:rsidRDefault="003431E5" w:rsidP="004550CF">
      <w:pPr>
        <w:pStyle w:val="Textpoznpodarou"/>
        <w:rPr>
          <w:sz w:val="18"/>
        </w:rPr>
      </w:pPr>
      <w:r w:rsidRPr="004B4C03">
        <w:rPr>
          <w:rStyle w:val="Znakapoznpodarou"/>
        </w:rPr>
        <w:footnoteRef/>
      </w:r>
      <w:r w:rsidRPr="004B4C03">
        <w:tab/>
        <w:t>zejména z. č. 21/1992 Sb., o bankách, z. č. 89/2012 Sb., občanský zákoník, z. č. 480/2004 Sb., o některých službách informační společnosti, ve znění pozdějších předpisů</w:t>
      </w:r>
    </w:p>
  </w:footnote>
  <w:footnote w:id="22">
    <w:p w:rsidR="003431E5" w:rsidRPr="004B4C03" w:rsidRDefault="003431E5" w:rsidP="004550CF">
      <w:pPr>
        <w:pStyle w:val="Textpoznpodarou"/>
      </w:pPr>
      <w:r w:rsidRPr="004B4C03">
        <w:rPr>
          <w:rStyle w:val="Znakapoznpodarou"/>
        </w:rPr>
        <w:footnoteRef/>
      </w:r>
      <w:r w:rsidRPr="004B4C03">
        <w:tab/>
        <w:t>z. č. 89/2012 Sb., občanský zákoník, ve znění pozdějších předpisů</w:t>
      </w:r>
    </w:p>
  </w:footnote>
  <w:footnote w:id="23">
    <w:p w:rsidR="005D78DB" w:rsidRPr="004B4C03" w:rsidRDefault="005D78DB" w:rsidP="004550CF">
      <w:pPr>
        <w:pStyle w:val="Textpoznpodarou"/>
      </w:pPr>
      <w:r w:rsidRPr="004B4C03">
        <w:rPr>
          <w:rStyle w:val="Znakapoznpodarou"/>
        </w:rPr>
        <w:footnoteRef/>
      </w:r>
      <w:r w:rsidRPr="004B4C03">
        <w:tab/>
        <w:t>z. č. 89/2012 Sb., občanský zákoník, ve znění pozdějších předpisů</w:t>
      </w:r>
    </w:p>
  </w:footnote>
  <w:footnote w:id="24">
    <w:p w:rsidR="005D78DB" w:rsidRPr="004B4C03" w:rsidRDefault="005D78DB" w:rsidP="004550CF">
      <w:pPr>
        <w:pStyle w:val="Textpoznpodarou"/>
      </w:pPr>
      <w:r w:rsidRPr="004B4C03">
        <w:rPr>
          <w:rStyle w:val="Znakapoznpodarou"/>
        </w:rPr>
        <w:footnoteRef/>
      </w:r>
      <w:r w:rsidRPr="004B4C03">
        <w:tab/>
        <w:t>§ 261 a § 262 odst. 1 z.č. 513/1991 Sb., obchodní zákoník, ve znění pozdějších předpisů</w:t>
      </w:r>
    </w:p>
  </w:footnote>
  <w:footnote w:id="25">
    <w:p w:rsidR="00693DCC" w:rsidRPr="004B4C03" w:rsidRDefault="00693DCC" w:rsidP="004550CF">
      <w:pPr>
        <w:pStyle w:val="Textpoznpodarou"/>
      </w:pPr>
      <w:r w:rsidRPr="004B4C03">
        <w:rPr>
          <w:rStyle w:val="Znakapoznpodarou"/>
        </w:rPr>
        <w:footnoteRef/>
      </w:r>
      <w:r w:rsidRPr="004B4C03">
        <w:tab/>
        <w:t>z. č. 229/2002 Sb., o finančním arbitrovi, ve znění pozdějších předpisů</w:t>
      </w:r>
    </w:p>
  </w:footnote>
  <w:footnote w:id="26">
    <w:p w:rsidR="00693DCC" w:rsidRPr="004B4C03" w:rsidRDefault="00693DCC" w:rsidP="004550CF">
      <w:pPr>
        <w:pStyle w:val="Textpoznpodarou"/>
      </w:pPr>
      <w:r w:rsidRPr="004B4C03">
        <w:rPr>
          <w:rStyle w:val="Znakapoznpodarou"/>
          <w:szCs w:val="20"/>
        </w:rPr>
        <w:footnoteRef/>
      </w:r>
      <w:r w:rsidRPr="004B4C03">
        <w:tab/>
        <w:t>Tj. spory týkající se poskytování platebních služeb, nabízení, poskytování nebo zprostředkování spotřebitelského úvěru provedení směnárenského obchodu § 1 odst. 1 z. č. 229/2002 Sb., o finančním arbitrovi, ve znění pozdějších předpisů</w:t>
      </w:r>
    </w:p>
  </w:footnote>
  <w:footnote w:id="27">
    <w:p w:rsidR="00693DCC" w:rsidRPr="004B4C03" w:rsidRDefault="00693DCC" w:rsidP="004550CF">
      <w:pPr>
        <w:pStyle w:val="Textpoznpodarou"/>
      </w:pPr>
      <w:r w:rsidRPr="004B4C03">
        <w:rPr>
          <w:rStyle w:val="Znakapoznpodarou"/>
          <w:szCs w:val="20"/>
        </w:rPr>
        <w:footnoteRef/>
      </w:r>
      <w:r w:rsidRPr="004B4C03">
        <w:tab/>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9E" w:rsidRDefault="0036089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2050"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CD" w:rsidRPr="000679CD" w:rsidRDefault="000679CD" w:rsidP="000679CD">
    <w:pPr>
      <w:pStyle w:val="Zhlav"/>
      <w:jc w:val="center"/>
      <w:rPr>
        <w:rFonts w:cs="Arial"/>
        <w:color w:val="949494"/>
        <w:sz w:val="14"/>
        <w:szCs w:val="18"/>
      </w:rPr>
    </w:pPr>
    <w:bookmarkStart w:id="3" w:name="S_D1_optCJ_3_F"/>
    <w:r w:rsidRPr="000679CD">
      <w:rPr>
        <w:rFonts w:cs="Arial"/>
        <w:color w:val="949494"/>
        <w:sz w:val="14"/>
        <w:szCs w:val="18"/>
      </w:rPr>
      <w:t>Všeobecné obchodní podmínky</w:t>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80"/>
      <w:gridCol w:w="6859"/>
    </w:tblGrid>
    <w:tr w:rsidR="0055181B" w:rsidTr="00806274">
      <w:tc>
        <w:tcPr>
          <w:tcW w:w="2802" w:type="dxa"/>
          <w:shd w:val="clear" w:color="auto" w:fill="auto"/>
        </w:tcPr>
        <w:p w:rsidR="0055181B" w:rsidRDefault="00902735" w:rsidP="009F35A6">
          <w:pPr>
            <w:pStyle w:val="Zhlav"/>
            <w:tabs>
              <w:tab w:val="clear" w:pos="4536"/>
              <w:tab w:val="clear" w:pos="9072"/>
            </w:tabs>
            <w:spacing w:after="0"/>
          </w:pPr>
          <w:r>
            <w:rPr>
              <w:noProof/>
            </w:rPr>
            <w:drawing>
              <wp:inline distT="0" distB="0" distL="0" distR="0">
                <wp:extent cx="1104900" cy="438150"/>
                <wp:effectExtent l="0" t="0" r="0" b="0"/>
                <wp:docPr id="1" name="obrázek 1" descr="MicrosoftTeam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Teams-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6977" w:type="dxa"/>
          <w:shd w:val="clear" w:color="auto" w:fill="auto"/>
        </w:tcPr>
        <w:p w:rsidR="0055181B" w:rsidRPr="00434273" w:rsidRDefault="0055181B" w:rsidP="00806274">
          <w:pPr>
            <w:pStyle w:val="Zhlav"/>
            <w:tabs>
              <w:tab w:val="clear" w:pos="4536"/>
              <w:tab w:val="clear" w:pos="9072"/>
            </w:tabs>
            <w:spacing w:before="160" w:after="0"/>
            <w:jc w:val="right"/>
            <w:rPr>
              <w:sz w:val="40"/>
              <w:szCs w:val="40"/>
            </w:rPr>
          </w:pPr>
          <w:bookmarkStart w:id="5" w:name="S_D1_optCJ_1_F"/>
          <w:r w:rsidRPr="00434273">
            <w:rPr>
              <w:b/>
              <w:bCs/>
              <w:sz w:val="40"/>
              <w:szCs w:val="40"/>
            </w:rPr>
            <w:t>Všeobecné obchodní podmínky</w:t>
          </w:r>
          <w:bookmarkEnd w:id="5"/>
        </w:p>
      </w:tc>
    </w:tr>
  </w:tbl>
  <w:p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0"/>
  </w:num>
  <w:num w:numId="3">
    <w:abstractNumId w:val="13"/>
  </w:num>
  <w:num w:numId="4">
    <w:abstractNumId w:val="14"/>
  </w:num>
  <w:num w:numId="5">
    <w:abstractNumId w:val="19"/>
  </w:num>
  <w:num w:numId="6">
    <w:abstractNumId w:val="14"/>
    <w:lvlOverride w:ilvl="0">
      <w:startOverride w:val="1"/>
    </w:lvlOverride>
  </w:num>
  <w:num w:numId="7">
    <w:abstractNumId w:val="5"/>
  </w:num>
  <w:num w:numId="8">
    <w:abstractNumId w:val="14"/>
    <w:lvlOverride w:ilvl="0">
      <w:startOverride w:val="1"/>
    </w:lvlOverride>
  </w:num>
  <w:num w:numId="9">
    <w:abstractNumId w:val="17"/>
  </w:num>
  <w:num w:numId="10">
    <w:abstractNumId w:val="14"/>
    <w:lvlOverride w:ilvl="0">
      <w:startOverride w:val="1"/>
    </w:lvlOverride>
  </w:num>
  <w:num w:numId="11">
    <w:abstractNumId w:val="4"/>
  </w:num>
  <w:num w:numId="12">
    <w:abstractNumId w:val="14"/>
    <w:lvlOverride w:ilvl="0">
      <w:startOverride w:val="1"/>
    </w:lvlOverride>
  </w:num>
  <w:num w:numId="13">
    <w:abstractNumId w:val="1"/>
  </w:num>
  <w:num w:numId="14">
    <w:abstractNumId w:val="9"/>
  </w:num>
  <w:num w:numId="15">
    <w:abstractNumId w:val="14"/>
    <w:lvlOverride w:ilvl="0">
      <w:startOverride w:val="1"/>
    </w:lvlOverride>
  </w:num>
  <w:num w:numId="16">
    <w:abstractNumId w:val="7"/>
  </w:num>
  <w:num w:numId="17">
    <w:abstractNumId w:val="6"/>
  </w:num>
  <w:num w:numId="18">
    <w:abstractNumId w:val="7"/>
  </w:num>
  <w:num w:numId="19">
    <w:abstractNumId w:val="11"/>
  </w:num>
  <w:num w:numId="20">
    <w:abstractNumId w:val="8"/>
  </w:num>
  <w:num w:numId="21">
    <w:abstractNumId w:val="14"/>
    <w:lvlOverride w:ilvl="0">
      <w:startOverride w:val="1"/>
    </w:lvlOverride>
  </w:num>
  <w:num w:numId="22">
    <w:abstractNumId w:val="16"/>
  </w:num>
  <w:num w:numId="23">
    <w:abstractNumId w:val="14"/>
    <w:lvlOverride w:ilvl="0">
      <w:startOverride w:val="1"/>
    </w:lvlOverride>
  </w:num>
  <w:num w:numId="24">
    <w:abstractNumId w:val="3"/>
  </w:num>
  <w:num w:numId="25">
    <w:abstractNumId w:val="14"/>
    <w:lvlOverride w:ilvl="0">
      <w:startOverride w:val="1"/>
    </w:lvlOverride>
  </w:num>
  <w:num w:numId="26">
    <w:abstractNumId w:val="18"/>
  </w:num>
  <w:num w:numId="27">
    <w:abstractNumId w:val="14"/>
    <w:lvlOverride w:ilvl="0">
      <w:startOverride w:val="1"/>
    </w:lvlOverride>
  </w:num>
  <w:num w:numId="28">
    <w:abstractNumId w:val="12"/>
  </w:num>
  <w:num w:numId="29">
    <w:abstractNumId w:val="14"/>
    <w:lvlOverride w:ilvl="0">
      <w:startOverride w:val="1"/>
    </w:lvlOverride>
  </w:num>
  <w:num w:numId="30">
    <w:abstractNumId w:val="2"/>
  </w:num>
  <w:num w:numId="31">
    <w:abstractNumId w:val="14"/>
    <w:lvlOverride w:ilvl="0">
      <w:startOverride w:val="1"/>
    </w:lvlOverride>
  </w:num>
  <w:num w:numId="32">
    <w:abstractNumId w:val="15"/>
  </w:num>
  <w:num w:numId="33">
    <w:abstractNumId w:val="14"/>
    <w:lvlOverride w:ilvl="0">
      <w:startOverride w:val="1"/>
    </w:lvlOverride>
  </w:num>
  <w:num w:numId="3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4"/>
    <w:rsid w:val="00015353"/>
    <w:rsid w:val="000158A2"/>
    <w:rsid w:val="00024C3C"/>
    <w:rsid w:val="00025F46"/>
    <w:rsid w:val="00034DF9"/>
    <w:rsid w:val="000679CD"/>
    <w:rsid w:val="00077490"/>
    <w:rsid w:val="0007752A"/>
    <w:rsid w:val="00086E7C"/>
    <w:rsid w:val="000A458C"/>
    <w:rsid w:val="000B1F45"/>
    <w:rsid w:val="000C30C6"/>
    <w:rsid w:val="000D262E"/>
    <w:rsid w:val="000D27B6"/>
    <w:rsid w:val="000E130B"/>
    <w:rsid w:val="0010129B"/>
    <w:rsid w:val="00103938"/>
    <w:rsid w:val="0011080C"/>
    <w:rsid w:val="00123026"/>
    <w:rsid w:val="00135785"/>
    <w:rsid w:val="001418BD"/>
    <w:rsid w:val="00151A3A"/>
    <w:rsid w:val="001527BC"/>
    <w:rsid w:val="00166745"/>
    <w:rsid w:val="00172995"/>
    <w:rsid w:val="00185690"/>
    <w:rsid w:val="0019135A"/>
    <w:rsid w:val="00193EEC"/>
    <w:rsid w:val="0019572D"/>
    <w:rsid w:val="001A03A9"/>
    <w:rsid w:val="001B4442"/>
    <w:rsid w:val="001C12DF"/>
    <w:rsid w:val="001C23B5"/>
    <w:rsid w:val="001C4D08"/>
    <w:rsid w:val="001C6F56"/>
    <w:rsid w:val="0020108F"/>
    <w:rsid w:val="00202E48"/>
    <w:rsid w:val="00204DF4"/>
    <w:rsid w:val="002068D7"/>
    <w:rsid w:val="00217FB8"/>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A755A"/>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66947"/>
    <w:rsid w:val="00475FF9"/>
    <w:rsid w:val="00482E4A"/>
    <w:rsid w:val="0048602C"/>
    <w:rsid w:val="00491129"/>
    <w:rsid w:val="004A0BD6"/>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447"/>
    <w:rsid w:val="0054686E"/>
    <w:rsid w:val="00547ADF"/>
    <w:rsid w:val="0055181B"/>
    <w:rsid w:val="00557FD3"/>
    <w:rsid w:val="00573357"/>
    <w:rsid w:val="00573729"/>
    <w:rsid w:val="005741A8"/>
    <w:rsid w:val="00576171"/>
    <w:rsid w:val="00576B56"/>
    <w:rsid w:val="00582156"/>
    <w:rsid w:val="005A1623"/>
    <w:rsid w:val="005B230C"/>
    <w:rsid w:val="005B400B"/>
    <w:rsid w:val="005C24A1"/>
    <w:rsid w:val="005D2537"/>
    <w:rsid w:val="005D397C"/>
    <w:rsid w:val="005D78DB"/>
    <w:rsid w:val="005E40B1"/>
    <w:rsid w:val="005F2FE6"/>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B46EB"/>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707B9"/>
    <w:rsid w:val="00782128"/>
    <w:rsid w:val="007C1988"/>
    <w:rsid w:val="007C73C7"/>
    <w:rsid w:val="007D1A21"/>
    <w:rsid w:val="007D7AB5"/>
    <w:rsid w:val="007E185D"/>
    <w:rsid w:val="007F2CB3"/>
    <w:rsid w:val="007F634C"/>
    <w:rsid w:val="00806274"/>
    <w:rsid w:val="00810287"/>
    <w:rsid w:val="00817FDF"/>
    <w:rsid w:val="0084242A"/>
    <w:rsid w:val="0087317A"/>
    <w:rsid w:val="00877DBE"/>
    <w:rsid w:val="00880394"/>
    <w:rsid w:val="00882AC5"/>
    <w:rsid w:val="00885F0D"/>
    <w:rsid w:val="00887FDD"/>
    <w:rsid w:val="00891BBD"/>
    <w:rsid w:val="00894BFB"/>
    <w:rsid w:val="008A6D74"/>
    <w:rsid w:val="008B6E31"/>
    <w:rsid w:val="008C2564"/>
    <w:rsid w:val="008C3674"/>
    <w:rsid w:val="008C65D8"/>
    <w:rsid w:val="008D53E9"/>
    <w:rsid w:val="008F6D5E"/>
    <w:rsid w:val="00900E88"/>
    <w:rsid w:val="00902735"/>
    <w:rsid w:val="009154FE"/>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7070"/>
    <w:rsid w:val="00A07A01"/>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30D96"/>
    <w:rsid w:val="00B33511"/>
    <w:rsid w:val="00B44D56"/>
    <w:rsid w:val="00B638CF"/>
    <w:rsid w:val="00B754A7"/>
    <w:rsid w:val="00B82E76"/>
    <w:rsid w:val="00B93058"/>
    <w:rsid w:val="00B9383B"/>
    <w:rsid w:val="00B95D5B"/>
    <w:rsid w:val="00B96358"/>
    <w:rsid w:val="00BA54F2"/>
    <w:rsid w:val="00BB1A57"/>
    <w:rsid w:val="00BB382E"/>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C0BE5"/>
    <w:rsid w:val="00DC4A5F"/>
    <w:rsid w:val="00DD02C0"/>
    <w:rsid w:val="00DD441B"/>
    <w:rsid w:val="00DE05BC"/>
    <w:rsid w:val="00DF6D73"/>
    <w:rsid w:val="00E0283D"/>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81785"/>
    <w:rsid w:val="00F91D39"/>
    <w:rsid w:val="00F92EEC"/>
    <w:rsid w:val="00F94967"/>
    <w:rsid w:val="00F94E59"/>
    <w:rsid w:val="00F96A55"/>
    <w:rsid w:val="00FA32C2"/>
    <w:rsid w:val="00FA6BDD"/>
    <w:rsid w:val="00FA7087"/>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E49203A-0261-45F9-AF2C-F15FFF7D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02735"/>
    <w:pPr>
      <w:spacing w:after="0"/>
    </w:pPr>
    <w:rPr>
      <w:rFonts w:ascii="Segoe UI" w:hAnsi="Segoe UI" w:cs="Segoe UI"/>
      <w:szCs w:val="18"/>
    </w:rPr>
  </w:style>
  <w:style w:type="character" w:customStyle="1" w:styleId="TextbublinyChar">
    <w:name w:val="Text bubliny Char"/>
    <w:basedOn w:val="Standardnpsmoodstavce"/>
    <w:link w:val="Textbubliny"/>
    <w:uiPriority w:val="99"/>
    <w:semiHidden/>
    <w:rsid w:val="0090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VOPKB.dot%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Zalozky_Smlouva>
  <Zalozka Nazev="S_D1_optAJ_1_F" Start="29" End="69"/>
  <Zalozka Nazev="S_D1_optAJ_2_F" Start="356" End="758"/>
  <Zalozka Nazev="S_D1_optAJ_3_F" Start="27" End="67"/>
  <Zalozka Nazev="S_D1_optAJ_4_F" Start="355" End="757"/>
  <Zalozka Nazev="S_D1_optAJ_5_F" Start="89128" End="184741"/>
  <Zalozka Nazev="S_D1_optCJ_1_F" Start="2" End="32"/>
  <Zalozka Nazev="S_D1_optCJ_2_F" Start="0" End="357"/>
  <Zalozka Nazev="S_D1_optCJ_3_F" Start="0" End="30"/>
  <Zalozka Nazev="S_D1_optCJ_4_F" Start="0" End="356"/>
  <Zalozka Nazev="S_D1_optCJ_5_F" Start="0" End="89129"/>
</Zalozky_Smlouva>
</file>

<file path=customXml/item2.xml><?xml version="1.0" encoding="utf-8"?>
<Smlouva>
  <optCj>True</optCj>
  <optAj>False</optAj>
</Smlouv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C71-0471-426C-93ED-8B4DA5D946B8}">
  <ds:schemaRefs/>
</ds:datastoreItem>
</file>

<file path=customXml/itemProps2.xml><?xml version="1.0" encoding="utf-8"?>
<ds:datastoreItem xmlns:ds="http://schemas.openxmlformats.org/officeDocument/2006/customXml" ds:itemID="{1212DF94-DC0F-47D6-8A2E-597C7BC95DDD}">
  <ds:schemaRefs/>
</ds:datastoreItem>
</file>

<file path=customXml/itemProps3.xml><?xml version="1.0" encoding="utf-8"?>
<ds:datastoreItem xmlns:ds="http://schemas.openxmlformats.org/officeDocument/2006/customXml" ds:itemID="{5654D1C0-721C-4B00-B2CF-DF27DB3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VOPKB.dot"</Template>
  <TotalTime>0</TotalTime>
  <Pages>20</Pages>
  <Words>12917</Words>
  <Characters>76212</Characters>
  <Application>Microsoft Office Word</Application>
  <DocSecurity>0</DocSecurity>
  <Lines>635</Lines>
  <Paragraphs>177</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88952</CharactersWithSpaces>
  <SharedDoc>false</SharedDoc>
  <HLinks>
    <vt:vector size="6" baseType="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Voltrova Iveta</dc:creator>
  <cp:keywords/>
  <dc:description/>
  <cp:lastModifiedBy>Zdenka Adámková</cp:lastModifiedBy>
  <cp:revision>2</cp:revision>
  <cp:lastPrinted>2023-12-01T07:41:00Z</cp:lastPrinted>
  <dcterms:created xsi:type="dcterms:W3CDTF">2023-12-01T11:27:00Z</dcterms:created>
  <dcterms:modified xsi:type="dcterms:W3CDTF">2023-12-01T11:27:00Z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2023-11-28T15:09:50Z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