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22D4" w14:textId="109A2F95" w:rsidR="00BC17A6" w:rsidRPr="00C97FB5" w:rsidRDefault="00BC17A6" w:rsidP="000B0AA7">
      <w:pPr>
        <w:pStyle w:val="StylDoprava"/>
        <w:rPr>
          <w:rFonts w:cs="Arial"/>
          <w:sz w:val="22"/>
          <w:szCs w:val="22"/>
        </w:rPr>
      </w:pPr>
      <w:r w:rsidRPr="00C97FB5">
        <w:rPr>
          <w:rFonts w:cs="Arial"/>
          <w:sz w:val="22"/>
          <w:szCs w:val="22"/>
        </w:rPr>
        <w:t>Čj.:</w:t>
      </w:r>
      <w:r w:rsidR="00BE45EE" w:rsidRPr="00BE45EE">
        <w:t xml:space="preserve"> </w:t>
      </w:r>
      <w:r w:rsidR="00BE45EE" w:rsidRPr="00BE45EE">
        <w:rPr>
          <w:rFonts w:cs="Arial"/>
          <w:sz w:val="22"/>
          <w:szCs w:val="22"/>
        </w:rPr>
        <w:t>SPU 459729/2023</w:t>
      </w:r>
    </w:p>
    <w:p w14:paraId="6A22164D" w14:textId="6EB13364" w:rsidR="004243BC" w:rsidRPr="00C97FB5" w:rsidRDefault="00BC17A6" w:rsidP="000B0AA7">
      <w:pPr>
        <w:pStyle w:val="StylDoprava"/>
        <w:rPr>
          <w:rFonts w:cs="Arial"/>
          <w:sz w:val="22"/>
          <w:szCs w:val="22"/>
        </w:rPr>
      </w:pPr>
      <w:r w:rsidRPr="00C97FB5">
        <w:rPr>
          <w:rFonts w:cs="Arial"/>
          <w:sz w:val="22"/>
          <w:szCs w:val="22"/>
        </w:rPr>
        <w:t>UID:</w:t>
      </w:r>
      <w:r w:rsidR="00BE45EE" w:rsidRPr="00BE45EE">
        <w:t xml:space="preserve"> </w:t>
      </w:r>
      <w:r w:rsidR="00BE45EE" w:rsidRPr="00BE45EE">
        <w:rPr>
          <w:rFonts w:cs="Arial"/>
          <w:sz w:val="22"/>
          <w:szCs w:val="22"/>
        </w:rPr>
        <w:t>spuess8c18fae0</w:t>
      </w:r>
    </w:p>
    <w:p w14:paraId="38BE6868"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7BB82EDA"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63EA4F90"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2EFB3695"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669C1DA"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Renata Číhalová, ředitelka Krajského pozemkového úřadu pro Jihomoravský kraj</w:t>
      </w:r>
    </w:p>
    <w:p w14:paraId="523EAC39" w14:textId="77777777" w:rsidR="00FB6E4E" w:rsidRPr="00C97FB5" w:rsidRDefault="00BC17A6" w:rsidP="000B0AA7">
      <w:pPr>
        <w:pStyle w:val="VnitrniText"/>
        <w:ind w:firstLine="0"/>
        <w:rPr>
          <w:sz w:val="22"/>
          <w:szCs w:val="22"/>
        </w:rPr>
      </w:pPr>
      <w:r w:rsidRPr="00C97FB5">
        <w:rPr>
          <w:sz w:val="22"/>
          <w:szCs w:val="22"/>
        </w:rPr>
        <w:t>adresa Hroznová 17, 60300 Brno</w:t>
      </w:r>
    </w:p>
    <w:p w14:paraId="4961F36D"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4DC48BF1" w14:textId="77777777" w:rsidR="00BC17A6" w:rsidRPr="00C97FB5" w:rsidRDefault="00BC17A6" w:rsidP="000B0AA7">
      <w:pPr>
        <w:pStyle w:val="VnitrniText"/>
        <w:ind w:firstLine="0"/>
        <w:rPr>
          <w:sz w:val="22"/>
          <w:szCs w:val="22"/>
        </w:rPr>
      </w:pPr>
    </w:p>
    <w:p w14:paraId="0839733F" w14:textId="77777777" w:rsidR="00CF17C0" w:rsidRPr="00C97FB5" w:rsidRDefault="00CF17C0" w:rsidP="000B0AA7">
      <w:pPr>
        <w:pStyle w:val="VnitrniText"/>
        <w:ind w:firstLine="0"/>
        <w:rPr>
          <w:sz w:val="22"/>
          <w:szCs w:val="22"/>
        </w:rPr>
      </w:pPr>
      <w:r w:rsidRPr="00C97FB5">
        <w:rPr>
          <w:sz w:val="22"/>
          <w:szCs w:val="22"/>
        </w:rPr>
        <w:t>a</w:t>
      </w:r>
    </w:p>
    <w:p w14:paraId="1F06F16F" w14:textId="77777777" w:rsidR="00BC17A6" w:rsidRPr="00C97FB5" w:rsidRDefault="00BC17A6" w:rsidP="000B0AA7">
      <w:pPr>
        <w:pStyle w:val="VnitrniText"/>
        <w:ind w:firstLine="0"/>
        <w:rPr>
          <w:sz w:val="22"/>
          <w:szCs w:val="22"/>
        </w:rPr>
      </w:pPr>
    </w:p>
    <w:p w14:paraId="6CD7FAD2" w14:textId="77777777" w:rsidR="00BF34BF" w:rsidRDefault="00BF34BF" w:rsidP="00BF34BF">
      <w:pPr>
        <w:pStyle w:val="VnitrniText"/>
        <w:ind w:firstLine="0"/>
        <w:rPr>
          <w:sz w:val="22"/>
          <w:szCs w:val="22"/>
        </w:rPr>
      </w:pPr>
      <w:r>
        <w:rPr>
          <w:b/>
          <w:sz w:val="22"/>
          <w:szCs w:val="22"/>
        </w:rPr>
        <w:t>České štěrkopísky spol. s r.o.</w:t>
      </w:r>
    </w:p>
    <w:p w14:paraId="34BE4DA4" w14:textId="77777777" w:rsidR="00BF34BF" w:rsidRDefault="00BF34BF" w:rsidP="00BF34BF">
      <w:pPr>
        <w:pStyle w:val="VnitrniText"/>
        <w:ind w:firstLine="0"/>
        <w:rPr>
          <w:sz w:val="22"/>
          <w:szCs w:val="22"/>
        </w:rPr>
      </w:pPr>
      <w:r>
        <w:rPr>
          <w:sz w:val="22"/>
          <w:szCs w:val="22"/>
        </w:rPr>
        <w:t>se sídlem Cukrovarská 34, Praha 9 - Čakovice, PSČ 19000</w:t>
      </w:r>
    </w:p>
    <w:p w14:paraId="03B55018" w14:textId="77777777" w:rsidR="00BF34BF" w:rsidRDefault="00BF34BF" w:rsidP="00BF34BF">
      <w:pPr>
        <w:pStyle w:val="VnitrniText"/>
        <w:ind w:firstLine="0"/>
        <w:rPr>
          <w:sz w:val="22"/>
          <w:szCs w:val="22"/>
        </w:rPr>
      </w:pPr>
      <w:r>
        <w:rPr>
          <w:sz w:val="22"/>
          <w:szCs w:val="22"/>
        </w:rPr>
        <w:t>IČO: 27584534</w:t>
      </w:r>
    </w:p>
    <w:p w14:paraId="5DCE4F15" w14:textId="77777777" w:rsidR="00BF34BF" w:rsidRDefault="00BF34BF" w:rsidP="00BF34BF">
      <w:pPr>
        <w:pStyle w:val="VnitrniText"/>
        <w:ind w:firstLine="0"/>
        <w:rPr>
          <w:sz w:val="22"/>
          <w:szCs w:val="22"/>
        </w:rPr>
      </w:pPr>
      <w:r>
        <w:rPr>
          <w:sz w:val="22"/>
          <w:szCs w:val="22"/>
        </w:rPr>
        <w:t xml:space="preserve">DIČ: CZ 27584534, </w:t>
      </w:r>
    </w:p>
    <w:p w14:paraId="4EBCB278" w14:textId="77777777" w:rsidR="00BF34BF" w:rsidRDefault="00BF34BF" w:rsidP="00BF34BF">
      <w:pPr>
        <w:pStyle w:val="VnitrniText"/>
        <w:ind w:firstLine="0"/>
        <w:rPr>
          <w:sz w:val="22"/>
          <w:szCs w:val="22"/>
        </w:rPr>
      </w:pPr>
      <w:r>
        <w:rPr>
          <w:sz w:val="22"/>
          <w:szCs w:val="22"/>
        </w:rPr>
        <w:t>zapsán v OR vedeném MS v Praze, oddíl C, vložka 117108</w:t>
      </w:r>
    </w:p>
    <w:p w14:paraId="38177744" w14:textId="389DC13B" w:rsidR="00BF34BF" w:rsidRDefault="00BF34BF" w:rsidP="00BF34BF">
      <w:pPr>
        <w:pStyle w:val="VnitrniText"/>
        <w:ind w:firstLine="0"/>
        <w:rPr>
          <w:sz w:val="22"/>
          <w:szCs w:val="22"/>
        </w:rPr>
      </w:pPr>
      <w:r>
        <w:rPr>
          <w:sz w:val="22"/>
          <w:szCs w:val="22"/>
        </w:rPr>
        <w:t>za kterou jedná</w:t>
      </w:r>
      <w:r w:rsidR="00517B2A">
        <w:rPr>
          <w:sz w:val="22"/>
          <w:szCs w:val="22"/>
        </w:rPr>
        <w:t xml:space="preserve"> </w:t>
      </w:r>
      <w:proofErr w:type="spellStart"/>
      <w:r w:rsidR="00517B2A">
        <w:rPr>
          <w:sz w:val="22"/>
          <w:szCs w:val="22"/>
        </w:rPr>
        <w:t>xxx</w:t>
      </w:r>
      <w:proofErr w:type="spellEnd"/>
      <w:r>
        <w:rPr>
          <w:sz w:val="22"/>
          <w:szCs w:val="22"/>
        </w:rPr>
        <w:t xml:space="preserve">. </w:t>
      </w:r>
      <w:proofErr w:type="spellStart"/>
      <w:r w:rsidR="00517B2A">
        <w:rPr>
          <w:sz w:val="22"/>
          <w:szCs w:val="22"/>
        </w:rPr>
        <w:t>xxxxxx</w:t>
      </w:r>
      <w:proofErr w:type="spellEnd"/>
      <w:r>
        <w:rPr>
          <w:sz w:val="22"/>
          <w:szCs w:val="22"/>
        </w:rPr>
        <w:t xml:space="preserve"> </w:t>
      </w:r>
      <w:proofErr w:type="spellStart"/>
      <w:r w:rsidR="00517B2A">
        <w:rPr>
          <w:sz w:val="22"/>
          <w:szCs w:val="22"/>
        </w:rPr>
        <w:t>xxxxxx</w:t>
      </w:r>
      <w:proofErr w:type="spellEnd"/>
      <w:r>
        <w:rPr>
          <w:sz w:val="22"/>
          <w:szCs w:val="22"/>
        </w:rPr>
        <w:t>, advokát z přiložené plné moci</w:t>
      </w:r>
    </w:p>
    <w:p w14:paraId="2A2D5187" w14:textId="77777777" w:rsidR="00BC17A6" w:rsidRPr="00C97FB5" w:rsidRDefault="00BC17A6" w:rsidP="000B0AA7">
      <w:pPr>
        <w:pStyle w:val="VnitrniText"/>
        <w:ind w:firstLine="0"/>
        <w:rPr>
          <w:sz w:val="22"/>
          <w:szCs w:val="22"/>
        </w:rPr>
      </w:pPr>
      <w:r w:rsidRPr="00C97FB5">
        <w:rPr>
          <w:sz w:val="22"/>
          <w:szCs w:val="22"/>
        </w:rPr>
        <w:t>(dále jen "nabyvatel")</w:t>
      </w:r>
    </w:p>
    <w:p w14:paraId="279D60D7" w14:textId="77777777" w:rsidR="00BC17A6" w:rsidRPr="00C97FB5" w:rsidRDefault="00BC17A6" w:rsidP="000B0AA7">
      <w:pPr>
        <w:pStyle w:val="VnitrniText"/>
        <w:ind w:firstLine="0"/>
        <w:rPr>
          <w:sz w:val="22"/>
          <w:szCs w:val="22"/>
        </w:rPr>
      </w:pPr>
    </w:p>
    <w:p w14:paraId="5B98E5CE" w14:textId="77777777" w:rsidR="00CF17C0" w:rsidRPr="00C97FB5" w:rsidRDefault="00CF17C0" w:rsidP="000B0AA7">
      <w:pPr>
        <w:pStyle w:val="VnitrniText"/>
        <w:ind w:firstLine="0"/>
        <w:rPr>
          <w:sz w:val="22"/>
          <w:szCs w:val="22"/>
        </w:rPr>
      </w:pPr>
    </w:p>
    <w:p w14:paraId="13B4F78A"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0892B99" w14:textId="77777777" w:rsidR="00CF17C0" w:rsidRPr="00C97FB5" w:rsidRDefault="00CF17C0" w:rsidP="001274AE">
      <w:pPr>
        <w:rPr>
          <w:rFonts w:ascii="Arial" w:hAnsi="Arial" w:cs="Arial"/>
          <w:sz w:val="22"/>
          <w:szCs w:val="22"/>
        </w:rPr>
      </w:pPr>
    </w:p>
    <w:p w14:paraId="495A447A" w14:textId="77777777" w:rsidR="00830569" w:rsidRPr="00C97FB5" w:rsidRDefault="00830569" w:rsidP="001274AE">
      <w:pPr>
        <w:rPr>
          <w:rFonts w:ascii="Arial" w:hAnsi="Arial" w:cs="Arial"/>
          <w:sz w:val="22"/>
          <w:szCs w:val="22"/>
        </w:rPr>
      </w:pPr>
    </w:p>
    <w:p w14:paraId="2701E97E"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0F675334"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2020S23/59</w:t>
      </w:r>
    </w:p>
    <w:p w14:paraId="09EFAFDC" w14:textId="77777777" w:rsidR="00CF17C0" w:rsidRPr="00C97FB5" w:rsidRDefault="00CF17C0" w:rsidP="00D06D0F">
      <w:pPr>
        <w:rPr>
          <w:rFonts w:ascii="Arial" w:hAnsi="Arial" w:cs="Arial"/>
          <w:sz w:val="22"/>
          <w:szCs w:val="22"/>
        </w:rPr>
      </w:pPr>
    </w:p>
    <w:p w14:paraId="4B3A46B7" w14:textId="77777777" w:rsidR="00CF17C0" w:rsidRPr="00C97FB5" w:rsidRDefault="00CF17C0" w:rsidP="00D06D0F">
      <w:pPr>
        <w:rPr>
          <w:rFonts w:ascii="Arial" w:hAnsi="Arial" w:cs="Arial"/>
          <w:sz w:val="22"/>
          <w:szCs w:val="22"/>
        </w:rPr>
      </w:pPr>
    </w:p>
    <w:p w14:paraId="15B7B260"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4342C2D3"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7338EA19"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6979ABED" w14:textId="77777777" w:rsidR="008505AD" w:rsidRPr="00112F3C" w:rsidRDefault="008505AD" w:rsidP="00112F3C">
      <w:pPr>
        <w:pStyle w:val="cary"/>
      </w:pPr>
      <w:r w:rsidRPr="00112F3C">
        <w:t>------------------------------------------------------------------------------------------------------------------------</w:t>
      </w:r>
      <w:r w:rsidR="00E60971" w:rsidRPr="00112F3C">
        <w:t>--</w:t>
      </w:r>
      <w:r w:rsidR="007431BA" w:rsidRPr="00112F3C">
        <w:t>-----------</w:t>
      </w:r>
    </w:p>
    <w:p w14:paraId="7BC5A432"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8391117" w14:textId="77777777" w:rsidR="007431BA" w:rsidRPr="007431BA" w:rsidRDefault="007431BA" w:rsidP="00112F3C">
      <w:pPr>
        <w:pStyle w:val="cary"/>
      </w:pPr>
      <w:r w:rsidRPr="007431BA">
        <w:t>-------------------------------------------------------------------------------------------------------------------------------------</w:t>
      </w:r>
    </w:p>
    <w:p w14:paraId="7051942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4AE164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Pohořelice</w:t>
      </w:r>
      <w:r w:rsidRPr="00257EB0">
        <w:rPr>
          <w:rStyle w:val="tabulkyNemovitosti"/>
        </w:rPr>
        <w:tab/>
      </w:r>
      <w:proofErr w:type="spellStart"/>
      <w:r w:rsidRPr="00257EB0">
        <w:rPr>
          <w:rStyle w:val="tabulkyNemovitosti"/>
        </w:rPr>
        <w:t>Smolín</w:t>
      </w:r>
      <w:proofErr w:type="spellEnd"/>
      <w:r w:rsidRPr="00257EB0">
        <w:rPr>
          <w:rStyle w:val="tabulkyNemovitosti"/>
        </w:rPr>
        <w:tab/>
        <w:t>2320</w:t>
      </w:r>
      <w:r w:rsidRPr="00257EB0">
        <w:rPr>
          <w:rStyle w:val="tabulkyNemovitosti"/>
        </w:rPr>
        <w:tab/>
        <w:t>ostatní plocha</w:t>
      </w:r>
      <w:r w:rsidRPr="00257EB0">
        <w:rPr>
          <w:rStyle w:val="tabulkyNemovitosti"/>
        </w:rPr>
        <w:tab/>
        <w:t>10002</w:t>
      </w:r>
    </w:p>
    <w:p w14:paraId="259987EC" w14:textId="77777777" w:rsidR="008505AD" w:rsidRPr="00257EB0" w:rsidRDefault="008505AD" w:rsidP="00257EB0">
      <w:pPr>
        <w:tabs>
          <w:tab w:val="left" w:pos="2268"/>
          <w:tab w:val="left" w:pos="4536"/>
          <w:tab w:val="left" w:pos="6237"/>
          <w:tab w:val="right" w:pos="9639"/>
        </w:tabs>
        <w:rPr>
          <w:rStyle w:val="tabulkyNemovitosti"/>
        </w:rPr>
      </w:pPr>
    </w:p>
    <w:p w14:paraId="0E00325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8970F2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Pohořelice</w:t>
      </w:r>
      <w:r w:rsidRPr="00257EB0">
        <w:rPr>
          <w:rStyle w:val="tabulkyNemovitosti"/>
        </w:rPr>
        <w:tab/>
      </w:r>
      <w:proofErr w:type="spellStart"/>
      <w:r w:rsidRPr="00257EB0">
        <w:rPr>
          <w:rStyle w:val="tabulkyNemovitosti"/>
        </w:rPr>
        <w:t>Smolín</w:t>
      </w:r>
      <w:proofErr w:type="spellEnd"/>
      <w:r w:rsidRPr="00257EB0">
        <w:rPr>
          <w:rStyle w:val="tabulkyNemovitosti"/>
        </w:rPr>
        <w:tab/>
        <w:t>2515/1</w:t>
      </w:r>
      <w:r w:rsidRPr="00257EB0">
        <w:rPr>
          <w:rStyle w:val="tabulkyNemovitosti"/>
        </w:rPr>
        <w:tab/>
        <w:t>orná půda</w:t>
      </w:r>
      <w:r w:rsidRPr="00257EB0">
        <w:rPr>
          <w:rStyle w:val="tabulkyNemovitosti"/>
        </w:rPr>
        <w:tab/>
        <w:t>10002</w:t>
      </w:r>
    </w:p>
    <w:p w14:paraId="162C970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389-71/2022 ze dne 24.5.2022 z parcely č. KN 2515</w:t>
      </w:r>
    </w:p>
    <w:p w14:paraId="47AA6479" w14:textId="77777777" w:rsidR="007431BA" w:rsidRPr="007431BA" w:rsidRDefault="007431BA" w:rsidP="00112F3C">
      <w:pPr>
        <w:pStyle w:val="cary"/>
      </w:pPr>
      <w:r w:rsidRPr="007431BA">
        <w:t>-------------------------------------------------------------------------------------------------------------------------------------</w:t>
      </w:r>
    </w:p>
    <w:p w14:paraId="6EDD3EA3" w14:textId="77777777" w:rsidR="00213539" w:rsidRPr="00C97FB5" w:rsidRDefault="00213539" w:rsidP="00213539">
      <w:pPr>
        <w:pStyle w:val="VnitrniText"/>
        <w:ind w:firstLine="0"/>
        <w:rPr>
          <w:sz w:val="22"/>
          <w:szCs w:val="22"/>
        </w:rPr>
      </w:pPr>
      <w:r w:rsidRPr="00C97FB5">
        <w:rPr>
          <w:sz w:val="22"/>
          <w:szCs w:val="22"/>
        </w:rPr>
        <w:t xml:space="preserve">zapsané na výše uvedených LV u Katastrálního úřadu pro Jihomoravský </w:t>
      </w:r>
      <w:proofErr w:type="gramStart"/>
      <w:r w:rsidRPr="00C97FB5">
        <w:rPr>
          <w:sz w:val="22"/>
          <w:szCs w:val="22"/>
        </w:rPr>
        <w:t>kraj ,</w:t>
      </w:r>
      <w:proofErr w:type="gramEnd"/>
      <w:r w:rsidRPr="00C97FB5">
        <w:rPr>
          <w:sz w:val="22"/>
          <w:szCs w:val="22"/>
        </w:rPr>
        <w:t xml:space="preserve"> Katastrální pracoviště Brno-venkov.</w:t>
      </w:r>
    </w:p>
    <w:p w14:paraId="38B8D466" w14:textId="77777777" w:rsidR="00757874" w:rsidRDefault="00757874" w:rsidP="00757874">
      <w:pPr>
        <w:pStyle w:val="VnitrniText"/>
        <w:ind w:firstLine="0"/>
      </w:pPr>
    </w:p>
    <w:p w14:paraId="25B91729"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48BA4C05" w14:textId="77777777" w:rsidR="00423D92" w:rsidRDefault="00423D92" w:rsidP="00757874">
      <w:pPr>
        <w:pStyle w:val="VnitrniText"/>
        <w:ind w:firstLine="0"/>
        <w:rPr>
          <w:color w:val="000000"/>
        </w:rPr>
      </w:pPr>
    </w:p>
    <w:p w14:paraId="2E034AA3"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2 259 910,00 Kč (slovy: dva miliony dvě stě padesát devět tisíc devět set deset korun českých)</w:t>
      </w:r>
      <w:r w:rsidR="00F7680C">
        <w:rPr>
          <w:rFonts w:ascii="Arial" w:hAnsi="Arial" w:cs="Arial"/>
          <w:color w:val="000000"/>
          <w:sz w:val="22"/>
          <w:szCs w:val="22"/>
        </w:rPr>
        <w:t>.</w:t>
      </w:r>
    </w:p>
    <w:p w14:paraId="4F531B7E" w14:textId="77777777" w:rsidR="00F7680C" w:rsidRPr="00757874" w:rsidRDefault="00F7680C" w:rsidP="00F7680C">
      <w:pPr>
        <w:jc w:val="both"/>
        <w:rPr>
          <w:rFonts w:cs="Arial"/>
          <w:color w:val="000000"/>
        </w:rPr>
      </w:pPr>
    </w:p>
    <w:p w14:paraId="4252872A"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731840A7"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0475442D" w14:textId="77777777" w:rsidR="00423D92" w:rsidRPr="00423D92" w:rsidRDefault="00423D92" w:rsidP="00423D92">
      <w:pPr>
        <w:pStyle w:val="VnitrniText"/>
        <w:ind w:firstLine="0"/>
        <w:rPr>
          <w:sz w:val="22"/>
          <w:szCs w:val="22"/>
        </w:rPr>
      </w:pPr>
      <w:r w:rsidRPr="00423D92">
        <w:rPr>
          <w:sz w:val="22"/>
          <w:szCs w:val="22"/>
        </w:rPr>
        <w:t>Pozemků:</w:t>
      </w:r>
    </w:p>
    <w:p w14:paraId="21C52F6B" w14:textId="77777777" w:rsidR="00423D92" w:rsidRDefault="00423D92" w:rsidP="00423D92">
      <w:pPr>
        <w:pStyle w:val="cary"/>
      </w:pPr>
      <w:r>
        <w:t>-------------------------------------------------------------------------------------------------------------------------------------</w:t>
      </w:r>
    </w:p>
    <w:p w14:paraId="24B8D0C6"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612DF88C" w14:textId="77777777" w:rsidR="00423D92" w:rsidRPr="00423D92" w:rsidRDefault="00423D92" w:rsidP="00423D92">
      <w:pPr>
        <w:pStyle w:val="cary"/>
      </w:pPr>
      <w:r>
        <w:t>-------------------------------------------------------------------------------------------------------------------------------------</w:t>
      </w:r>
    </w:p>
    <w:p w14:paraId="3BA4EAA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0CBC43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lastRenderedPageBreak/>
        <w:t>Boskovice</w:t>
      </w:r>
      <w:r w:rsidRPr="00423D92">
        <w:rPr>
          <w:rStyle w:val="tabulkyNemovitosti"/>
        </w:rPr>
        <w:tab/>
      </w:r>
      <w:proofErr w:type="spellStart"/>
      <w:r w:rsidRPr="00423D92">
        <w:rPr>
          <w:rStyle w:val="tabulkyNemovitosti"/>
        </w:rPr>
        <w:t>Hrádkov</w:t>
      </w:r>
      <w:proofErr w:type="spellEnd"/>
      <w:r w:rsidRPr="00423D92">
        <w:rPr>
          <w:rStyle w:val="tabulkyNemovitosti"/>
        </w:rPr>
        <w:tab/>
        <w:t>480</w:t>
      </w:r>
      <w:r w:rsidRPr="00423D92">
        <w:rPr>
          <w:rStyle w:val="tabulkyNemovitosti"/>
        </w:rPr>
        <w:tab/>
        <w:t>orná půda</w:t>
      </w:r>
      <w:r w:rsidRPr="00423D92">
        <w:rPr>
          <w:rStyle w:val="tabulkyNemovitosti"/>
        </w:rPr>
        <w:tab/>
        <w:t>2463</w:t>
      </w:r>
    </w:p>
    <w:p w14:paraId="6432615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7BCE3D9E" w14:textId="77777777" w:rsidR="00423D92" w:rsidRPr="00423D92" w:rsidRDefault="00423D92" w:rsidP="00423D92">
      <w:pPr>
        <w:tabs>
          <w:tab w:val="left" w:pos="2268"/>
          <w:tab w:val="left" w:pos="4536"/>
          <w:tab w:val="left" w:pos="6237"/>
          <w:tab w:val="right" w:pos="9639"/>
        </w:tabs>
        <w:rPr>
          <w:rStyle w:val="tabulkyNemovitosti"/>
        </w:rPr>
      </w:pPr>
    </w:p>
    <w:p w14:paraId="321EDAD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4BF7C3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Jankov</w:t>
      </w:r>
      <w:r w:rsidRPr="00423D92">
        <w:rPr>
          <w:rStyle w:val="tabulkyNemovitosti"/>
        </w:rPr>
        <w:tab/>
      </w:r>
      <w:proofErr w:type="spellStart"/>
      <w:r w:rsidRPr="00423D92">
        <w:rPr>
          <w:rStyle w:val="tabulkyNemovitosti"/>
        </w:rPr>
        <w:t>Jankov</w:t>
      </w:r>
      <w:proofErr w:type="spellEnd"/>
      <w:r w:rsidRPr="00423D92">
        <w:rPr>
          <w:rStyle w:val="tabulkyNemovitosti"/>
        </w:rPr>
        <w:tab/>
        <w:t>1181/26</w:t>
      </w:r>
      <w:r w:rsidRPr="00423D92">
        <w:rPr>
          <w:rStyle w:val="tabulkyNemovitosti"/>
        </w:rPr>
        <w:tab/>
        <w:t>orná půda</w:t>
      </w:r>
      <w:r w:rsidRPr="00423D92">
        <w:rPr>
          <w:rStyle w:val="tabulkyNemovitosti"/>
        </w:rPr>
        <w:tab/>
        <w:t>654</w:t>
      </w:r>
    </w:p>
    <w:p w14:paraId="210E518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Středočeský kraj, Katastrální pracoviště Benešov</w:t>
      </w:r>
    </w:p>
    <w:p w14:paraId="3D5B982B" w14:textId="77777777" w:rsidR="00423D92" w:rsidRPr="00423D92" w:rsidRDefault="00423D92" w:rsidP="00423D92">
      <w:pPr>
        <w:tabs>
          <w:tab w:val="left" w:pos="2268"/>
          <w:tab w:val="left" w:pos="4536"/>
          <w:tab w:val="left" w:pos="6237"/>
          <w:tab w:val="right" w:pos="9639"/>
        </w:tabs>
        <w:rPr>
          <w:rStyle w:val="tabulkyNemovitosti"/>
        </w:rPr>
      </w:pPr>
    </w:p>
    <w:p w14:paraId="7DE96C7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EF29F3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Jankov</w:t>
      </w:r>
      <w:r w:rsidRPr="00423D92">
        <w:rPr>
          <w:rStyle w:val="tabulkyNemovitosti"/>
        </w:rPr>
        <w:tab/>
      </w:r>
      <w:proofErr w:type="spellStart"/>
      <w:r w:rsidRPr="00423D92">
        <w:rPr>
          <w:rStyle w:val="tabulkyNemovitosti"/>
        </w:rPr>
        <w:t>Jankov</w:t>
      </w:r>
      <w:proofErr w:type="spellEnd"/>
      <w:r w:rsidRPr="00423D92">
        <w:rPr>
          <w:rStyle w:val="tabulkyNemovitosti"/>
        </w:rPr>
        <w:tab/>
        <w:t>1556/1</w:t>
      </w:r>
      <w:r w:rsidRPr="00423D92">
        <w:rPr>
          <w:rStyle w:val="tabulkyNemovitosti"/>
        </w:rPr>
        <w:tab/>
        <w:t>orná půda</w:t>
      </w:r>
      <w:r w:rsidRPr="00423D92">
        <w:rPr>
          <w:rStyle w:val="tabulkyNemovitosti"/>
        </w:rPr>
        <w:tab/>
        <w:t>654</w:t>
      </w:r>
    </w:p>
    <w:p w14:paraId="3CD3E62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Středočeský kraj, Katastrální pracoviště Benešov</w:t>
      </w:r>
    </w:p>
    <w:p w14:paraId="2831AE9A" w14:textId="77777777" w:rsidR="00423D92" w:rsidRPr="00423D92" w:rsidRDefault="00423D92" w:rsidP="00423D92">
      <w:pPr>
        <w:tabs>
          <w:tab w:val="left" w:pos="2268"/>
          <w:tab w:val="left" w:pos="4536"/>
          <w:tab w:val="left" w:pos="6237"/>
          <w:tab w:val="right" w:pos="9639"/>
        </w:tabs>
        <w:rPr>
          <w:rStyle w:val="tabulkyNemovitosti"/>
        </w:rPr>
      </w:pPr>
    </w:p>
    <w:p w14:paraId="15041F8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A39CF1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Jankov</w:t>
      </w:r>
      <w:r w:rsidRPr="00423D92">
        <w:rPr>
          <w:rStyle w:val="tabulkyNemovitosti"/>
        </w:rPr>
        <w:tab/>
      </w:r>
      <w:proofErr w:type="spellStart"/>
      <w:r w:rsidRPr="00423D92">
        <w:rPr>
          <w:rStyle w:val="tabulkyNemovitosti"/>
        </w:rPr>
        <w:t>Jankov</w:t>
      </w:r>
      <w:proofErr w:type="spellEnd"/>
      <w:r w:rsidRPr="00423D92">
        <w:rPr>
          <w:rStyle w:val="tabulkyNemovitosti"/>
        </w:rPr>
        <w:tab/>
        <w:t>1560/5</w:t>
      </w:r>
      <w:r w:rsidRPr="00423D92">
        <w:rPr>
          <w:rStyle w:val="tabulkyNemovitosti"/>
        </w:rPr>
        <w:tab/>
        <w:t>orná půda</w:t>
      </w:r>
      <w:r w:rsidRPr="00423D92">
        <w:rPr>
          <w:rStyle w:val="tabulkyNemovitosti"/>
        </w:rPr>
        <w:tab/>
        <w:t>654</w:t>
      </w:r>
    </w:p>
    <w:p w14:paraId="76C976E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Středočeský kraj, Katastrální pracoviště Benešov</w:t>
      </w:r>
    </w:p>
    <w:p w14:paraId="29E41AF8" w14:textId="77777777" w:rsidR="00423D92" w:rsidRPr="00423D92" w:rsidRDefault="00423D92" w:rsidP="00423D92">
      <w:pPr>
        <w:tabs>
          <w:tab w:val="left" w:pos="2268"/>
          <w:tab w:val="left" w:pos="4536"/>
          <w:tab w:val="left" w:pos="6237"/>
          <w:tab w:val="right" w:pos="9639"/>
        </w:tabs>
        <w:rPr>
          <w:rStyle w:val="tabulkyNemovitosti"/>
        </w:rPr>
      </w:pPr>
    </w:p>
    <w:p w14:paraId="2EEB70D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954AC4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Jankov</w:t>
      </w:r>
      <w:r w:rsidRPr="00423D92">
        <w:rPr>
          <w:rStyle w:val="tabulkyNemovitosti"/>
        </w:rPr>
        <w:tab/>
      </w:r>
      <w:proofErr w:type="spellStart"/>
      <w:r w:rsidRPr="00423D92">
        <w:rPr>
          <w:rStyle w:val="tabulkyNemovitosti"/>
        </w:rPr>
        <w:t>Jankov</w:t>
      </w:r>
      <w:proofErr w:type="spellEnd"/>
      <w:r w:rsidRPr="00423D92">
        <w:rPr>
          <w:rStyle w:val="tabulkyNemovitosti"/>
        </w:rPr>
        <w:tab/>
        <w:t>1560/6</w:t>
      </w:r>
      <w:r w:rsidRPr="00423D92">
        <w:rPr>
          <w:rStyle w:val="tabulkyNemovitosti"/>
        </w:rPr>
        <w:tab/>
        <w:t>orná půda</w:t>
      </w:r>
      <w:r w:rsidRPr="00423D92">
        <w:rPr>
          <w:rStyle w:val="tabulkyNemovitosti"/>
        </w:rPr>
        <w:tab/>
        <w:t>654</w:t>
      </w:r>
    </w:p>
    <w:p w14:paraId="606277F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Středočeský kraj, Katastrální pracoviště Benešov</w:t>
      </w:r>
    </w:p>
    <w:p w14:paraId="3CA0F37B" w14:textId="77777777" w:rsidR="00423D92" w:rsidRPr="00423D92" w:rsidRDefault="00423D92" w:rsidP="00423D92">
      <w:pPr>
        <w:tabs>
          <w:tab w:val="left" w:pos="2268"/>
          <w:tab w:val="left" w:pos="4536"/>
          <w:tab w:val="left" w:pos="6237"/>
          <w:tab w:val="right" w:pos="9639"/>
        </w:tabs>
        <w:rPr>
          <w:rStyle w:val="tabulkyNemovitosti"/>
        </w:rPr>
      </w:pPr>
    </w:p>
    <w:p w14:paraId="05A98AB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43BE1A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Neustupov</w:t>
      </w:r>
      <w:r w:rsidRPr="00423D92">
        <w:rPr>
          <w:rStyle w:val="tabulkyNemovitosti"/>
        </w:rPr>
        <w:tab/>
        <w:t>Jiřetice u Neustupova</w:t>
      </w:r>
      <w:r w:rsidRPr="00423D92">
        <w:rPr>
          <w:rStyle w:val="tabulkyNemovitosti"/>
        </w:rPr>
        <w:tab/>
        <w:t>300</w:t>
      </w:r>
      <w:r w:rsidRPr="00423D92">
        <w:rPr>
          <w:rStyle w:val="tabulkyNemovitosti"/>
        </w:rPr>
        <w:tab/>
        <w:t>orná půda</w:t>
      </w:r>
      <w:r w:rsidRPr="00423D92">
        <w:rPr>
          <w:rStyle w:val="tabulkyNemovitosti"/>
        </w:rPr>
        <w:tab/>
        <w:t>378</w:t>
      </w:r>
    </w:p>
    <w:p w14:paraId="184BB21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Středočeský kraj, Katastrální pracoviště Benešov</w:t>
      </w:r>
    </w:p>
    <w:p w14:paraId="2AFBAC3E" w14:textId="77777777" w:rsidR="00423D92" w:rsidRPr="00423D92" w:rsidRDefault="00423D92" w:rsidP="00423D92">
      <w:pPr>
        <w:tabs>
          <w:tab w:val="left" w:pos="2268"/>
          <w:tab w:val="left" w:pos="4536"/>
          <w:tab w:val="left" w:pos="6237"/>
          <w:tab w:val="right" w:pos="9639"/>
        </w:tabs>
        <w:rPr>
          <w:rStyle w:val="tabulkyNemovitosti"/>
        </w:rPr>
      </w:pPr>
    </w:p>
    <w:p w14:paraId="140B8D7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A3F820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Neustupov</w:t>
      </w:r>
      <w:r w:rsidRPr="00423D92">
        <w:rPr>
          <w:rStyle w:val="tabulkyNemovitosti"/>
        </w:rPr>
        <w:tab/>
        <w:t>Jiřetice u Neustupova</w:t>
      </w:r>
      <w:r w:rsidRPr="00423D92">
        <w:rPr>
          <w:rStyle w:val="tabulkyNemovitosti"/>
        </w:rPr>
        <w:tab/>
        <w:t>329</w:t>
      </w:r>
      <w:r w:rsidRPr="00423D92">
        <w:rPr>
          <w:rStyle w:val="tabulkyNemovitosti"/>
        </w:rPr>
        <w:tab/>
        <w:t>trvalý travní porost</w:t>
      </w:r>
      <w:r w:rsidRPr="00423D92">
        <w:rPr>
          <w:rStyle w:val="tabulkyNemovitosti"/>
        </w:rPr>
        <w:tab/>
        <w:t>378</w:t>
      </w:r>
    </w:p>
    <w:p w14:paraId="116CE27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Středočeský kraj, Katastrální pracoviště Benešov</w:t>
      </w:r>
    </w:p>
    <w:p w14:paraId="19381252" w14:textId="77777777" w:rsidR="00423D92" w:rsidRPr="00423D92" w:rsidRDefault="00423D92" w:rsidP="00423D92">
      <w:pPr>
        <w:tabs>
          <w:tab w:val="left" w:pos="2268"/>
          <w:tab w:val="left" w:pos="4536"/>
          <w:tab w:val="left" w:pos="6237"/>
          <w:tab w:val="right" w:pos="9639"/>
        </w:tabs>
        <w:rPr>
          <w:rStyle w:val="tabulkyNemovitosti"/>
        </w:rPr>
      </w:pPr>
    </w:p>
    <w:p w14:paraId="1723A4A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D6FDAA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Neustupov</w:t>
      </w:r>
      <w:r w:rsidRPr="00423D92">
        <w:rPr>
          <w:rStyle w:val="tabulkyNemovitosti"/>
        </w:rPr>
        <w:tab/>
        <w:t>Jiřetice u Neustupova</w:t>
      </w:r>
      <w:r w:rsidRPr="00423D92">
        <w:rPr>
          <w:rStyle w:val="tabulkyNemovitosti"/>
        </w:rPr>
        <w:tab/>
        <w:t>330/9</w:t>
      </w:r>
      <w:r w:rsidRPr="00423D92">
        <w:rPr>
          <w:rStyle w:val="tabulkyNemovitosti"/>
        </w:rPr>
        <w:tab/>
        <w:t>trvalý travní porost</w:t>
      </w:r>
      <w:r w:rsidRPr="00423D92">
        <w:rPr>
          <w:rStyle w:val="tabulkyNemovitosti"/>
        </w:rPr>
        <w:tab/>
        <w:t>378</w:t>
      </w:r>
    </w:p>
    <w:p w14:paraId="57251A6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Středočeský kraj, Katastrální pracoviště Benešov</w:t>
      </w:r>
    </w:p>
    <w:p w14:paraId="4572CF6A" w14:textId="77777777" w:rsidR="00423D92" w:rsidRPr="00423D92" w:rsidRDefault="00423D92" w:rsidP="00423D92">
      <w:pPr>
        <w:tabs>
          <w:tab w:val="left" w:pos="2268"/>
          <w:tab w:val="left" w:pos="4536"/>
          <w:tab w:val="left" w:pos="6237"/>
          <w:tab w:val="right" w:pos="9639"/>
        </w:tabs>
        <w:rPr>
          <w:rStyle w:val="tabulkyNemovitosti"/>
        </w:rPr>
      </w:pPr>
    </w:p>
    <w:p w14:paraId="608BE1D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164924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Roubanina</w:t>
      </w:r>
      <w:r w:rsidRPr="00423D92">
        <w:rPr>
          <w:rStyle w:val="tabulkyNemovitosti"/>
        </w:rPr>
        <w:tab/>
      </w:r>
      <w:proofErr w:type="spellStart"/>
      <w:r w:rsidRPr="00423D92">
        <w:rPr>
          <w:rStyle w:val="tabulkyNemovitosti"/>
        </w:rPr>
        <w:t>Roubanina</w:t>
      </w:r>
      <w:proofErr w:type="spellEnd"/>
      <w:r w:rsidRPr="00423D92">
        <w:rPr>
          <w:rStyle w:val="tabulkyNemovitosti"/>
        </w:rPr>
        <w:tab/>
        <w:t>124</w:t>
      </w:r>
      <w:r w:rsidRPr="00423D92">
        <w:rPr>
          <w:rStyle w:val="tabulkyNemovitosti"/>
        </w:rPr>
        <w:tab/>
        <w:t>orná půda</w:t>
      </w:r>
      <w:r w:rsidRPr="00423D92">
        <w:rPr>
          <w:rStyle w:val="tabulkyNemovitosti"/>
        </w:rPr>
        <w:tab/>
        <w:t>391</w:t>
      </w:r>
    </w:p>
    <w:p w14:paraId="3A4CBA6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2C990BEB" w14:textId="77777777" w:rsidR="00423D92" w:rsidRPr="00423D92" w:rsidRDefault="00423D92" w:rsidP="00423D92">
      <w:pPr>
        <w:tabs>
          <w:tab w:val="left" w:pos="2268"/>
          <w:tab w:val="left" w:pos="4536"/>
          <w:tab w:val="left" w:pos="6237"/>
          <w:tab w:val="right" w:pos="9639"/>
        </w:tabs>
        <w:rPr>
          <w:rStyle w:val="tabulkyNemovitosti"/>
        </w:rPr>
      </w:pPr>
    </w:p>
    <w:p w14:paraId="066AF6D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08B452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Valchov</w:t>
      </w:r>
      <w:r w:rsidRPr="00423D92">
        <w:rPr>
          <w:rStyle w:val="tabulkyNemovitosti"/>
        </w:rPr>
        <w:tab/>
      </w:r>
      <w:proofErr w:type="spellStart"/>
      <w:r w:rsidRPr="00423D92">
        <w:rPr>
          <w:rStyle w:val="tabulkyNemovitosti"/>
        </w:rPr>
        <w:t>Valchov</w:t>
      </w:r>
      <w:proofErr w:type="spellEnd"/>
      <w:r w:rsidRPr="00423D92">
        <w:rPr>
          <w:rStyle w:val="tabulkyNemovitosti"/>
        </w:rPr>
        <w:tab/>
        <w:t>515</w:t>
      </w:r>
      <w:r w:rsidRPr="00423D92">
        <w:rPr>
          <w:rStyle w:val="tabulkyNemovitosti"/>
        </w:rPr>
        <w:tab/>
        <w:t>orná půda</w:t>
      </w:r>
      <w:r w:rsidRPr="00423D92">
        <w:rPr>
          <w:rStyle w:val="tabulkyNemovitosti"/>
        </w:rPr>
        <w:tab/>
        <w:t>209</w:t>
      </w:r>
    </w:p>
    <w:p w14:paraId="09E7EC5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216287EB" w14:textId="77777777" w:rsidR="00423D92" w:rsidRPr="00423D92" w:rsidRDefault="00423D92" w:rsidP="00423D92">
      <w:pPr>
        <w:tabs>
          <w:tab w:val="left" w:pos="2268"/>
          <w:tab w:val="left" w:pos="4536"/>
          <w:tab w:val="left" w:pos="6237"/>
          <w:tab w:val="right" w:pos="9639"/>
        </w:tabs>
        <w:rPr>
          <w:rStyle w:val="tabulkyNemovitosti"/>
        </w:rPr>
      </w:pPr>
    </w:p>
    <w:p w14:paraId="5C0512B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9AB05B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Valchov</w:t>
      </w:r>
      <w:r w:rsidRPr="00423D92">
        <w:rPr>
          <w:rStyle w:val="tabulkyNemovitosti"/>
        </w:rPr>
        <w:tab/>
      </w:r>
      <w:proofErr w:type="spellStart"/>
      <w:r w:rsidRPr="00423D92">
        <w:rPr>
          <w:rStyle w:val="tabulkyNemovitosti"/>
        </w:rPr>
        <w:t>Valchov</w:t>
      </w:r>
      <w:proofErr w:type="spellEnd"/>
      <w:r w:rsidRPr="00423D92">
        <w:rPr>
          <w:rStyle w:val="tabulkyNemovitosti"/>
        </w:rPr>
        <w:tab/>
        <w:t>516</w:t>
      </w:r>
      <w:r w:rsidRPr="00423D92">
        <w:rPr>
          <w:rStyle w:val="tabulkyNemovitosti"/>
        </w:rPr>
        <w:tab/>
        <w:t>trvalý travní porost</w:t>
      </w:r>
      <w:r w:rsidRPr="00423D92">
        <w:rPr>
          <w:rStyle w:val="tabulkyNemovitosti"/>
        </w:rPr>
        <w:tab/>
        <w:t>209</w:t>
      </w:r>
    </w:p>
    <w:p w14:paraId="4107092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Jihomoravský kraj, Katastrální pracoviště Boskovice</w:t>
      </w:r>
    </w:p>
    <w:p w14:paraId="45F72EE7" w14:textId="77777777" w:rsidR="00423D92" w:rsidRPr="00423D92" w:rsidRDefault="00423D92" w:rsidP="00423D92">
      <w:pPr>
        <w:pStyle w:val="cary"/>
      </w:pPr>
      <w:r>
        <w:t>-------------------------------------------------------------------------------------------------------------------------------------</w:t>
      </w:r>
    </w:p>
    <w:p w14:paraId="36CF38EC"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46C789E1" w14:textId="77777777" w:rsidR="00423D92" w:rsidRPr="00423D92" w:rsidRDefault="00423D92" w:rsidP="00423D92">
      <w:pPr>
        <w:pStyle w:val="VnitrniText"/>
        <w:rPr>
          <w:sz w:val="22"/>
          <w:szCs w:val="22"/>
        </w:rPr>
      </w:pPr>
    </w:p>
    <w:p w14:paraId="700155E6"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1 698 654,70 Kč (slovy: jeden milion šest set devadesát osm tisíc šest set padesát čtyři koruny české sedmdesát haléřů).</w:t>
      </w:r>
    </w:p>
    <w:p w14:paraId="7E495E99" w14:textId="77777777" w:rsidR="00022579" w:rsidRPr="00C97FB5" w:rsidRDefault="00022579" w:rsidP="00EB6C54">
      <w:pPr>
        <w:pStyle w:val="VnitrniText"/>
        <w:rPr>
          <w:sz w:val="22"/>
          <w:szCs w:val="22"/>
        </w:rPr>
      </w:pPr>
    </w:p>
    <w:p w14:paraId="5FBF1222"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40279A9D" w14:textId="77777777" w:rsidR="00A31E82" w:rsidRDefault="00A31E82" w:rsidP="00BE45EE">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A6340F7" w14:textId="77777777" w:rsidR="00A31E82" w:rsidRDefault="00A31E82" w:rsidP="007F6109">
      <w:pPr>
        <w:jc w:val="both"/>
        <w:rPr>
          <w:rFonts w:ascii="Arial" w:hAnsi="Arial" w:cs="Arial"/>
          <w:sz w:val="22"/>
          <w:szCs w:val="22"/>
        </w:rPr>
      </w:pPr>
    </w:p>
    <w:p w14:paraId="5CC02BF4" w14:textId="77777777" w:rsidR="00A31E82" w:rsidRDefault="00A31E82" w:rsidP="00A31E82">
      <w:pPr>
        <w:pStyle w:val="para"/>
        <w:rPr>
          <w:rFonts w:ascii="Arial" w:hAnsi="Arial" w:cs="Arial"/>
          <w:sz w:val="22"/>
          <w:szCs w:val="22"/>
        </w:rPr>
      </w:pPr>
      <w:r>
        <w:rPr>
          <w:rFonts w:ascii="Arial" w:hAnsi="Arial" w:cs="Arial"/>
          <w:sz w:val="22"/>
          <w:szCs w:val="22"/>
        </w:rPr>
        <w:t>IV.</w:t>
      </w:r>
    </w:p>
    <w:p w14:paraId="1D3DF984" w14:textId="2E1E27B2" w:rsidR="000A37A7" w:rsidRDefault="000A37A7" w:rsidP="00CE4E2E">
      <w:pPr>
        <w:pStyle w:val="Zkladntext"/>
        <w:tabs>
          <w:tab w:val="left" w:pos="284"/>
        </w:tabs>
        <w:rPr>
          <w:rFonts w:ascii="Arial" w:hAnsi="Arial" w:cs="Arial"/>
          <w:szCs w:val="22"/>
        </w:rPr>
      </w:pPr>
      <w:r>
        <w:rPr>
          <w:rFonts w:ascii="Arial" w:hAnsi="Arial" w:cs="Arial"/>
          <w:szCs w:val="22"/>
        </w:rPr>
        <w:t>Cenový rozdíl ve prospěch SPÚ, tj. rozdíl mezi cenami uvedenými v čl. I. a čl. II. této smlouvy, činí 561 255,30 Kč (slovy: pět set šedesát jeden tisíc dvě stě padesát pět korun českých třicet haléřů).</w:t>
      </w:r>
    </w:p>
    <w:p w14:paraId="5F98A302" w14:textId="77777777" w:rsidR="00BE45EE" w:rsidRDefault="00BE45EE" w:rsidP="00CE4E2E">
      <w:pPr>
        <w:pStyle w:val="Zkladntext"/>
        <w:tabs>
          <w:tab w:val="left" w:pos="284"/>
        </w:tabs>
        <w:rPr>
          <w:rFonts w:ascii="Arial" w:hAnsi="Arial" w:cs="Arial"/>
          <w:color w:val="000000"/>
          <w:szCs w:val="22"/>
        </w:rPr>
      </w:pPr>
    </w:p>
    <w:p w14:paraId="6D9A0661" w14:textId="6599FD55" w:rsidR="00CE4E2E" w:rsidRDefault="004932F0" w:rsidP="00CE4E2E">
      <w:pPr>
        <w:pStyle w:val="Zkladntext"/>
        <w:tabs>
          <w:tab w:val="left" w:pos="284"/>
        </w:tabs>
        <w:rPr>
          <w:rFonts w:ascii="Arial" w:hAnsi="Arial" w:cs="Arial"/>
          <w:color w:val="000000"/>
          <w:szCs w:val="22"/>
        </w:rPr>
      </w:pPr>
      <w:r>
        <w:rPr>
          <w:rFonts w:ascii="Arial" w:hAnsi="Arial" w:cs="Arial"/>
          <w:color w:val="000000"/>
          <w:szCs w:val="22"/>
        </w:rPr>
        <w:t>Cenový rozdíl</w:t>
      </w:r>
      <w:r w:rsidR="00CE4E2E">
        <w:rPr>
          <w:rFonts w:ascii="Arial" w:hAnsi="Arial" w:cs="Arial"/>
          <w:color w:val="000000"/>
          <w:szCs w:val="22"/>
        </w:rPr>
        <w:t xml:space="preserve"> ve výši </w:t>
      </w:r>
      <w:r>
        <w:rPr>
          <w:rFonts w:ascii="Arial" w:hAnsi="Arial" w:cs="Arial"/>
          <w:szCs w:val="22"/>
        </w:rPr>
        <w:t>561 255,30 Kč (slovy: pět set šedesát jeden tisíc dvě stě padesát pět korun českých třicet haléřů)</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110015-3723001/0710, variabilní symbol 2020482359.</w:t>
      </w:r>
    </w:p>
    <w:p w14:paraId="40B07ED8" w14:textId="77777777" w:rsidR="00BE45EE" w:rsidRDefault="00BE45EE" w:rsidP="006069E5">
      <w:pPr>
        <w:pStyle w:val="para"/>
        <w:rPr>
          <w:rFonts w:ascii="Arial" w:hAnsi="Arial" w:cs="Arial"/>
          <w:sz w:val="22"/>
          <w:szCs w:val="22"/>
        </w:rPr>
      </w:pPr>
    </w:p>
    <w:p w14:paraId="48F3B7BD" w14:textId="7DB26A9A"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48DCBB48" w14:textId="77777777" w:rsidR="00011A73" w:rsidRPr="00C97FB5" w:rsidRDefault="00011A73" w:rsidP="00BE45EE">
      <w:pPr>
        <w:pStyle w:val="VnitrniText"/>
        <w:ind w:firstLine="0"/>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57098907" w14:textId="77777777" w:rsidR="001D73FD" w:rsidRDefault="00103EF4" w:rsidP="00BE45EE">
      <w:pPr>
        <w:pStyle w:val="VnitrniText"/>
        <w:ind w:firstLine="0"/>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w:t>
      </w:r>
      <w:r w:rsidR="0037157C" w:rsidRPr="00C97FB5">
        <w:rPr>
          <w:sz w:val="22"/>
          <w:szCs w:val="22"/>
        </w:rPr>
        <w:lastRenderedPageBreak/>
        <w:t xml:space="preserve">podle předchozích právních úprav, která se nezapisovala do pozemkových knih, evidence nemovitostí ani katastru nemovitostí. Tato omezení a oprávnění přecházejí na </w:t>
      </w:r>
      <w:r w:rsidR="00FE69EF">
        <w:rPr>
          <w:sz w:val="22"/>
          <w:szCs w:val="22"/>
        </w:rPr>
        <w:t>nabyvatele pozemků.</w:t>
      </w:r>
    </w:p>
    <w:p w14:paraId="23DAC383" w14:textId="77777777" w:rsidR="00C80054" w:rsidRDefault="00C80054" w:rsidP="000B0AA7">
      <w:pPr>
        <w:pStyle w:val="VnitrniText"/>
        <w:rPr>
          <w:sz w:val="22"/>
          <w:szCs w:val="22"/>
        </w:rPr>
      </w:pPr>
    </w:p>
    <w:p w14:paraId="1A8B36A2"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045D8C87" w14:textId="667B7BFF"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prodávanému pozemku: </w:t>
      </w:r>
      <w:proofErr w:type="spellStart"/>
      <w:r w:rsidR="00BF34BF">
        <w:rPr>
          <w:sz w:val="22"/>
          <w:szCs w:val="22"/>
        </w:rPr>
        <w:t>k.ú</w:t>
      </w:r>
      <w:proofErr w:type="spellEnd"/>
      <w:r w:rsidR="00BF34BF">
        <w:rPr>
          <w:sz w:val="22"/>
          <w:szCs w:val="22"/>
        </w:rPr>
        <w:t xml:space="preserve">. </w:t>
      </w:r>
      <w:proofErr w:type="spellStart"/>
      <w:r w:rsidR="00C8663B" w:rsidRPr="00C97FB5">
        <w:rPr>
          <w:sz w:val="22"/>
          <w:szCs w:val="22"/>
        </w:rPr>
        <w:t>Smolín</w:t>
      </w:r>
      <w:proofErr w:type="spellEnd"/>
      <w:r w:rsidR="00C8663B" w:rsidRPr="00C97FB5">
        <w:rPr>
          <w:sz w:val="22"/>
          <w:szCs w:val="22"/>
        </w:rPr>
        <w:t xml:space="preserve"> KN</w:t>
      </w:r>
      <w:r w:rsidR="00BF34BF">
        <w:rPr>
          <w:sz w:val="22"/>
          <w:szCs w:val="22"/>
        </w:rPr>
        <w:t xml:space="preserve"> </w:t>
      </w:r>
      <w:r w:rsidR="00C8663B" w:rsidRPr="00C97FB5">
        <w:rPr>
          <w:sz w:val="22"/>
          <w:szCs w:val="22"/>
        </w:rPr>
        <w:t xml:space="preserve">2515 je řešen </w:t>
      </w:r>
      <w:r w:rsidR="00BF34BF">
        <w:rPr>
          <w:sz w:val="22"/>
          <w:szCs w:val="22"/>
        </w:rPr>
        <w:t>pachtovní</w:t>
      </w:r>
      <w:r w:rsidR="00C8663B" w:rsidRPr="00C97FB5">
        <w:rPr>
          <w:sz w:val="22"/>
          <w:szCs w:val="22"/>
        </w:rPr>
        <w:t xml:space="preserve"> smlouvou č. 83N10/59, kterou se Státním pozemkovým úřadem uzavřel Statek Pohořelice, spol. s </w:t>
      </w:r>
      <w:proofErr w:type="gramStart"/>
      <w:r w:rsidR="00C8663B" w:rsidRPr="00C97FB5">
        <w:rPr>
          <w:sz w:val="22"/>
          <w:szCs w:val="22"/>
        </w:rPr>
        <w:t>r.o. ,</w:t>
      </w:r>
      <w:proofErr w:type="gramEnd"/>
      <w:r w:rsidR="00C8663B" w:rsidRPr="00C97FB5">
        <w:rPr>
          <w:sz w:val="22"/>
          <w:szCs w:val="22"/>
        </w:rPr>
        <w:t xml:space="preserve"> jakožto </w:t>
      </w:r>
      <w:r w:rsidR="00BE45EE">
        <w:rPr>
          <w:sz w:val="22"/>
          <w:szCs w:val="22"/>
        </w:rPr>
        <w:t>pachtýř</w:t>
      </w:r>
      <w:r w:rsidR="00C8663B" w:rsidRPr="00C97FB5">
        <w:rPr>
          <w:sz w:val="22"/>
          <w:szCs w:val="22"/>
        </w:rPr>
        <w:t xml:space="preserve">. S obsahem </w:t>
      </w:r>
      <w:r w:rsidR="00BE45EE">
        <w:rPr>
          <w:sz w:val="22"/>
          <w:szCs w:val="22"/>
        </w:rPr>
        <w:t>pachtovní</w:t>
      </w:r>
      <w:r w:rsidR="00C8663B" w:rsidRPr="00C97FB5">
        <w:rPr>
          <w:sz w:val="22"/>
          <w:szCs w:val="22"/>
        </w:rPr>
        <w:t xml:space="preserve"> smlouvy byl kupující seznámen před podpisem této smlouvy, což stvrzuje svým podpisem.</w:t>
      </w:r>
    </w:p>
    <w:p w14:paraId="13E4BE9C" w14:textId="77777777" w:rsidR="00C8663B" w:rsidRPr="00C97FB5" w:rsidRDefault="00C8663B" w:rsidP="00EB6C54">
      <w:pPr>
        <w:pStyle w:val="VnitrniText"/>
        <w:rPr>
          <w:sz w:val="22"/>
          <w:szCs w:val="22"/>
        </w:rPr>
      </w:pPr>
    </w:p>
    <w:p w14:paraId="131647F6" w14:textId="48DA8CC2" w:rsidR="007D2608" w:rsidRPr="00C97FB5" w:rsidRDefault="00BE45EE" w:rsidP="00EB6C54">
      <w:pPr>
        <w:pStyle w:val="VnitrniText"/>
        <w:rPr>
          <w:sz w:val="22"/>
          <w:szCs w:val="22"/>
        </w:rPr>
      </w:pPr>
      <w:r>
        <w:rPr>
          <w:sz w:val="22"/>
          <w:szCs w:val="22"/>
        </w:rPr>
        <w:t>2</w:t>
      </w:r>
      <w:r w:rsidR="007D2608" w:rsidRPr="00C97FB5">
        <w:rPr>
          <w:sz w:val="22"/>
          <w:szCs w:val="22"/>
        </w:rPr>
        <w:t xml:space="preserve">. Nabyvatel výslovně prohlašuje, že je mu znám právní stav převáděných nemovitostí. Nabyvatel je zejména srozuměn s tím, že převáděný pozemek </w:t>
      </w:r>
      <w:r>
        <w:rPr>
          <w:sz w:val="22"/>
          <w:szCs w:val="22"/>
        </w:rPr>
        <w:t xml:space="preserve">KN 2525/1 </w:t>
      </w:r>
      <w:r w:rsidR="007D2608" w:rsidRPr="00C97FB5">
        <w:rPr>
          <w:sz w:val="22"/>
          <w:szCs w:val="22"/>
        </w:rPr>
        <w:t>j</w:t>
      </w:r>
      <w:r>
        <w:rPr>
          <w:sz w:val="22"/>
          <w:szCs w:val="22"/>
        </w:rPr>
        <w:t>e</w:t>
      </w:r>
      <w:r w:rsidR="007D2608" w:rsidRPr="00C97FB5">
        <w:rPr>
          <w:sz w:val="22"/>
          <w:szCs w:val="22"/>
        </w:rPr>
        <w:t xml:space="preserve"> dotčen žalobním </w:t>
      </w:r>
      <w:proofErr w:type="gramStart"/>
      <w:r w:rsidR="007D2608" w:rsidRPr="00C97FB5">
        <w:rPr>
          <w:sz w:val="22"/>
          <w:szCs w:val="22"/>
        </w:rPr>
        <w:t>návrhem  na</w:t>
      </w:r>
      <w:proofErr w:type="gramEnd"/>
      <w:r w:rsidR="007D2608" w:rsidRPr="00C97FB5">
        <w:rPr>
          <w:sz w:val="22"/>
          <w:szCs w:val="22"/>
        </w:rPr>
        <w:t xml:space="preserve"> určení práva u Okresního soudu v Břeclavi spis. zn. </w:t>
      </w:r>
      <w:proofErr w:type="gramStart"/>
      <w:r w:rsidR="007D2608" w:rsidRPr="00C97FB5">
        <w:rPr>
          <w:sz w:val="22"/>
          <w:szCs w:val="22"/>
        </w:rPr>
        <w:t>6C</w:t>
      </w:r>
      <w:proofErr w:type="gramEnd"/>
      <w:r w:rsidR="007D2608" w:rsidRPr="00C97FB5">
        <w:rPr>
          <w:sz w:val="22"/>
          <w:szCs w:val="22"/>
        </w:rPr>
        <w:t xml:space="preserve"> 277/2021</w:t>
      </w:r>
      <w:r>
        <w:rPr>
          <w:sz w:val="22"/>
          <w:szCs w:val="22"/>
        </w:rPr>
        <w:t xml:space="preserve">. </w:t>
      </w:r>
      <w:r w:rsidR="007D2608" w:rsidRPr="00C97FB5">
        <w:rPr>
          <w:sz w:val="22"/>
          <w:szCs w:val="22"/>
        </w:rPr>
        <w:t>Pro případ, že na základě této smlouvy nebude provedena změna práv v katastru nemovitostí, nabyvatel výslovně prohlašuje, že nebude vůči převádějícímu požadovat jakoukoli náhradu.</w:t>
      </w:r>
    </w:p>
    <w:p w14:paraId="58D3649C" w14:textId="77777777" w:rsidR="007D2608" w:rsidRPr="00C97FB5" w:rsidRDefault="007D2608" w:rsidP="00EB6C54">
      <w:pPr>
        <w:pStyle w:val="VnitrniText"/>
        <w:rPr>
          <w:sz w:val="22"/>
          <w:szCs w:val="22"/>
        </w:rPr>
      </w:pPr>
    </w:p>
    <w:p w14:paraId="40C79002" w14:textId="77777777" w:rsidR="0037157C" w:rsidRDefault="0037157C" w:rsidP="00EB6C54">
      <w:pPr>
        <w:pStyle w:val="VnitrniText"/>
        <w:rPr>
          <w:sz w:val="22"/>
          <w:szCs w:val="22"/>
        </w:rPr>
      </w:pPr>
    </w:p>
    <w:p w14:paraId="42EC86AD" w14:textId="77777777" w:rsidR="00907CFB" w:rsidRDefault="00907CFB" w:rsidP="00907CFB">
      <w:pPr>
        <w:pStyle w:val="VnitrniText"/>
        <w:ind w:firstLine="0"/>
        <w:rPr>
          <w:b/>
          <w:sz w:val="22"/>
          <w:szCs w:val="22"/>
        </w:rPr>
      </w:pPr>
      <w:r>
        <w:rPr>
          <w:b/>
          <w:sz w:val="22"/>
          <w:szCs w:val="22"/>
        </w:rPr>
        <w:t>Práva týkající se nemovitostí uvedených v čl. II.</w:t>
      </w:r>
    </w:p>
    <w:p w14:paraId="06F76E8C" w14:textId="56E27509" w:rsidR="00D97123" w:rsidRDefault="00907CFB" w:rsidP="00907CFB">
      <w:pPr>
        <w:pStyle w:val="VnitrniText"/>
        <w:rPr>
          <w:sz w:val="22"/>
          <w:szCs w:val="22"/>
        </w:rPr>
      </w:pPr>
      <w:r>
        <w:rPr>
          <w:sz w:val="22"/>
          <w:szCs w:val="22"/>
        </w:rPr>
        <w:t xml:space="preserve">1.  </w:t>
      </w:r>
      <w:r w:rsidR="00D97123">
        <w:rPr>
          <w:sz w:val="22"/>
          <w:szCs w:val="22"/>
        </w:rPr>
        <w:t xml:space="preserve">Užívací vztah k převáděným nemovitostem </w:t>
      </w:r>
      <w:proofErr w:type="spellStart"/>
      <w:r w:rsidR="00D97123">
        <w:rPr>
          <w:sz w:val="22"/>
          <w:szCs w:val="22"/>
        </w:rPr>
        <w:t>k.ú</w:t>
      </w:r>
      <w:proofErr w:type="spellEnd"/>
      <w:r w:rsidR="00D97123">
        <w:rPr>
          <w:sz w:val="22"/>
          <w:szCs w:val="22"/>
        </w:rPr>
        <w:t>. Jankov je řešen: pachtovní smlouvou, uzavřenou s Družstvem Džbány, jakožto pachtýřem. S obsahem pachtovní smlouvy byl SPÚ seznámen před podpisem této smlouvy, což stvrzuje svým podpisem.</w:t>
      </w:r>
    </w:p>
    <w:p w14:paraId="5D58A036" w14:textId="77777777" w:rsidR="00D97123" w:rsidRDefault="00D97123" w:rsidP="00907CFB">
      <w:pPr>
        <w:pStyle w:val="VnitrniText"/>
        <w:rPr>
          <w:sz w:val="22"/>
          <w:szCs w:val="22"/>
        </w:rPr>
      </w:pPr>
    </w:p>
    <w:p w14:paraId="5902CD9D"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5B96E0C4" w14:textId="77777777" w:rsidR="00FE69EF" w:rsidRPr="00FE69EF" w:rsidRDefault="00FE69EF" w:rsidP="00BE45EE">
      <w:pPr>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4639AC26" w14:textId="77777777" w:rsidR="00FE69EF" w:rsidRDefault="00FE69EF" w:rsidP="003817F4">
      <w:pPr>
        <w:tabs>
          <w:tab w:val="left" w:pos="709"/>
        </w:tabs>
        <w:ind w:firstLine="426"/>
        <w:jc w:val="both"/>
        <w:rPr>
          <w:rFonts w:ascii="Arial" w:hAnsi="Arial" w:cs="Arial"/>
          <w:sz w:val="22"/>
          <w:szCs w:val="22"/>
          <w:lang w:val="en-US"/>
        </w:rPr>
      </w:pPr>
    </w:p>
    <w:p w14:paraId="2D8E0BB1" w14:textId="77777777" w:rsidR="00953F0D" w:rsidRDefault="00953F0D" w:rsidP="00953F0D">
      <w:pPr>
        <w:pStyle w:val="para"/>
        <w:rPr>
          <w:rFonts w:ascii="Arial" w:hAnsi="Arial" w:cs="Arial"/>
          <w:sz w:val="22"/>
          <w:szCs w:val="22"/>
        </w:rPr>
      </w:pPr>
      <w:r>
        <w:rPr>
          <w:rFonts w:ascii="Arial" w:hAnsi="Arial" w:cs="Arial"/>
          <w:sz w:val="22"/>
          <w:szCs w:val="22"/>
        </w:rPr>
        <w:t>VII.</w:t>
      </w:r>
    </w:p>
    <w:p w14:paraId="25F2B486" w14:textId="574289F6" w:rsidR="00953F0D" w:rsidRDefault="00953F0D" w:rsidP="00BE45EE">
      <w:pPr>
        <w:tabs>
          <w:tab w:val="left" w:pos="709"/>
        </w:tabs>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6B0434C5" w14:textId="77777777" w:rsidR="00FE69EF" w:rsidRDefault="00FE69EF" w:rsidP="00FE69EF">
      <w:pPr>
        <w:pStyle w:val="para"/>
        <w:rPr>
          <w:rFonts w:ascii="Arial" w:hAnsi="Arial" w:cs="Arial"/>
          <w:sz w:val="22"/>
          <w:szCs w:val="22"/>
        </w:rPr>
      </w:pPr>
      <w:r>
        <w:rPr>
          <w:rFonts w:ascii="Arial" w:hAnsi="Arial" w:cs="Arial"/>
          <w:sz w:val="22"/>
          <w:szCs w:val="22"/>
        </w:rPr>
        <w:t>VIII.</w:t>
      </w:r>
    </w:p>
    <w:p w14:paraId="342E51C8" w14:textId="2EB39648" w:rsidR="00A431B4" w:rsidRDefault="00A431B4" w:rsidP="00BE45EE">
      <w:pPr>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0043F91"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6E079CAD" w14:textId="168A6B49" w:rsidR="00A431B4" w:rsidRDefault="00A431B4" w:rsidP="00BE45EE">
      <w:pPr>
        <w:jc w:val="both"/>
        <w:rPr>
          <w:rFonts w:ascii="Arial" w:hAnsi="Arial" w:cs="Arial"/>
          <w:sz w:val="22"/>
          <w:szCs w:val="22"/>
        </w:rPr>
      </w:pPr>
      <w:r>
        <w:rPr>
          <w:rFonts w:ascii="Arial" w:hAnsi="Arial" w:cs="Arial"/>
          <w:sz w:val="22"/>
          <w:szCs w:val="22"/>
        </w:rPr>
        <w:t xml:space="preserve">Tato smlouva je vyhotovena v 3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 a ostatní jsou určeny pro SPÚ.</w:t>
      </w:r>
    </w:p>
    <w:p w14:paraId="3512948E" w14:textId="77777777" w:rsidR="00A431B4" w:rsidRDefault="00A431B4" w:rsidP="00A431B4">
      <w:pPr>
        <w:ind w:firstLine="360"/>
        <w:jc w:val="both"/>
        <w:rPr>
          <w:rFonts w:ascii="Arial" w:hAnsi="Arial" w:cs="Arial"/>
          <w:sz w:val="22"/>
          <w:szCs w:val="22"/>
        </w:rPr>
      </w:pPr>
    </w:p>
    <w:p w14:paraId="24D9E13B" w14:textId="3A9921EC" w:rsidR="00A431B4" w:rsidRDefault="00A431B4" w:rsidP="00BE45EE">
      <w:pPr>
        <w:jc w:val="both"/>
        <w:rPr>
          <w:rFonts w:ascii="Arial" w:hAnsi="Arial" w:cs="Arial"/>
          <w:sz w:val="22"/>
          <w:szCs w:val="22"/>
          <w:lang w:val="en-US"/>
        </w:rPr>
      </w:pPr>
      <w:r>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55A25F83" w14:textId="77777777" w:rsidR="00A431B4" w:rsidRDefault="00A431B4" w:rsidP="006069E5">
      <w:pPr>
        <w:pStyle w:val="para"/>
        <w:rPr>
          <w:rFonts w:ascii="Arial" w:hAnsi="Arial" w:cs="Arial"/>
          <w:sz w:val="22"/>
          <w:szCs w:val="22"/>
        </w:rPr>
      </w:pPr>
    </w:p>
    <w:p w14:paraId="5136FE94"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45D15360" w14:textId="77777777" w:rsidR="00181BC3" w:rsidRPr="00716CAD" w:rsidRDefault="00A431B4" w:rsidP="00BE45EE">
      <w:pPr>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0A785B07" w14:textId="77777777" w:rsidR="00181BC3" w:rsidRPr="00F53661" w:rsidRDefault="00181BC3" w:rsidP="00181BC3">
      <w:pPr>
        <w:tabs>
          <w:tab w:val="left" w:pos="709"/>
        </w:tabs>
        <w:ind w:firstLine="426"/>
        <w:jc w:val="both"/>
        <w:rPr>
          <w:rFonts w:ascii="Arial" w:hAnsi="Arial" w:cs="Arial"/>
          <w:sz w:val="22"/>
          <w:szCs w:val="22"/>
        </w:rPr>
      </w:pPr>
    </w:p>
    <w:p w14:paraId="4648C427" w14:textId="77777777" w:rsidR="005A709E" w:rsidRDefault="005A709E" w:rsidP="005A709E">
      <w:pPr>
        <w:pStyle w:val="para"/>
        <w:rPr>
          <w:rFonts w:ascii="Arial" w:hAnsi="Arial" w:cs="Arial"/>
          <w:sz w:val="22"/>
          <w:szCs w:val="22"/>
        </w:rPr>
      </w:pPr>
      <w:r>
        <w:rPr>
          <w:rFonts w:ascii="Arial" w:hAnsi="Arial" w:cs="Arial"/>
          <w:sz w:val="22"/>
          <w:szCs w:val="22"/>
        </w:rPr>
        <w:t>XI.</w:t>
      </w:r>
    </w:p>
    <w:p w14:paraId="7099F73D" w14:textId="77777777" w:rsidR="005A709E" w:rsidRDefault="005A709E" w:rsidP="00BE45EE">
      <w:pPr>
        <w:tabs>
          <w:tab w:val="left" w:pos="709"/>
        </w:tabs>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DAECEA7" w14:textId="77777777" w:rsidR="005A709E" w:rsidRDefault="005A709E" w:rsidP="005A709E">
      <w:pPr>
        <w:tabs>
          <w:tab w:val="left" w:pos="709"/>
        </w:tabs>
        <w:ind w:firstLine="426"/>
        <w:jc w:val="both"/>
        <w:rPr>
          <w:rFonts w:ascii="Arial" w:hAnsi="Arial" w:cs="Arial"/>
          <w:sz w:val="22"/>
          <w:szCs w:val="22"/>
        </w:rPr>
      </w:pPr>
    </w:p>
    <w:p w14:paraId="163AC14D" w14:textId="77777777" w:rsidR="005A709E" w:rsidRDefault="005A709E" w:rsidP="00BE45EE">
      <w:pPr>
        <w:tabs>
          <w:tab w:val="left" w:pos="709"/>
        </w:tabs>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67165846" w14:textId="77777777" w:rsidR="005A709E" w:rsidRDefault="005A709E" w:rsidP="005A709E">
      <w:pPr>
        <w:tabs>
          <w:tab w:val="left" w:pos="709"/>
        </w:tabs>
        <w:ind w:firstLine="426"/>
        <w:jc w:val="both"/>
        <w:rPr>
          <w:rFonts w:ascii="Arial" w:hAnsi="Arial" w:cs="Arial"/>
          <w:sz w:val="22"/>
          <w:szCs w:val="22"/>
        </w:rPr>
      </w:pPr>
    </w:p>
    <w:p w14:paraId="5F456333" w14:textId="77777777" w:rsidR="000E4A4B" w:rsidRDefault="005A709E" w:rsidP="00BE45EE">
      <w:pPr>
        <w:tabs>
          <w:tab w:val="left" w:pos="709"/>
        </w:tabs>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03FB7957" w14:textId="77777777" w:rsidR="00181BC3" w:rsidRPr="00F53661" w:rsidRDefault="00181BC3" w:rsidP="00181BC3">
      <w:pPr>
        <w:pStyle w:val="VnitrniText"/>
        <w:ind w:firstLine="0"/>
        <w:jc w:val="center"/>
        <w:rPr>
          <w:b/>
          <w:sz w:val="22"/>
          <w:szCs w:val="22"/>
        </w:rPr>
      </w:pPr>
    </w:p>
    <w:p w14:paraId="616AC1F7"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57A005E2" w14:textId="77777777" w:rsidR="00181BC3" w:rsidRPr="00716CAD" w:rsidRDefault="00181BC3" w:rsidP="00BE45EE">
      <w:pPr>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EFE23B9" w14:textId="77777777" w:rsidR="00BE45EE" w:rsidRDefault="00BE45EE" w:rsidP="00BE45EE">
      <w:pPr>
        <w:jc w:val="both"/>
        <w:rPr>
          <w:rFonts w:ascii="Arial" w:hAnsi="Arial" w:cs="Arial"/>
          <w:sz w:val="22"/>
          <w:szCs w:val="22"/>
        </w:rPr>
      </w:pPr>
    </w:p>
    <w:p w14:paraId="310E912F" w14:textId="222EF873" w:rsidR="00181BC3" w:rsidRPr="00716CAD" w:rsidRDefault="00E45FCD" w:rsidP="00BE45EE">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6E48900" w14:textId="77777777" w:rsidR="00181BC3" w:rsidRPr="00F53661" w:rsidRDefault="00181BC3" w:rsidP="00181BC3">
      <w:pPr>
        <w:pStyle w:val="VnitrniText"/>
        <w:rPr>
          <w:sz w:val="22"/>
          <w:szCs w:val="22"/>
        </w:rPr>
      </w:pPr>
    </w:p>
    <w:p w14:paraId="58687F11"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3BDFA69D" w14:textId="77777777" w:rsidR="00181BC3" w:rsidRPr="00716CAD" w:rsidRDefault="00181BC3" w:rsidP="00BE45EE">
      <w:pPr>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0E079D0B" w14:textId="77777777" w:rsidR="003B4FF8" w:rsidRDefault="003B4FF8" w:rsidP="00181BC3">
      <w:pPr>
        <w:pStyle w:val="para"/>
        <w:tabs>
          <w:tab w:val="clear" w:pos="709"/>
        </w:tabs>
        <w:ind w:firstLine="426"/>
        <w:jc w:val="both"/>
        <w:rPr>
          <w:sz w:val="22"/>
          <w:szCs w:val="22"/>
        </w:rPr>
      </w:pPr>
    </w:p>
    <w:p w14:paraId="552077D3"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EA015B8" w14:textId="5A8588EC" w:rsidR="00F86E89" w:rsidRPr="00BE45EE" w:rsidRDefault="00F86E89" w:rsidP="00BE45EE">
      <w:pPr>
        <w:rPr>
          <w:rFonts w:ascii="Arial" w:hAnsi="Arial" w:cs="Arial"/>
          <w:sz w:val="22"/>
          <w:szCs w:val="22"/>
        </w:rPr>
      </w:pPr>
      <w:r w:rsidRPr="00A2149C">
        <w:rPr>
          <w:rFonts w:ascii="Arial" w:hAnsi="Arial" w:cs="Arial"/>
          <w:sz w:val="22"/>
          <w:szCs w:val="22"/>
        </w:rPr>
        <w:tab/>
        <w:t xml:space="preserve">   </w:t>
      </w:r>
      <w:r w:rsidRPr="00A2149C">
        <w:rPr>
          <w:sz w:val="22"/>
          <w:szCs w:val="22"/>
        </w:rPr>
        <w:tab/>
      </w:r>
      <w:r w:rsidRPr="00A2149C">
        <w:rPr>
          <w:sz w:val="22"/>
          <w:szCs w:val="22"/>
        </w:rPr>
        <w:tab/>
        <w:t xml:space="preserve">    </w:t>
      </w:r>
    </w:p>
    <w:p w14:paraId="4E6DF9C0"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6"/>
      </w:tblGrid>
      <w:tr w:rsidR="003468BE" w14:paraId="66F5E228" w14:textId="77777777" w:rsidTr="003468BE">
        <w:tc>
          <w:tcPr>
            <w:tcW w:w="4888" w:type="dxa"/>
            <w:hideMark/>
          </w:tcPr>
          <w:p w14:paraId="6C1326A5" w14:textId="48A6550D" w:rsidR="003468BE" w:rsidRDefault="003468BE">
            <w:pPr>
              <w:pStyle w:val="VnitrniText"/>
              <w:ind w:firstLine="0"/>
              <w:rPr>
                <w:sz w:val="22"/>
                <w:szCs w:val="22"/>
              </w:rPr>
            </w:pPr>
            <w:r>
              <w:rPr>
                <w:sz w:val="22"/>
                <w:szCs w:val="22"/>
              </w:rPr>
              <w:t xml:space="preserve">V Brně dne </w:t>
            </w:r>
            <w:r w:rsidR="00BE2243">
              <w:rPr>
                <w:sz w:val="22"/>
                <w:szCs w:val="22"/>
              </w:rPr>
              <w:t>1.12.20</w:t>
            </w:r>
            <w:r w:rsidR="00B84606">
              <w:rPr>
                <w:sz w:val="22"/>
                <w:szCs w:val="22"/>
              </w:rPr>
              <w:t>23</w:t>
            </w:r>
          </w:p>
        </w:tc>
        <w:tc>
          <w:tcPr>
            <w:tcW w:w="4889" w:type="dxa"/>
            <w:hideMark/>
          </w:tcPr>
          <w:p w14:paraId="35BE775C" w14:textId="101F8CBF" w:rsidR="003468BE" w:rsidRDefault="003468BE">
            <w:pPr>
              <w:pStyle w:val="VnitrniText"/>
              <w:tabs>
                <w:tab w:val="left" w:pos="4820"/>
              </w:tabs>
              <w:ind w:firstLine="0"/>
              <w:rPr>
                <w:sz w:val="22"/>
                <w:szCs w:val="22"/>
              </w:rPr>
            </w:pPr>
            <w:r>
              <w:rPr>
                <w:sz w:val="22"/>
                <w:szCs w:val="22"/>
              </w:rPr>
              <w:t xml:space="preserve">V </w:t>
            </w:r>
            <w:r w:rsidR="00142A82">
              <w:rPr>
                <w:sz w:val="22"/>
                <w:szCs w:val="22"/>
              </w:rPr>
              <w:t>Plzni</w:t>
            </w:r>
            <w:r>
              <w:rPr>
                <w:sz w:val="22"/>
                <w:szCs w:val="22"/>
              </w:rPr>
              <w:t xml:space="preserve"> dne </w:t>
            </w:r>
            <w:r w:rsidR="00142A82">
              <w:rPr>
                <w:sz w:val="22"/>
                <w:szCs w:val="22"/>
              </w:rPr>
              <w:t>27.11.</w:t>
            </w:r>
            <w:r w:rsidR="005E6D62">
              <w:rPr>
                <w:sz w:val="22"/>
                <w:szCs w:val="22"/>
              </w:rPr>
              <w:t xml:space="preserve"> </w:t>
            </w:r>
            <w:r w:rsidR="00142A82">
              <w:rPr>
                <w:sz w:val="22"/>
                <w:szCs w:val="22"/>
              </w:rPr>
              <w:t>2023</w:t>
            </w:r>
          </w:p>
        </w:tc>
      </w:tr>
    </w:tbl>
    <w:p w14:paraId="01F1FB4A" w14:textId="77777777" w:rsidR="003468BE" w:rsidRDefault="003468BE" w:rsidP="003468BE">
      <w:pPr>
        <w:pStyle w:val="VnitrniText"/>
        <w:tabs>
          <w:tab w:val="left" w:pos="4820"/>
        </w:tabs>
        <w:ind w:firstLine="142"/>
        <w:rPr>
          <w:sz w:val="22"/>
          <w:szCs w:val="22"/>
        </w:rPr>
      </w:pPr>
      <w:r>
        <w:rPr>
          <w:sz w:val="22"/>
          <w:szCs w:val="22"/>
        </w:rPr>
        <w:tab/>
      </w:r>
    </w:p>
    <w:p w14:paraId="3B4208CB" w14:textId="77777777" w:rsidR="003468BE" w:rsidRDefault="003468BE" w:rsidP="003468BE">
      <w:pPr>
        <w:pStyle w:val="VnitrniText"/>
        <w:tabs>
          <w:tab w:val="left" w:pos="5103"/>
        </w:tabs>
        <w:ind w:firstLine="142"/>
        <w:rPr>
          <w:sz w:val="22"/>
          <w:szCs w:val="22"/>
        </w:rPr>
      </w:pPr>
    </w:p>
    <w:p w14:paraId="6F583574"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BF34BF" w14:paraId="1525DEEE" w14:textId="77777777" w:rsidTr="00BF34BF">
        <w:tc>
          <w:tcPr>
            <w:tcW w:w="4818" w:type="dxa"/>
          </w:tcPr>
          <w:p w14:paraId="62574305" w14:textId="77777777" w:rsidR="00BF34BF" w:rsidRDefault="00BF34BF">
            <w:pPr>
              <w:pStyle w:val="VnitrniText"/>
              <w:ind w:firstLine="0"/>
              <w:rPr>
                <w:sz w:val="22"/>
                <w:szCs w:val="22"/>
              </w:rPr>
            </w:pPr>
          </w:p>
        </w:tc>
        <w:tc>
          <w:tcPr>
            <w:tcW w:w="4819" w:type="dxa"/>
          </w:tcPr>
          <w:p w14:paraId="48B2F9CC" w14:textId="77777777" w:rsidR="00BF34BF" w:rsidRDefault="00BF34BF">
            <w:pPr>
              <w:pStyle w:val="VnitrniText"/>
              <w:tabs>
                <w:tab w:val="left" w:pos="5103"/>
              </w:tabs>
              <w:ind w:firstLine="0"/>
              <w:rPr>
                <w:sz w:val="22"/>
                <w:szCs w:val="22"/>
              </w:rPr>
            </w:pPr>
          </w:p>
        </w:tc>
      </w:tr>
      <w:tr w:rsidR="00BF34BF" w14:paraId="4AE502DF" w14:textId="77777777" w:rsidTr="00BF34BF">
        <w:tc>
          <w:tcPr>
            <w:tcW w:w="4818" w:type="dxa"/>
            <w:hideMark/>
          </w:tcPr>
          <w:p w14:paraId="68E5FF70" w14:textId="77777777" w:rsidR="00BF34BF" w:rsidRDefault="00BF34BF">
            <w:pPr>
              <w:pStyle w:val="VnitrniText"/>
              <w:tabs>
                <w:tab w:val="left" w:pos="5103"/>
              </w:tabs>
              <w:ind w:firstLine="0"/>
              <w:jc w:val="left"/>
              <w:rPr>
                <w:sz w:val="22"/>
                <w:szCs w:val="22"/>
              </w:rPr>
            </w:pPr>
            <w:r>
              <w:rPr>
                <w:sz w:val="22"/>
                <w:szCs w:val="22"/>
              </w:rPr>
              <w:t>............................................</w:t>
            </w:r>
          </w:p>
        </w:tc>
        <w:tc>
          <w:tcPr>
            <w:tcW w:w="4819" w:type="dxa"/>
            <w:hideMark/>
          </w:tcPr>
          <w:p w14:paraId="5A85679E" w14:textId="77777777" w:rsidR="00BF34BF" w:rsidRDefault="00BF34BF">
            <w:pPr>
              <w:pStyle w:val="VnitrniText"/>
              <w:tabs>
                <w:tab w:val="left" w:pos="5103"/>
              </w:tabs>
              <w:ind w:firstLine="0"/>
              <w:jc w:val="left"/>
              <w:rPr>
                <w:sz w:val="22"/>
                <w:szCs w:val="22"/>
              </w:rPr>
            </w:pPr>
            <w:r>
              <w:rPr>
                <w:sz w:val="22"/>
                <w:szCs w:val="22"/>
              </w:rPr>
              <w:t>............................................</w:t>
            </w:r>
          </w:p>
        </w:tc>
      </w:tr>
      <w:tr w:rsidR="00BF34BF" w14:paraId="0A5A2BCF" w14:textId="77777777" w:rsidTr="00BF34BF">
        <w:tc>
          <w:tcPr>
            <w:tcW w:w="4818" w:type="dxa"/>
            <w:hideMark/>
          </w:tcPr>
          <w:p w14:paraId="4EAC031F" w14:textId="77777777" w:rsidR="00BF34BF" w:rsidRDefault="00BF34BF">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19" w:type="dxa"/>
            <w:hideMark/>
          </w:tcPr>
          <w:p w14:paraId="38009B7F" w14:textId="77777777" w:rsidR="00BF34BF" w:rsidRDefault="00BF34BF">
            <w:pPr>
              <w:suppressAutoHyphens w:val="0"/>
              <w:autoSpaceDE w:val="0"/>
              <w:autoSpaceDN w:val="0"/>
              <w:adjustRightInd w:val="0"/>
              <w:rPr>
                <w:rFonts w:ascii="Arial" w:hAnsi="Arial" w:cs="Arial"/>
                <w:sz w:val="22"/>
                <w:szCs w:val="22"/>
              </w:rPr>
            </w:pPr>
            <w:r>
              <w:rPr>
                <w:rFonts w:ascii="Arial" w:hAnsi="Arial" w:cs="Arial"/>
                <w:sz w:val="22"/>
                <w:szCs w:val="22"/>
              </w:rPr>
              <w:t>České štěrkopísky spol. s r.o.</w:t>
            </w:r>
          </w:p>
        </w:tc>
      </w:tr>
      <w:tr w:rsidR="00BF34BF" w14:paraId="32AFE27E" w14:textId="77777777" w:rsidTr="00BF34BF">
        <w:tc>
          <w:tcPr>
            <w:tcW w:w="4818" w:type="dxa"/>
            <w:hideMark/>
          </w:tcPr>
          <w:p w14:paraId="404F616A" w14:textId="77777777" w:rsidR="00BF34BF" w:rsidRDefault="00BF34BF">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19" w:type="dxa"/>
          </w:tcPr>
          <w:p w14:paraId="405908B5" w14:textId="77777777" w:rsidR="00BF34BF" w:rsidRDefault="00BF34BF">
            <w:pPr>
              <w:suppressAutoHyphens w:val="0"/>
              <w:autoSpaceDE w:val="0"/>
              <w:autoSpaceDN w:val="0"/>
              <w:adjustRightInd w:val="0"/>
              <w:rPr>
                <w:rFonts w:ascii="Arial" w:hAnsi="Arial" w:cs="Arial"/>
                <w:sz w:val="22"/>
                <w:szCs w:val="22"/>
              </w:rPr>
            </w:pPr>
          </w:p>
        </w:tc>
      </w:tr>
      <w:tr w:rsidR="00BF34BF" w14:paraId="73B72600" w14:textId="77777777" w:rsidTr="00BF34BF">
        <w:tc>
          <w:tcPr>
            <w:tcW w:w="4818" w:type="dxa"/>
            <w:hideMark/>
          </w:tcPr>
          <w:p w14:paraId="2090D457" w14:textId="77777777" w:rsidR="00BF34BF" w:rsidRDefault="00BF34BF">
            <w:pPr>
              <w:suppressAutoHyphens w:val="0"/>
              <w:autoSpaceDE w:val="0"/>
              <w:autoSpaceDN w:val="0"/>
              <w:adjustRightInd w:val="0"/>
              <w:rPr>
                <w:rFonts w:ascii="Arial" w:hAnsi="Arial" w:cs="Arial"/>
                <w:sz w:val="22"/>
                <w:szCs w:val="22"/>
              </w:rPr>
            </w:pPr>
            <w:r>
              <w:rPr>
                <w:rFonts w:ascii="Arial" w:hAnsi="Arial" w:cs="Arial"/>
                <w:sz w:val="22"/>
                <w:szCs w:val="22"/>
              </w:rPr>
              <w:t>Ing. Renata Číhalová</w:t>
            </w:r>
          </w:p>
        </w:tc>
        <w:tc>
          <w:tcPr>
            <w:tcW w:w="4819" w:type="dxa"/>
            <w:hideMark/>
          </w:tcPr>
          <w:p w14:paraId="6F2EDBE7" w14:textId="3EB76668" w:rsidR="00BF34BF" w:rsidRDefault="00B84606">
            <w:pPr>
              <w:suppressAutoHyphens w:val="0"/>
              <w:autoSpaceDE w:val="0"/>
              <w:autoSpaceDN w:val="0"/>
              <w:adjustRightInd w:val="0"/>
              <w:rPr>
                <w:rFonts w:ascii="Arial" w:hAnsi="Arial" w:cs="Arial"/>
                <w:sz w:val="22"/>
                <w:szCs w:val="22"/>
              </w:rPr>
            </w:pPr>
            <w:proofErr w:type="spellStart"/>
            <w:r>
              <w:rPr>
                <w:rFonts w:ascii="Arial" w:hAnsi="Arial" w:cs="Arial"/>
                <w:sz w:val="22"/>
                <w:szCs w:val="22"/>
              </w:rPr>
              <w:t>xxx</w:t>
            </w:r>
            <w:proofErr w:type="spellEnd"/>
            <w:r w:rsidR="00BF34BF">
              <w:rPr>
                <w:rFonts w:ascii="Arial" w:hAnsi="Arial" w:cs="Arial"/>
                <w:sz w:val="22"/>
                <w:szCs w:val="22"/>
              </w:rPr>
              <w:t xml:space="preserve">. </w:t>
            </w:r>
            <w:proofErr w:type="spellStart"/>
            <w:r>
              <w:rPr>
                <w:rFonts w:ascii="Arial" w:hAnsi="Arial" w:cs="Arial"/>
                <w:sz w:val="22"/>
                <w:szCs w:val="22"/>
              </w:rPr>
              <w:t>xxxxxxx</w:t>
            </w:r>
            <w:proofErr w:type="spellEnd"/>
            <w:r w:rsidR="00BF34BF">
              <w:rPr>
                <w:rFonts w:ascii="Arial" w:hAnsi="Arial" w:cs="Arial"/>
                <w:sz w:val="22"/>
                <w:szCs w:val="22"/>
              </w:rPr>
              <w:t xml:space="preserve"> </w:t>
            </w:r>
            <w:proofErr w:type="spellStart"/>
            <w:r>
              <w:rPr>
                <w:rFonts w:ascii="Arial" w:hAnsi="Arial" w:cs="Arial"/>
                <w:sz w:val="22"/>
                <w:szCs w:val="22"/>
              </w:rPr>
              <w:t>xxxxxx</w:t>
            </w:r>
            <w:proofErr w:type="spellEnd"/>
          </w:p>
        </w:tc>
      </w:tr>
      <w:tr w:rsidR="00BF34BF" w14:paraId="1F3F71D1" w14:textId="77777777" w:rsidTr="00BF34BF">
        <w:tc>
          <w:tcPr>
            <w:tcW w:w="4818" w:type="dxa"/>
          </w:tcPr>
          <w:p w14:paraId="5439BC38" w14:textId="77777777" w:rsidR="00BF34BF" w:rsidRDefault="00BF34BF">
            <w:pPr>
              <w:suppressAutoHyphens w:val="0"/>
              <w:autoSpaceDE w:val="0"/>
              <w:autoSpaceDN w:val="0"/>
              <w:adjustRightInd w:val="0"/>
              <w:rPr>
                <w:rFonts w:ascii="Arial" w:hAnsi="Arial" w:cs="Arial"/>
                <w:sz w:val="22"/>
                <w:szCs w:val="22"/>
              </w:rPr>
            </w:pPr>
          </w:p>
        </w:tc>
        <w:tc>
          <w:tcPr>
            <w:tcW w:w="4819" w:type="dxa"/>
            <w:hideMark/>
          </w:tcPr>
          <w:p w14:paraId="45F691AD" w14:textId="77777777" w:rsidR="00BF34BF" w:rsidRDefault="00BF34BF">
            <w:pPr>
              <w:suppressAutoHyphens w:val="0"/>
              <w:autoSpaceDE w:val="0"/>
              <w:autoSpaceDN w:val="0"/>
              <w:adjustRightInd w:val="0"/>
              <w:rPr>
                <w:rFonts w:ascii="Arial" w:hAnsi="Arial" w:cs="Arial"/>
                <w:sz w:val="22"/>
                <w:szCs w:val="22"/>
              </w:rPr>
            </w:pPr>
            <w:r>
              <w:rPr>
                <w:rFonts w:ascii="Arial" w:hAnsi="Arial" w:cs="Arial"/>
                <w:sz w:val="22"/>
                <w:szCs w:val="22"/>
              </w:rPr>
              <w:t>advokát jednající na základě plné moci</w:t>
            </w:r>
          </w:p>
        </w:tc>
      </w:tr>
      <w:tr w:rsidR="00BF34BF" w14:paraId="4C6828F8" w14:textId="77777777" w:rsidTr="00BF34BF">
        <w:tc>
          <w:tcPr>
            <w:tcW w:w="4818" w:type="dxa"/>
          </w:tcPr>
          <w:p w14:paraId="5FFE1BD7" w14:textId="77777777" w:rsidR="00BF34BF" w:rsidRDefault="00BF34BF">
            <w:pPr>
              <w:suppressAutoHyphens w:val="0"/>
              <w:autoSpaceDE w:val="0"/>
              <w:autoSpaceDN w:val="0"/>
              <w:adjustRightInd w:val="0"/>
              <w:rPr>
                <w:rFonts w:ascii="Arial" w:hAnsi="Arial" w:cs="Arial"/>
                <w:sz w:val="22"/>
                <w:szCs w:val="22"/>
              </w:rPr>
            </w:pPr>
          </w:p>
        </w:tc>
        <w:tc>
          <w:tcPr>
            <w:tcW w:w="4819" w:type="dxa"/>
          </w:tcPr>
          <w:p w14:paraId="327EFACC" w14:textId="77777777" w:rsidR="00BF34BF" w:rsidRDefault="00BF34BF">
            <w:pPr>
              <w:suppressAutoHyphens w:val="0"/>
              <w:autoSpaceDE w:val="0"/>
              <w:autoSpaceDN w:val="0"/>
              <w:adjustRightInd w:val="0"/>
              <w:rPr>
                <w:rFonts w:ascii="Arial" w:hAnsi="Arial" w:cs="Arial"/>
                <w:sz w:val="22"/>
                <w:szCs w:val="22"/>
              </w:rPr>
            </w:pPr>
          </w:p>
        </w:tc>
      </w:tr>
      <w:tr w:rsidR="00BF34BF" w14:paraId="1C6D9093" w14:textId="77777777" w:rsidTr="00BF34BF">
        <w:tc>
          <w:tcPr>
            <w:tcW w:w="4818" w:type="dxa"/>
          </w:tcPr>
          <w:p w14:paraId="52F88929" w14:textId="77777777" w:rsidR="00BF34BF" w:rsidRDefault="00BF34BF">
            <w:pPr>
              <w:suppressAutoHyphens w:val="0"/>
              <w:autoSpaceDE w:val="0"/>
              <w:autoSpaceDN w:val="0"/>
              <w:adjustRightInd w:val="0"/>
              <w:rPr>
                <w:rFonts w:ascii="Arial" w:hAnsi="Arial" w:cs="Arial"/>
                <w:sz w:val="22"/>
                <w:szCs w:val="22"/>
              </w:rPr>
            </w:pPr>
          </w:p>
        </w:tc>
        <w:tc>
          <w:tcPr>
            <w:tcW w:w="4819" w:type="dxa"/>
            <w:hideMark/>
          </w:tcPr>
          <w:p w14:paraId="23B2C648" w14:textId="77777777" w:rsidR="00BF34BF" w:rsidRDefault="00BF34BF">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14:paraId="26D75530" w14:textId="77777777" w:rsidR="003468BE" w:rsidRDefault="003468BE">
      <w:pPr>
        <w:suppressAutoHyphens w:val="0"/>
        <w:autoSpaceDE w:val="0"/>
        <w:autoSpaceDN w:val="0"/>
        <w:adjustRightInd w:val="0"/>
        <w:rPr>
          <w:rFonts w:ascii="Arial" w:hAnsi="Arial" w:cs="Arial"/>
          <w:sz w:val="22"/>
          <w:szCs w:val="22"/>
        </w:rPr>
      </w:pPr>
    </w:p>
    <w:p w14:paraId="2DEBD846" w14:textId="77777777" w:rsidR="00E82828" w:rsidRPr="00E82828" w:rsidRDefault="00E82828" w:rsidP="00E82828">
      <w:pPr>
        <w:pStyle w:val="VnitrniText"/>
        <w:ind w:firstLine="142"/>
        <w:rPr>
          <w:sz w:val="22"/>
          <w:szCs w:val="22"/>
        </w:rPr>
      </w:pPr>
    </w:p>
    <w:p w14:paraId="4BD4B3FF" w14:textId="17E96F9B" w:rsidR="00F86E89" w:rsidRDefault="00F86E89" w:rsidP="00F86E89">
      <w:pPr>
        <w:pStyle w:val="VnitrniText"/>
        <w:rPr>
          <w:sz w:val="22"/>
          <w:szCs w:val="22"/>
        </w:rPr>
      </w:pPr>
    </w:p>
    <w:p w14:paraId="716B5623" w14:textId="4FE2B501" w:rsidR="00BF34BF" w:rsidRDefault="00BF34BF" w:rsidP="00F86E89">
      <w:pPr>
        <w:pStyle w:val="VnitrniText"/>
        <w:rPr>
          <w:sz w:val="22"/>
          <w:szCs w:val="22"/>
        </w:rPr>
      </w:pPr>
    </w:p>
    <w:p w14:paraId="4746B716" w14:textId="7EEAAB05" w:rsidR="00BE45EE" w:rsidRDefault="00BE45EE" w:rsidP="00F86E89">
      <w:pPr>
        <w:pStyle w:val="VnitrniText"/>
        <w:rPr>
          <w:sz w:val="22"/>
          <w:szCs w:val="22"/>
        </w:rPr>
      </w:pPr>
    </w:p>
    <w:p w14:paraId="0BAFCB77" w14:textId="721D5664" w:rsidR="00BE45EE" w:rsidRDefault="00BE45EE" w:rsidP="00F86E89">
      <w:pPr>
        <w:pStyle w:val="VnitrniText"/>
        <w:rPr>
          <w:sz w:val="22"/>
          <w:szCs w:val="22"/>
        </w:rPr>
      </w:pPr>
    </w:p>
    <w:p w14:paraId="6A882313" w14:textId="03B68DB6" w:rsidR="00BE45EE" w:rsidRDefault="00BE45EE" w:rsidP="00F86E89">
      <w:pPr>
        <w:pStyle w:val="VnitrniText"/>
        <w:rPr>
          <w:sz w:val="22"/>
          <w:szCs w:val="22"/>
        </w:rPr>
      </w:pPr>
    </w:p>
    <w:p w14:paraId="0D67319F" w14:textId="4AE76492" w:rsidR="00BE45EE" w:rsidRDefault="00BE45EE" w:rsidP="00F86E89">
      <w:pPr>
        <w:pStyle w:val="VnitrniText"/>
        <w:rPr>
          <w:sz w:val="22"/>
          <w:szCs w:val="22"/>
        </w:rPr>
      </w:pPr>
    </w:p>
    <w:p w14:paraId="2A0A1DA4" w14:textId="611FE5EE" w:rsidR="00BE45EE" w:rsidRDefault="00BE45EE" w:rsidP="00F86E89">
      <w:pPr>
        <w:pStyle w:val="VnitrniText"/>
        <w:rPr>
          <w:sz w:val="22"/>
          <w:szCs w:val="22"/>
        </w:rPr>
      </w:pPr>
    </w:p>
    <w:p w14:paraId="1FC4D4FF" w14:textId="5D2C05F0" w:rsidR="00BE45EE" w:rsidRDefault="00BE45EE" w:rsidP="00F86E89">
      <w:pPr>
        <w:pStyle w:val="VnitrniText"/>
        <w:rPr>
          <w:sz w:val="22"/>
          <w:szCs w:val="22"/>
        </w:rPr>
      </w:pPr>
    </w:p>
    <w:p w14:paraId="7CECB714" w14:textId="203873E0" w:rsidR="00BE45EE" w:rsidRDefault="00BE45EE" w:rsidP="00F86E89">
      <w:pPr>
        <w:pStyle w:val="VnitrniText"/>
        <w:rPr>
          <w:sz w:val="22"/>
          <w:szCs w:val="22"/>
        </w:rPr>
      </w:pPr>
    </w:p>
    <w:p w14:paraId="3E61E330" w14:textId="77777777" w:rsidR="00A376C3" w:rsidRDefault="00A376C3" w:rsidP="00F86E89">
      <w:pPr>
        <w:pStyle w:val="VnitrniText"/>
        <w:rPr>
          <w:sz w:val="22"/>
          <w:szCs w:val="22"/>
        </w:rPr>
      </w:pPr>
    </w:p>
    <w:p w14:paraId="0825E773" w14:textId="77777777" w:rsidR="00A376C3" w:rsidRDefault="00A376C3" w:rsidP="00F86E89">
      <w:pPr>
        <w:pStyle w:val="VnitrniText"/>
        <w:rPr>
          <w:sz w:val="22"/>
          <w:szCs w:val="22"/>
        </w:rPr>
      </w:pPr>
    </w:p>
    <w:p w14:paraId="22A0AB8F" w14:textId="77777777" w:rsidR="00A376C3" w:rsidRDefault="00A376C3" w:rsidP="00F86E89">
      <w:pPr>
        <w:pStyle w:val="VnitrniText"/>
        <w:rPr>
          <w:sz w:val="22"/>
          <w:szCs w:val="22"/>
        </w:rPr>
      </w:pPr>
    </w:p>
    <w:p w14:paraId="7037E8EF" w14:textId="77777777" w:rsidR="00A376C3" w:rsidRDefault="00A376C3" w:rsidP="00F86E89">
      <w:pPr>
        <w:pStyle w:val="VnitrniText"/>
        <w:rPr>
          <w:sz w:val="22"/>
          <w:szCs w:val="22"/>
        </w:rPr>
      </w:pPr>
    </w:p>
    <w:p w14:paraId="30C22AB9" w14:textId="23EDC696" w:rsidR="00BE45EE" w:rsidRDefault="00BE45EE" w:rsidP="00F86E89">
      <w:pPr>
        <w:pStyle w:val="VnitrniText"/>
        <w:rPr>
          <w:sz w:val="22"/>
          <w:szCs w:val="22"/>
        </w:rPr>
      </w:pPr>
    </w:p>
    <w:p w14:paraId="73E837FD" w14:textId="2EB8DA66" w:rsidR="00BE45EE" w:rsidRDefault="00BE45EE" w:rsidP="00F86E89">
      <w:pPr>
        <w:pStyle w:val="VnitrniText"/>
        <w:rPr>
          <w:sz w:val="22"/>
          <w:szCs w:val="22"/>
        </w:rPr>
      </w:pPr>
    </w:p>
    <w:p w14:paraId="049F4DB4" w14:textId="77777777" w:rsidR="00BE45EE" w:rsidRDefault="00BE45EE" w:rsidP="00F86E89">
      <w:pPr>
        <w:pStyle w:val="VnitrniText"/>
        <w:rPr>
          <w:sz w:val="22"/>
          <w:szCs w:val="22"/>
        </w:rPr>
      </w:pPr>
    </w:p>
    <w:p w14:paraId="1939B29B" w14:textId="5585B12F" w:rsidR="00BF34BF" w:rsidRDefault="00BF34BF" w:rsidP="00F86E89">
      <w:pPr>
        <w:pStyle w:val="VnitrniText"/>
        <w:rPr>
          <w:sz w:val="22"/>
          <w:szCs w:val="22"/>
        </w:rPr>
      </w:pPr>
    </w:p>
    <w:p w14:paraId="04EB3FDB" w14:textId="77777777" w:rsidR="00BF34BF" w:rsidRPr="00A2149C" w:rsidRDefault="00BF34BF" w:rsidP="00F86E89">
      <w:pPr>
        <w:pStyle w:val="VnitrniText"/>
        <w:rPr>
          <w:sz w:val="22"/>
          <w:szCs w:val="22"/>
        </w:rPr>
      </w:pPr>
    </w:p>
    <w:p w14:paraId="3A0A0AD0" w14:textId="77777777" w:rsidR="00F86E89" w:rsidRPr="00A2149C" w:rsidRDefault="00F86E89" w:rsidP="00F86E89">
      <w:pPr>
        <w:pStyle w:val="VnitrniText"/>
        <w:ind w:firstLine="0"/>
        <w:rPr>
          <w:sz w:val="22"/>
          <w:szCs w:val="22"/>
        </w:rPr>
      </w:pPr>
    </w:p>
    <w:p w14:paraId="2E4DAADA" w14:textId="77777777" w:rsidR="00F86E89" w:rsidRPr="00A2149C" w:rsidRDefault="00F86E89" w:rsidP="00F86E89">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74A02623" w14:textId="77777777" w:rsidR="00F86E89" w:rsidRPr="00A2149C" w:rsidRDefault="00F86E89" w:rsidP="00F86E89">
      <w:pPr>
        <w:pStyle w:val="VnitrniText"/>
        <w:ind w:firstLine="0"/>
        <w:rPr>
          <w:sz w:val="22"/>
          <w:szCs w:val="22"/>
        </w:rPr>
      </w:pPr>
    </w:p>
    <w:p w14:paraId="3EE40EB7"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4E156203" w14:textId="77777777" w:rsidR="00F86E89" w:rsidRPr="00A2149C" w:rsidRDefault="00F86E89" w:rsidP="00F86E89">
      <w:pPr>
        <w:pStyle w:val="VnitrniText"/>
        <w:ind w:firstLine="0"/>
        <w:rPr>
          <w:sz w:val="22"/>
          <w:szCs w:val="22"/>
        </w:rPr>
      </w:pPr>
    </w:p>
    <w:p w14:paraId="255DFDA2" w14:textId="77777777" w:rsidR="00F86E89" w:rsidRPr="00A2149C" w:rsidRDefault="00F86E89" w:rsidP="00F86E89">
      <w:pPr>
        <w:pStyle w:val="VnitrniText"/>
        <w:ind w:firstLine="0"/>
        <w:rPr>
          <w:sz w:val="22"/>
          <w:szCs w:val="22"/>
        </w:rPr>
      </w:pPr>
      <w:r w:rsidRPr="00A2149C">
        <w:rPr>
          <w:sz w:val="22"/>
          <w:szCs w:val="22"/>
        </w:rPr>
        <w:t xml:space="preserve">ID smlouvy ……………………………... </w:t>
      </w:r>
    </w:p>
    <w:p w14:paraId="21D802F3" w14:textId="77777777" w:rsidR="00F86E89" w:rsidRPr="00A2149C" w:rsidRDefault="00F86E89" w:rsidP="00F86E89">
      <w:pPr>
        <w:pStyle w:val="VnitrniText"/>
        <w:ind w:firstLine="0"/>
        <w:rPr>
          <w:sz w:val="22"/>
          <w:szCs w:val="22"/>
        </w:rPr>
      </w:pPr>
    </w:p>
    <w:p w14:paraId="76F5E89C"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52E99BB0" w14:textId="77777777" w:rsidR="00F86E89" w:rsidRPr="00EB1964" w:rsidRDefault="00F86E89" w:rsidP="00F86E89">
      <w:pPr>
        <w:pStyle w:val="VnitrniText"/>
        <w:ind w:firstLine="0"/>
        <w:rPr>
          <w:sz w:val="22"/>
          <w:szCs w:val="22"/>
        </w:rPr>
      </w:pPr>
    </w:p>
    <w:p w14:paraId="670681E2"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7FB197DC" w14:textId="77777777" w:rsidR="00F86E89" w:rsidRPr="00A2149C" w:rsidRDefault="00F86E89" w:rsidP="00F86E89">
      <w:pPr>
        <w:pStyle w:val="VnitrniText"/>
        <w:ind w:firstLine="0"/>
        <w:rPr>
          <w:sz w:val="22"/>
          <w:szCs w:val="22"/>
        </w:rPr>
      </w:pPr>
    </w:p>
    <w:p w14:paraId="5B1BCE2D" w14:textId="47C90BE1" w:rsidR="00F86E89" w:rsidRPr="00A2149C" w:rsidRDefault="00F86E89" w:rsidP="00F86E89">
      <w:pPr>
        <w:pStyle w:val="VnitrniText"/>
        <w:tabs>
          <w:tab w:val="left" w:pos="3969"/>
        </w:tabs>
        <w:ind w:firstLine="0"/>
        <w:rPr>
          <w:sz w:val="22"/>
          <w:szCs w:val="22"/>
        </w:rPr>
      </w:pPr>
      <w:r w:rsidRPr="00A2149C">
        <w:rPr>
          <w:sz w:val="22"/>
          <w:szCs w:val="22"/>
        </w:rPr>
        <w:t xml:space="preserve">V </w:t>
      </w:r>
      <w:r w:rsidR="00BE45EE">
        <w:rPr>
          <w:sz w:val="22"/>
          <w:szCs w:val="22"/>
        </w:rPr>
        <w:t>Brně</w:t>
      </w:r>
      <w:r w:rsidRPr="00A2149C">
        <w:rPr>
          <w:sz w:val="22"/>
          <w:szCs w:val="22"/>
        </w:rPr>
        <w:t xml:space="preserve"> dne …………….</w:t>
      </w:r>
      <w:r w:rsidRPr="00A2149C">
        <w:rPr>
          <w:sz w:val="22"/>
          <w:szCs w:val="22"/>
        </w:rPr>
        <w:tab/>
        <w:t xml:space="preserve">………………………. </w:t>
      </w:r>
    </w:p>
    <w:p w14:paraId="54C18CE8"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20478417" w14:textId="77777777" w:rsidR="00D4325F" w:rsidRDefault="00D4325F" w:rsidP="00D4325F">
      <w:pPr>
        <w:rPr>
          <w:rFonts w:ascii="Arial" w:hAnsi="Arial" w:cs="Arial"/>
          <w:sz w:val="22"/>
          <w:szCs w:val="22"/>
        </w:rPr>
      </w:pPr>
    </w:p>
    <w:p w14:paraId="72A317BB" w14:textId="77777777" w:rsidR="00950547" w:rsidRDefault="00950547" w:rsidP="00D4325F">
      <w:pPr>
        <w:rPr>
          <w:rFonts w:ascii="Arial" w:hAnsi="Arial" w:cs="Arial"/>
          <w:sz w:val="22"/>
          <w:szCs w:val="22"/>
        </w:rPr>
      </w:pPr>
    </w:p>
    <w:p w14:paraId="75D255AB"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1F7D" w14:textId="77777777" w:rsidR="00207FA5" w:rsidRDefault="00207FA5">
      <w:r>
        <w:separator/>
      </w:r>
    </w:p>
  </w:endnote>
  <w:endnote w:type="continuationSeparator" w:id="0">
    <w:p w14:paraId="4B461BE5" w14:textId="77777777" w:rsidR="00207FA5" w:rsidRDefault="0020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9F30" w14:textId="77777777" w:rsidR="00207FA5" w:rsidRDefault="00207FA5">
      <w:r>
        <w:separator/>
      </w:r>
    </w:p>
  </w:footnote>
  <w:footnote w:type="continuationSeparator" w:id="0">
    <w:p w14:paraId="4DA1B430" w14:textId="77777777" w:rsidR="00207FA5" w:rsidRDefault="0020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88163195">
    <w:abstractNumId w:val="0"/>
  </w:num>
  <w:num w:numId="2" w16cid:durableId="2082868892">
    <w:abstractNumId w:val="1"/>
  </w:num>
  <w:num w:numId="3" w16cid:durableId="560747799">
    <w:abstractNumId w:val="2"/>
  </w:num>
  <w:num w:numId="4" w16cid:durableId="487745702">
    <w:abstractNumId w:val="3"/>
  </w:num>
  <w:num w:numId="5" w16cid:durableId="147522900">
    <w:abstractNumId w:val="4"/>
  </w:num>
  <w:num w:numId="6" w16cid:durableId="561987347">
    <w:abstractNumId w:val="5"/>
  </w:num>
  <w:num w:numId="7" w16cid:durableId="21295419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0389431">
    <w:abstractNumId w:val="8"/>
  </w:num>
  <w:num w:numId="9" w16cid:durableId="329868933">
    <w:abstractNumId w:val="6"/>
  </w:num>
  <w:num w:numId="10" w16cid:durableId="1233616339">
    <w:abstractNumId w:val="7"/>
  </w:num>
  <w:num w:numId="11" w16cid:durableId="1576083022">
    <w:abstractNumId w:val="9"/>
  </w:num>
  <w:num w:numId="12" w16cid:durableId="1055617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2A8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07FA5"/>
    <w:rsid w:val="00213539"/>
    <w:rsid w:val="002242C8"/>
    <w:rsid w:val="00224ABF"/>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D7DD3"/>
    <w:rsid w:val="004E11C1"/>
    <w:rsid w:val="004E368B"/>
    <w:rsid w:val="004E7224"/>
    <w:rsid w:val="004F5A52"/>
    <w:rsid w:val="00517B2A"/>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E6D62"/>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1687"/>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376C3"/>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84606"/>
    <w:rsid w:val="00B9043A"/>
    <w:rsid w:val="00B94D77"/>
    <w:rsid w:val="00BA3C66"/>
    <w:rsid w:val="00BB37D9"/>
    <w:rsid w:val="00BB5F1E"/>
    <w:rsid w:val="00BB6A7B"/>
    <w:rsid w:val="00BB7E33"/>
    <w:rsid w:val="00BC17A6"/>
    <w:rsid w:val="00BC66CD"/>
    <w:rsid w:val="00BD1BBC"/>
    <w:rsid w:val="00BD2928"/>
    <w:rsid w:val="00BE2243"/>
    <w:rsid w:val="00BE45EE"/>
    <w:rsid w:val="00BE50B5"/>
    <w:rsid w:val="00BF34BF"/>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BD6"/>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1F5C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Zhlav">
    <w:name w:val="header"/>
    <w:basedOn w:val="Normln"/>
    <w:link w:val="ZhlavChar"/>
    <w:uiPriority w:val="99"/>
    <w:rsid w:val="004D7DD3"/>
    <w:pPr>
      <w:tabs>
        <w:tab w:val="center" w:pos="4536"/>
        <w:tab w:val="right" w:pos="9072"/>
      </w:tabs>
    </w:pPr>
  </w:style>
  <w:style w:type="character" w:customStyle="1" w:styleId="ZhlavChar">
    <w:name w:val="Záhlaví Char"/>
    <w:basedOn w:val="Standardnpsmoodstavce"/>
    <w:link w:val="Zhlav"/>
    <w:uiPriority w:val="99"/>
    <w:rsid w:val="004D7DD3"/>
    <w:rPr>
      <w:sz w:val="24"/>
      <w:szCs w:val="24"/>
      <w:lang w:eastAsia="ar-SA"/>
    </w:rPr>
  </w:style>
  <w:style w:type="paragraph" w:styleId="Zpat">
    <w:name w:val="footer"/>
    <w:basedOn w:val="Normln"/>
    <w:link w:val="ZpatChar"/>
    <w:uiPriority w:val="99"/>
    <w:rsid w:val="004D7DD3"/>
    <w:pPr>
      <w:tabs>
        <w:tab w:val="center" w:pos="4536"/>
        <w:tab w:val="right" w:pos="9072"/>
      </w:tabs>
    </w:pPr>
  </w:style>
  <w:style w:type="character" w:customStyle="1" w:styleId="ZpatChar">
    <w:name w:val="Zápatí Char"/>
    <w:basedOn w:val="Standardnpsmoodstavce"/>
    <w:link w:val="Zpat"/>
    <w:uiPriority w:val="99"/>
    <w:rsid w:val="004D7DD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86062">
      <w:bodyDiv w:val="1"/>
      <w:marLeft w:val="0"/>
      <w:marRight w:val="0"/>
      <w:marTop w:val="0"/>
      <w:marBottom w:val="0"/>
      <w:divBdr>
        <w:top w:val="none" w:sz="0" w:space="0" w:color="auto"/>
        <w:left w:val="none" w:sz="0" w:space="0" w:color="auto"/>
        <w:bottom w:val="none" w:sz="0" w:space="0" w:color="auto"/>
        <w:right w:val="none" w:sz="0" w:space="0" w:color="auto"/>
      </w:divBdr>
    </w:div>
    <w:div w:id="1232692414">
      <w:marLeft w:val="0"/>
      <w:marRight w:val="0"/>
      <w:marTop w:val="0"/>
      <w:marBottom w:val="0"/>
      <w:divBdr>
        <w:top w:val="none" w:sz="0" w:space="0" w:color="auto"/>
        <w:left w:val="none" w:sz="0" w:space="0" w:color="auto"/>
        <w:bottom w:val="none" w:sz="0" w:space="0" w:color="auto"/>
        <w:right w:val="none" w:sz="0" w:space="0" w:color="auto"/>
      </w:divBdr>
    </w:div>
    <w:div w:id="1232692415">
      <w:marLeft w:val="0"/>
      <w:marRight w:val="0"/>
      <w:marTop w:val="0"/>
      <w:marBottom w:val="0"/>
      <w:divBdr>
        <w:top w:val="none" w:sz="0" w:space="0" w:color="auto"/>
        <w:left w:val="none" w:sz="0" w:space="0" w:color="auto"/>
        <w:bottom w:val="none" w:sz="0" w:space="0" w:color="auto"/>
        <w:right w:val="none" w:sz="0" w:space="0" w:color="auto"/>
      </w:divBdr>
    </w:div>
    <w:div w:id="1232692416">
      <w:marLeft w:val="0"/>
      <w:marRight w:val="0"/>
      <w:marTop w:val="0"/>
      <w:marBottom w:val="0"/>
      <w:divBdr>
        <w:top w:val="none" w:sz="0" w:space="0" w:color="auto"/>
        <w:left w:val="none" w:sz="0" w:space="0" w:color="auto"/>
        <w:bottom w:val="none" w:sz="0" w:space="0" w:color="auto"/>
        <w:right w:val="none" w:sz="0" w:space="0" w:color="auto"/>
      </w:divBdr>
    </w:div>
    <w:div w:id="1232692417">
      <w:marLeft w:val="0"/>
      <w:marRight w:val="0"/>
      <w:marTop w:val="0"/>
      <w:marBottom w:val="0"/>
      <w:divBdr>
        <w:top w:val="none" w:sz="0" w:space="0" w:color="auto"/>
        <w:left w:val="none" w:sz="0" w:space="0" w:color="auto"/>
        <w:bottom w:val="none" w:sz="0" w:space="0" w:color="auto"/>
        <w:right w:val="none" w:sz="0" w:space="0" w:color="auto"/>
      </w:divBdr>
    </w:div>
    <w:div w:id="1232692418">
      <w:marLeft w:val="0"/>
      <w:marRight w:val="0"/>
      <w:marTop w:val="0"/>
      <w:marBottom w:val="0"/>
      <w:divBdr>
        <w:top w:val="none" w:sz="0" w:space="0" w:color="auto"/>
        <w:left w:val="none" w:sz="0" w:space="0" w:color="auto"/>
        <w:bottom w:val="none" w:sz="0" w:space="0" w:color="auto"/>
        <w:right w:val="none" w:sz="0" w:space="0" w:color="auto"/>
      </w:divBdr>
    </w:div>
    <w:div w:id="1232692419">
      <w:marLeft w:val="0"/>
      <w:marRight w:val="0"/>
      <w:marTop w:val="0"/>
      <w:marBottom w:val="0"/>
      <w:divBdr>
        <w:top w:val="none" w:sz="0" w:space="0" w:color="auto"/>
        <w:left w:val="none" w:sz="0" w:space="0" w:color="auto"/>
        <w:bottom w:val="none" w:sz="0" w:space="0" w:color="auto"/>
        <w:right w:val="none" w:sz="0" w:space="0" w:color="auto"/>
      </w:divBdr>
    </w:div>
    <w:div w:id="1232692420">
      <w:marLeft w:val="0"/>
      <w:marRight w:val="0"/>
      <w:marTop w:val="0"/>
      <w:marBottom w:val="0"/>
      <w:divBdr>
        <w:top w:val="none" w:sz="0" w:space="0" w:color="auto"/>
        <w:left w:val="none" w:sz="0" w:space="0" w:color="auto"/>
        <w:bottom w:val="none" w:sz="0" w:space="0" w:color="auto"/>
        <w:right w:val="none" w:sz="0" w:space="0" w:color="auto"/>
      </w:divBdr>
    </w:div>
    <w:div w:id="1232692421">
      <w:marLeft w:val="0"/>
      <w:marRight w:val="0"/>
      <w:marTop w:val="0"/>
      <w:marBottom w:val="0"/>
      <w:divBdr>
        <w:top w:val="none" w:sz="0" w:space="0" w:color="auto"/>
        <w:left w:val="none" w:sz="0" w:space="0" w:color="auto"/>
        <w:bottom w:val="none" w:sz="0" w:space="0" w:color="auto"/>
        <w:right w:val="none" w:sz="0" w:space="0" w:color="auto"/>
      </w:divBdr>
    </w:div>
    <w:div w:id="1232692422">
      <w:marLeft w:val="0"/>
      <w:marRight w:val="0"/>
      <w:marTop w:val="0"/>
      <w:marBottom w:val="0"/>
      <w:divBdr>
        <w:top w:val="none" w:sz="0" w:space="0" w:color="auto"/>
        <w:left w:val="none" w:sz="0" w:space="0" w:color="auto"/>
        <w:bottom w:val="none" w:sz="0" w:space="0" w:color="auto"/>
        <w:right w:val="none" w:sz="0" w:space="0" w:color="auto"/>
      </w:divBdr>
    </w:div>
    <w:div w:id="1232692423">
      <w:marLeft w:val="0"/>
      <w:marRight w:val="0"/>
      <w:marTop w:val="0"/>
      <w:marBottom w:val="0"/>
      <w:divBdr>
        <w:top w:val="none" w:sz="0" w:space="0" w:color="auto"/>
        <w:left w:val="none" w:sz="0" w:space="0" w:color="auto"/>
        <w:bottom w:val="none" w:sz="0" w:space="0" w:color="auto"/>
        <w:right w:val="none" w:sz="0" w:space="0" w:color="auto"/>
      </w:divBdr>
    </w:div>
    <w:div w:id="1232692424">
      <w:marLeft w:val="0"/>
      <w:marRight w:val="0"/>
      <w:marTop w:val="0"/>
      <w:marBottom w:val="0"/>
      <w:divBdr>
        <w:top w:val="none" w:sz="0" w:space="0" w:color="auto"/>
        <w:left w:val="none" w:sz="0" w:space="0" w:color="auto"/>
        <w:bottom w:val="none" w:sz="0" w:space="0" w:color="auto"/>
        <w:right w:val="none" w:sz="0" w:space="0" w:color="auto"/>
      </w:divBdr>
    </w:div>
    <w:div w:id="1232692425">
      <w:marLeft w:val="0"/>
      <w:marRight w:val="0"/>
      <w:marTop w:val="0"/>
      <w:marBottom w:val="0"/>
      <w:divBdr>
        <w:top w:val="none" w:sz="0" w:space="0" w:color="auto"/>
        <w:left w:val="none" w:sz="0" w:space="0" w:color="auto"/>
        <w:bottom w:val="none" w:sz="0" w:space="0" w:color="auto"/>
        <w:right w:val="none" w:sz="0" w:space="0" w:color="auto"/>
      </w:divBdr>
    </w:div>
    <w:div w:id="1232692426">
      <w:marLeft w:val="0"/>
      <w:marRight w:val="0"/>
      <w:marTop w:val="0"/>
      <w:marBottom w:val="0"/>
      <w:divBdr>
        <w:top w:val="none" w:sz="0" w:space="0" w:color="auto"/>
        <w:left w:val="none" w:sz="0" w:space="0" w:color="auto"/>
        <w:bottom w:val="none" w:sz="0" w:space="0" w:color="auto"/>
        <w:right w:val="none" w:sz="0" w:space="0" w:color="auto"/>
      </w:divBdr>
    </w:div>
    <w:div w:id="1232692427">
      <w:marLeft w:val="0"/>
      <w:marRight w:val="0"/>
      <w:marTop w:val="0"/>
      <w:marBottom w:val="0"/>
      <w:divBdr>
        <w:top w:val="none" w:sz="0" w:space="0" w:color="auto"/>
        <w:left w:val="none" w:sz="0" w:space="0" w:color="auto"/>
        <w:bottom w:val="none" w:sz="0" w:space="0" w:color="auto"/>
        <w:right w:val="none" w:sz="0" w:space="0" w:color="auto"/>
      </w:divBdr>
    </w:div>
    <w:div w:id="1232692428">
      <w:marLeft w:val="0"/>
      <w:marRight w:val="0"/>
      <w:marTop w:val="0"/>
      <w:marBottom w:val="0"/>
      <w:divBdr>
        <w:top w:val="none" w:sz="0" w:space="0" w:color="auto"/>
        <w:left w:val="none" w:sz="0" w:space="0" w:color="auto"/>
        <w:bottom w:val="none" w:sz="0" w:space="0" w:color="auto"/>
        <w:right w:val="none" w:sz="0" w:space="0" w:color="auto"/>
      </w:divBdr>
    </w:div>
    <w:div w:id="1232692429">
      <w:marLeft w:val="0"/>
      <w:marRight w:val="0"/>
      <w:marTop w:val="0"/>
      <w:marBottom w:val="0"/>
      <w:divBdr>
        <w:top w:val="none" w:sz="0" w:space="0" w:color="auto"/>
        <w:left w:val="none" w:sz="0" w:space="0" w:color="auto"/>
        <w:bottom w:val="none" w:sz="0" w:space="0" w:color="auto"/>
        <w:right w:val="none" w:sz="0" w:space="0" w:color="auto"/>
      </w:divBdr>
    </w:div>
    <w:div w:id="1232692430">
      <w:marLeft w:val="0"/>
      <w:marRight w:val="0"/>
      <w:marTop w:val="0"/>
      <w:marBottom w:val="0"/>
      <w:divBdr>
        <w:top w:val="none" w:sz="0" w:space="0" w:color="auto"/>
        <w:left w:val="none" w:sz="0" w:space="0" w:color="auto"/>
        <w:bottom w:val="none" w:sz="0" w:space="0" w:color="auto"/>
        <w:right w:val="none" w:sz="0" w:space="0" w:color="auto"/>
      </w:divBdr>
    </w:div>
    <w:div w:id="1232692431">
      <w:marLeft w:val="0"/>
      <w:marRight w:val="0"/>
      <w:marTop w:val="0"/>
      <w:marBottom w:val="0"/>
      <w:divBdr>
        <w:top w:val="none" w:sz="0" w:space="0" w:color="auto"/>
        <w:left w:val="none" w:sz="0" w:space="0" w:color="auto"/>
        <w:bottom w:val="none" w:sz="0" w:space="0" w:color="auto"/>
        <w:right w:val="none" w:sz="0" w:space="0" w:color="auto"/>
      </w:divBdr>
    </w:div>
    <w:div w:id="1232692432">
      <w:marLeft w:val="0"/>
      <w:marRight w:val="0"/>
      <w:marTop w:val="0"/>
      <w:marBottom w:val="0"/>
      <w:divBdr>
        <w:top w:val="none" w:sz="0" w:space="0" w:color="auto"/>
        <w:left w:val="none" w:sz="0" w:space="0" w:color="auto"/>
        <w:bottom w:val="none" w:sz="0" w:space="0" w:color="auto"/>
        <w:right w:val="none" w:sz="0" w:space="0" w:color="auto"/>
      </w:divBdr>
    </w:div>
    <w:div w:id="1232692433">
      <w:marLeft w:val="0"/>
      <w:marRight w:val="0"/>
      <w:marTop w:val="0"/>
      <w:marBottom w:val="0"/>
      <w:divBdr>
        <w:top w:val="none" w:sz="0" w:space="0" w:color="auto"/>
        <w:left w:val="none" w:sz="0" w:space="0" w:color="auto"/>
        <w:bottom w:val="none" w:sz="0" w:space="0" w:color="auto"/>
        <w:right w:val="none" w:sz="0" w:space="0" w:color="auto"/>
      </w:divBdr>
    </w:div>
    <w:div w:id="1232692434">
      <w:marLeft w:val="0"/>
      <w:marRight w:val="0"/>
      <w:marTop w:val="0"/>
      <w:marBottom w:val="0"/>
      <w:divBdr>
        <w:top w:val="none" w:sz="0" w:space="0" w:color="auto"/>
        <w:left w:val="none" w:sz="0" w:space="0" w:color="auto"/>
        <w:bottom w:val="none" w:sz="0" w:space="0" w:color="auto"/>
        <w:right w:val="none" w:sz="0" w:space="0" w:color="auto"/>
      </w:divBdr>
    </w:div>
    <w:div w:id="1232692435">
      <w:marLeft w:val="0"/>
      <w:marRight w:val="0"/>
      <w:marTop w:val="0"/>
      <w:marBottom w:val="0"/>
      <w:divBdr>
        <w:top w:val="none" w:sz="0" w:space="0" w:color="auto"/>
        <w:left w:val="none" w:sz="0" w:space="0" w:color="auto"/>
        <w:bottom w:val="none" w:sz="0" w:space="0" w:color="auto"/>
        <w:right w:val="none" w:sz="0" w:space="0" w:color="auto"/>
      </w:divBdr>
    </w:div>
    <w:div w:id="1232692436">
      <w:marLeft w:val="0"/>
      <w:marRight w:val="0"/>
      <w:marTop w:val="0"/>
      <w:marBottom w:val="0"/>
      <w:divBdr>
        <w:top w:val="none" w:sz="0" w:space="0" w:color="auto"/>
        <w:left w:val="none" w:sz="0" w:space="0" w:color="auto"/>
        <w:bottom w:val="none" w:sz="0" w:space="0" w:color="auto"/>
        <w:right w:val="none" w:sz="0" w:space="0" w:color="auto"/>
      </w:divBdr>
    </w:div>
    <w:div w:id="1232692437">
      <w:marLeft w:val="0"/>
      <w:marRight w:val="0"/>
      <w:marTop w:val="0"/>
      <w:marBottom w:val="0"/>
      <w:divBdr>
        <w:top w:val="none" w:sz="0" w:space="0" w:color="auto"/>
        <w:left w:val="none" w:sz="0" w:space="0" w:color="auto"/>
        <w:bottom w:val="none" w:sz="0" w:space="0" w:color="auto"/>
        <w:right w:val="none" w:sz="0" w:space="0" w:color="auto"/>
      </w:divBdr>
    </w:div>
    <w:div w:id="1232692438">
      <w:marLeft w:val="0"/>
      <w:marRight w:val="0"/>
      <w:marTop w:val="0"/>
      <w:marBottom w:val="0"/>
      <w:divBdr>
        <w:top w:val="none" w:sz="0" w:space="0" w:color="auto"/>
        <w:left w:val="none" w:sz="0" w:space="0" w:color="auto"/>
        <w:bottom w:val="none" w:sz="0" w:space="0" w:color="auto"/>
        <w:right w:val="none" w:sz="0" w:space="0" w:color="auto"/>
      </w:divBdr>
    </w:div>
    <w:div w:id="1232692439">
      <w:marLeft w:val="0"/>
      <w:marRight w:val="0"/>
      <w:marTop w:val="0"/>
      <w:marBottom w:val="0"/>
      <w:divBdr>
        <w:top w:val="none" w:sz="0" w:space="0" w:color="auto"/>
        <w:left w:val="none" w:sz="0" w:space="0" w:color="auto"/>
        <w:bottom w:val="none" w:sz="0" w:space="0" w:color="auto"/>
        <w:right w:val="none" w:sz="0" w:space="0" w:color="auto"/>
      </w:divBdr>
    </w:div>
    <w:div w:id="1232692440">
      <w:marLeft w:val="0"/>
      <w:marRight w:val="0"/>
      <w:marTop w:val="0"/>
      <w:marBottom w:val="0"/>
      <w:divBdr>
        <w:top w:val="none" w:sz="0" w:space="0" w:color="auto"/>
        <w:left w:val="none" w:sz="0" w:space="0" w:color="auto"/>
        <w:bottom w:val="none" w:sz="0" w:space="0" w:color="auto"/>
        <w:right w:val="none" w:sz="0" w:space="0" w:color="auto"/>
      </w:divBdr>
    </w:div>
    <w:div w:id="1232692441">
      <w:marLeft w:val="0"/>
      <w:marRight w:val="0"/>
      <w:marTop w:val="0"/>
      <w:marBottom w:val="0"/>
      <w:divBdr>
        <w:top w:val="none" w:sz="0" w:space="0" w:color="auto"/>
        <w:left w:val="none" w:sz="0" w:space="0" w:color="auto"/>
        <w:bottom w:val="none" w:sz="0" w:space="0" w:color="auto"/>
        <w:right w:val="none" w:sz="0" w:space="0" w:color="auto"/>
      </w:divBdr>
    </w:div>
    <w:div w:id="1232692442">
      <w:marLeft w:val="0"/>
      <w:marRight w:val="0"/>
      <w:marTop w:val="0"/>
      <w:marBottom w:val="0"/>
      <w:divBdr>
        <w:top w:val="none" w:sz="0" w:space="0" w:color="auto"/>
        <w:left w:val="none" w:sz="0" w:space="0" w:color="auto"/>
        <w:bottom w:val="none" w:sz="0" w:space="0" w:color="auto"/>
        <w:right w:val="none" w:sz="0" w:space="0" w:color="auto"/>
      </w:divBdr>
    </w:div>
    <w:div w:id="1232692443">
      <w:marLeft w:val="0"/>
      <w:marRight w:val="0"/>
      <w:marTop w:val="0"/>
      <w:marBottom w:val="0"/>
      <w:divBdr>
        <w:top w:val="none" w:sz="0" w:space="0" w:color="auto"/>
        <w:left w:val="none" w:sz="0" w:space="0" w:color="auto"/>
        <w:bottom w:val="none" w:sz="0" w:space="0" w:color="auto"/>
        <w:right w:val="none" w:sz="0" w:space="0" w:color="auto"/>
      </w:divBdr>
    </w:div>
    <w:div w:id="1232692444">
      <w:marLeft w:val="0"/>
      <w:marRight w:val="0"/>
      <w:marTop w:val="0"/>
      <w:marBottom w:val="0"/>
      <w:divBdr>
        <w:top w:val="none" w:sz="0" w:space="0" w:color="auto"/>
        <w:left w:val="none" w:sz="0" w:space="0" w:color="auto"/>
        <w:bottom w:val="none" w:sz="0" w:space="0" w:color="auto"/>
        <w:right w:val="none" w:sz="0" w:space="0" w:color="auto"/>
      </w:divBdr>
    </w:div>
    <w:div w:id="1232692445">
      <w:marLeft w:val="0"/>
      <w:marRight w:val="0"/>
      <w:marTop w:val="0"/>
      <w:marBottom w:val="0"/>
      <w:divBdr>
        <w:top w:val="none" w:sz="0" w:space="0" w:color="auto"/>
        <w:left w:val="none" w:sz="0" w:space="0" w:color="auto"/>
        <w:bottom w:val="none" w:sz="0" w:space="0" w:color="auto"/>
        <w:right w:val="none" w:sz="0" w:space="0" w:color="auto"/>
      </w:divBdr>
    </w:div>
    <w:div w:id="1232692446">
      <w:marLeft w:val="0"/>
      <w:marRight w:val="0"/>
      <w:marTop w:val="0"/>
      <w:marBottom w:val="0"/>
      <w:divBdr>
        <w:top w:val="none" w:sz="0" w:space="0" w:color="auto"/>
        <w:left w:val="none" w:sz="0" w:space="0" w:color="auto"/>
        <w:bottom w:val="none" w:sz="0" w:space="0" w:color="auto"/>
        <w:right w:val="none" w:sz="0" w:space="0" w:color="auto"/>
      </w:divBdr>
    </w:div>
    <w:div w:id="1232692447">
      <w:marLeft w:val="0"/>
      <w:marRight w:val="0"/>
      <w:marTop w:val="0"/>
      <w:marBottom w:val="0"/>
      <w:divBdr>
        <w:top w:val="none" w:sz="0" w:space="0" w:color="auto"/>
        <w:left w:val="none" w:sz="0" w:space="0" w:color="auto"/>
        <w:bottom w:val="none" w:sz="0" w:space="0" w:color="auto"/>
        <w:right w:val="none" w:sz="0" w:space="0" w:color="auto"/>
      </w:divBdr>
    </w:div>
    <w:div w:id="1232692448">
      <w:marLeft w:val="0"/>
      <w:marRight w:val="0"/>
      <w:marTop w:val="0"/>
      <w:marBottom w:val="0"/>
      <w:divBdr>
        <w:top w:val="none" w:sz="0" w:space="0" w:color="auto"/>
        <w:left w:val="none" w:sz="0" w:space="0" w:color="auto"/>
        <w:bottom w:val="none" w:sz="0" w:space="0" w:color="auto"/>
        <w:right w:val="none" w:sz="0" w:space="0" w:color="auto"/>
      </w:divBdr>
    </w:div>
    <w:div w:id="1232692449">
      <w:marLeft w:val="0"/>
      <w:marRight w:val="0"/>
      <w:marTop w:val="0"/>
      <w:marBottom w:val="0"/>
      <w:divBdr>
        <w:top w:val="none" w:sz="0" w:space="0" w:color="auto"/>
        <w:left w:val="none" w:sz="0" w:space="0" w:color="auto"/>
        <w:bottom w:val="none" w:sz="0" w:space="0" w:color="auto"/>
        <w:right w:val="none" w:sz="0" w:space="0" w:color="auto"/>
      </w:divBdr>
    </w:div>
    <w:div w:id="1232692450">
      <w:marLeft w:val="0"/>
      <w:marRight w:val="0"/>
      <w:marTop w:val="0"/>
      <w:marBottom w:val="0"/>
      <w:divBdr>
        <w:top w:val="none" w:sz="0" w:space="0" w:color="auto"/>
        <w:left w:val="none" w:sz="0" w:space="0" w:color="auto"/>
        <w:bottom w:val="none" w:sz="0" w:space="0" w:color="auto"/>
        <w:right w:val="none" w:sz="0" w:space="0" w:color="auto"/>
      </w:divBdr>
    </w:div>
    <w:div w:id="1232692451">
      <w:marLeft w:val="0"/>
      <w:marRight w:val="0"/>
      <w:marTop w:val="0"/>
      <w:marBottom w:val="0"/>
      <w:divBdr>
        <w:top w:val="none" w:sz="0" w:space="0" w:color="auto"/>
        <w:left w:val="none" w:sz="0" w:space="0" w:color="auto"/>
        <w:bottom w:val="none" w:sz="0" w:space="0" w:color="auto"/>
        <w:right w:val="none" w:sz="0" w:space="0" w:color="auto"/>
      </w:divBdr>
    </w:div>
    <w:div w:id="1232692452">
      <w:marLeft w:val="0"/>
      <w:marRight w:val="0"/>
      <w:marTop w:val="0"/>
      <w:marBottom w:val="0"/>
      <w:divBdr>
        <w:top w:val="none" w:sz="0" w:space="0" w:color="auto"/>
        <w:left w:val="none" w:sz="0" w:space="0" w:color="auto"/>
        <w:bottom w:val="none" w:sz="0" w:space="0" w:color="auto"/>
        <w:right w:val="none" w:sz="0" w:space="0" w:color="auto"/>
      </w:divBdr>
    </w:div>
    <w:div w:id="1232692453">
      <w:marLeft w:val="0"/>
      <w:marRight w:val="0"/>
      <w:marTop w:val="0"/>
      <w:marBottom w:val="0"/>
      <w:divBdr>
        <w:top w:val="none" w:sz="0" w:space="0" w:color="auto"/>
        <w:left w:val="none" w:sz="0" w:space="0" w:color="auto"/>
        <w:bottom w:val="none" w:sz="0" w:space="0" w:color="auto"/>
        <w:right w:val="none" w:sz="0" w:space="0" w:color="auto"/>
      </w:divBdr>
    </w:div>
    <w:div w:id="1232692454">
      <w:marLeft w:val="0"/>
      <w:marRight w:val="0"/>
      <w:marTop w:val="0"/>
      <w:marBottom w:val="0"/>
      <w:divBdr>
        <w:top w:val="none" w:sz="0" w:space="0" w:color="auto"/>
        <w:left w:val="none" w:sz="0" w:space="0" w:color="auto"/>
        <w:bottom w:val="none" w:sz="0" w:space="0" w:color="auto"/>
        <w:right w:val="none" w:sz="0" w:space="0" w:color="auto"/>
      </w:divBdr>
    </w:div>
    <w:div w:id="19589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9436</Characters>
  <Application>Microsoft Office Word</Application>
  <DocSecurity>0</DocSecurity>
  <Lines>78</Lines>
  <Paragraphs>21</Paragraphs>
  <ScaleCrop>false</ScaleCrop>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2023-12-01T09:28:00Z</dcterms:created>
  <dcterms:modified xsi:type="dcterms:W3CDTF">2023-12-01T09:28:00Z</dcterms:modified>
</cp:coreProperties>
</file>