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Pr="00AA0409" w:rsidRDefault="00E512D7" w:rsidP="005C7B87">
      <w:pPr>
        <w:pStyle w:val="Podnadpis"/>
        <w:spacing w:after="120"/>
        <w:rPr>
          <w:rFonts w:ascii="Tahoma" w:hAnsi="Tahoma" w:cs="Tahoma"/>
          <w:color w:val="auto"/>
          <w:sz w:val="22"/>
          <w:szCs w:val="22"/>
        </w:rPr>
      </w:pPr>
      <w:r w:rsidRPr="00AA0409">
        <w:rPr>
          <w:rFonts w:ascii="Tahoma" w:hAnsi="Tahoma" w:cs="Tahoma"/>
          <w:color w:val="auto"/>
          <w:sz w:val="22"/>
          <w:szCs w:val="22"/>
        </w:rPr>
        <w:t>PŘÍKAZNÍ</w:t>
      </w:r>
      <w:r w:rsidR="00041C5B" w:rsidRPr="00AA0409">
        <w:rPr>
          <w:rFonts w:ascii="Tahoma" w:hAnsi="Tahoma" w:cs="Tahoma"/>
          <w:color w:val="auto"/>
          <w:sz w:val="22"/>
          <w:szCs w:val="22"/>
        </w:rPr>
        <w:t xml:space="preserve"> SMLOUVA</w:t>
      </w:r>
      <w:r w:rsidR="002820E4" w:rsidRPr="00AA0409">
        <w:rPr>
          <w:rFonts w:ascii="Tahoma" w:hAnsi="Tahoma" w:cs="Tahoma"/>
          <w:color w:val="auto"/>
          <w:sz w:val="22"/>
          <w:szCs w:val="22"/>
        </w:rPr>
        <w:br/>
      </w:r>
      <w:r w:rsidR="00041C5B" w:rsidRPr="00AA0409">
        <w:rPr>
          <w:rFonts w:ascii="Tahoma" w:hAnsi="Tahoma" w:cs="Tahoma"/>
          <w:color w:val="auto"/>
          <w:sz w:val="22"/>
          <w:szCs w:val="22"/>
        </w:rPr>
        <w:t xml:space="preserve">na výkon </w:t>
      </w:r>
      <w:r w:rsidR="00F407D5" w:rsidRPr="00AA0409">
        <w:rPr>
          <w:rFonts w:ascii="Tahoma" w:hAnsi="Tahoma" w:cs="Tahoma"/>
          <w:color w:val="auto"/>
          <w:sz w:val="22"/>
          <w:szCs w:val="22"/>
        </w:rPr>
        <w:t>TDS a koordinátora BOZP</w:t>
      </w:r>
    </w:p>
    <w:p w14:paraId="14D0CD7C" w14:textId="0F95196D"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43E72063" w:rsidR="00041C5B" w:rsidRPr="00AA0409" w:rsidRDefault="00AA0409" w:rsidP="000D44B7">
      <w:pPr>
        <w:numPr>
          <w:ilvl w:val="0"/>
          <w:numId w:val="10"/>
        </w:numPr>
        <w:tabs>
          <w:tab w:val="clear" w:pos="720"/>
        </w:tabs>
        <w:spacing w:before="240"/>
        <w:ind w:left="357" w:hanging="357"/>
        <w:jc w:val="both"/>
        <w:rPr>
          <w:rFonts w:ascii="Tahoma" w:hAnsi="Tahoma" w:cs="Tahoma"/>
          <w:b/>
          <w:sz w:val="22"/>
          <w:szCs w:val="22"/>
        </w:rPr>
      </w:pPr>
      <w:r w:rsidRPr="00AA0409">
        <w:rPr>
          <w:rFonts w:ascii="Tahoma" w:hAnsi="Tahoma" w:cs="Tahoma"/>
          <w:b/>
          <w:sz w:val="22"/>
          <w:szCs w:val="22"/>
        </w:rPr>
        <w:t xml:space="preserve">Domov Na zámku, příspěvková organizace </w:t>
      </w:r>
    </w:p>
    <w:p w14:paraId="0CD9BEF5" w14:textId="7B23DB52"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s</w:t>
      </w:r>
      <w:r w:rsidR="00041C5B" w:rsidRPr="00AA0409">
        <w:rPr>
          <w:rFonts w:ascii="Tahoma" w:hAnsi="Tahoma" w:cs="Tahoma"/>
          <w:sz w:val="22"/>
          <w:szCs w:val="22"/>
        </w:rPr>
        <w:t>e sídlem:</w:t>
      </w:r>
      <w:r w:rsidR="00AA0409" w:rsidRPr="00AA0409">
        <w:rPr>
          <w:rFonts w:ascii="Tahoma" w:hAnsi="Tahoma" w:cs="Tahoma"/>
          <w:sz w:val="22"/>
          <w:szCs w:val="22"/>
        </w:rPr>
        <w:t xml:space="preserve"> Kyjovice čp. 1, 747 68  Kyjovice</w:t>
      </w:r>
      <w:r w:rsidR="00041C5B" w:rsidRPr="00AA0409">
        <w:rPr>
          <w:rFonts w:ascii="Tahoma" w:hAnsi="Tahoma" w:cs="Tahoma"/>
          <w:sz w:val="22"/>
          <w:szCs w:val="22"/>
        </w:rPr>
        <w:tab/>
      </w:r>
    </w:p>
    <w:p w14:paraId="187F7D5F" w14:textId="0597359A" w:rsidR="0029557A"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z</w:t>
      </w:r>
      <w:r w:rsidR="00041C5B" w:rsidRPr="00AA0409">
        <w:rPr>
          <w:rFonts w:ascii="Tahoma" w:hAnsi="Tahoma" w:cs="Tahoma"/>
          <w:sz w:val="22"/>
          <w:szCs w:val="22"/>
        </w:rPr>
        <w:t>astoupen</w:t>
      </w:r>
      <w:r w:rsidR="00AA0409" w:rsidRPr="00AA0409">
        <w:rPr>
          <w:rFonts w:ascii="Tahoma" w:hAnsi="Tahoma" w:cs="Tahoma"/>
          <w:sz w:val="22"/>
          <w:szCs w:val="22"/>
        </w:rPr>
        <w:t>á</w:t>
      </w:r>
      <w:r w:rsidR="00041C5B" w:rsidRPr="00AA0409">
        <w:rPr>
          <w:rFonts w:ascii="Tahoma" w:hAnsi="Tahoma" w:cs="Tahoma"/>
          <w:sz w:val="22"/>
          <w:szCs w:val="22"/>
        </w:rPr>
        <w:t>:</w:t>
      </w:r>
      <w:r w:rsidR="00AA0409" w:rsidRPr="00AA0409">
        <w:rPr>
          <w:rFonts w:ascii="Tahoma" w:hAnsi="Tahoma" w:cs="Tahoma"/>
          <w:sz w:val="22"/>
          <w:szCs w:val="22"/>
        </w:rPr>
        <w:t xml:space="preserve"> Mgr. Ing. Ivan</w:t>
      </w:r>
      <w:r w:rsidR="00433B83">
        <w:rPr>
          <w:rFonts w:ascii="Tahoma" w:hAnsi="Tahoma" w:cs="Tahoma"/>
          <w:sz w:val="22"/>
          <w:szCs w:val="22"/>
        </w:rPr>
        <w:t>a Martiníková</w:t>
      </w:r>
      <w:r w:rsidR="00041C5B" w:rsidRPr="00AA0409">
        <w:rPr>
          <w:rFonts w:ascii="Tahoma" w:hAnsi="Tahoma" w:cs="Tahoma"/>
          <w:sz w:val="22"/>
          <w:szCs w:val="22"/>
        </w:rPr>
        <w:tab/>
      </w:r>
    </w:p>
    <w:p w14:paraId="6DF95A1C" w14:textId="77777777" w:rsidR="0094063A" w:rsidRPr="00AA0409" w:rsidRDefault="0094063A" w:rsidP="005C7B87">
      <w:pPr>
        <w:numPr>
          <w:ilvl w:val="12"/>
          <w:numId w:val="0"/>
        </w:numPr>
        <w:tabs>
          <w:tab w:val="left" w:pos="2552"/>
        </w:tabs>
        <w:ind w:left="357"/>
        <w:jc w:val="both"/>
        <w:rPr>
          <w:rFonts w:ascii="Tahoma" w:hAnsi="Tahoma" w:cs="Tahoma"/>
          <w:sz w:val="22"/>
          <w:szCs w:val="22"/>
        </w:rPr>
      </w:pPr>
    </w:p>
    <w:p w14:paraId="1202D1A5" w14:textId="3CAD3F3D"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IČ</w:t>
      </w:r>
      <w:r w:rsidR="00790F86" w:rsidRPr="00AA0409">
        <w:rPr>
          <w:rFonts w:ascii="Tahoma" w:hAnsi="Tahoma" w:cs="Tahoma"/>
          <w:sz w:val="22"/>
          <w:szCs w:val="22"/>
        </w:rPr>
        <w:t>O</w:t>
      </w:r>
      <w:r w:rsidRPr="00AA0409">
        <w:rPr>
          <w:rFonts w:ascii="Tahoma" w:hAnsi="Tahoma" w:cs="Tahoma"/>
          <w:sz w:val="22"/>
          <w:szCs w:val="22"/>
        </w:rPr>
        <w:t>:</w:t>
      </w:r>
      <w:r w:rsidR="00AA0409" w:rsidRPr="00AA0409">
        <w:rPr>
          <w:rFonts w:ascii="Tahoma" w:hAnsi="Tahoma" w:cs="Tahoma"/>
          <w:sz w:val="22"/>
          <w:szCs w:val="22"/>
        </w:rPr>
        <w:t>71197001</w:t>
      </w:r>
      <w:r w:rsidRPr="00AA0409">
        <w:rPr>
          <w:rFonts w:ascii="Tahoma" w:hAnsi="Tahoma" w:cs="Tahoma"/>
          <w:sz w:val="22"/>
          <w:szCs w:val="22"/>
        </w:rPr>
        <w:tab/>
      </w:r>
    </w:p>
    <w:p w14:paraId="113168F5" w14:textId="246EC239"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DIČ:</w:t>
      </w:r>
      <w:r w:rsidR="00AA0409" w:rsidRPr="00AA0409">
        <w:rPr>
          <w:rFonts w:ascii="Tahoma" w:hAnsi="Tahoma" w:cs="Tahoma"/>
          <w:sz w:val="22"/>
          <w:szCs w:val="22"/>
        </w:rPr>
        <w:t xml:space="preserve"> CZ71197001</w:t>
      </w:r>
      <w:r w:rsidRPr="00AA0409">
        <w:rPr>
          <w:rFonts w:ascii="Tahoma" w:hAnsi="Tahoma" w:cs="Tahoma"/>
          <w:sz w:val="22"/>
          <w:szCs w:val="22"/>
        </w:rPr>
        <w:tab/>
      </w:r>
    </w:p>
    <w:p w14:paraId="2F943374" w14:textId="448EFA5F"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b</w:t>
      </w:r>
      <w:r w:rsidR="00041C5B" w:rsidRPr="00AA0409">
        <w:rPr>
          <w:rFonts w:ascii="Tahoma" w:hAnsi="Tahoma" w:cs="Tahoma"/>
          <w:sz w:val="22"/>
          <w:szCs w:val="22"/>
        </w:rPr>
        <w:t xml:space="preserve">ankovní spojení: </w:t>
      </w:r>
      <w:r w:rsidR="00EC15E5">
        <w:rPr>
          <w:rFonts w:ascii="Tahoma" w:hAnsi="Tahoma" w:cs="Tahoma"/>
          <w:sz w:val="22"/>
          <w:szCs w:val="22"/>
        </w:rPr>
        <w:t>XXXXXXXXXXXXX</w:t>
      </w:r>
      <w:r w:rsidR="00041C5B" w:rsidRPr="00AA0409">
        <w:rPr>
          <w:rFonts w:ascii="Tahoma" w:hAnsi="Tahoma" w:cs="Tahoma"/>
          <w:sz w:val="22"/>
          <w:szCs w:val="22"/>
        </w:rPr>
        <w:tab/>
      </w:r>
    </w:p>
    <w:p w14:paraId="6386C8AC" w14:textId="27A0D9FA" w:rsidR="00041C5B" w:rsidRPr="00AA0409" w:rsidRDefault="002820E4" w:rsidP="005C7B87">
      <w:pPr>
        <w:numPr>
          <w:ilvl w:val="12"/>
          <w:numId w:val="0"/>
        </w:numPr>
        <w:tabs>
          <w:tab w:val="left" w:pos="2552"/>
        </w:tabs>
        <w:ind w:left="357"/>
        <w:jc w:val="both"/>
        <w:rPr>
          <w:rFonts w:ascii="Tahoma" w:hAnsi="Tahoma" w:cs="Tahoma"/>
          <w:sz w:val="22"/>
          <w:szCs w:val="22"/>
        </w:rPr>
      </w:pPr>
      <w:r w:rsidRPr="00AA0409">
        <w:rPr>
          <w:rFonts w:ascii="Tahoma" w:hAnsi="Tahoma" w:cs="Tahoma"/>
          <w:sz w:val="22"/>
          <w:szCs w:val="22"/>
        </w:rPr>
        <w:t>č</w:t>
      </w:r>
      <w:r w:rsidR="00041C5B" w:rsidRPr="00AA0409">
        <w:rPr>
          <w:rFonts w:ascii="Tahoma" w:hAnsi="Tahoma" w:cs="Tahoma"/>
          <w:sz w:val="22"/>
          <w:szCs w:val="22"/>
        </w:rPr>
        <w:t xml:space="preserve">íslo účtu: </w:t>
      </w:r>
      <w:r w:rsidR="00EC15E5">
        <w:rPr>
          <w:rFonts w:ascii="Tahoma" w:hAnsi="Tahoma" w:cs="Tahoma"/>
          <w:sz w:val="22"/>
          <w:szCs w:val="22"/>
        </w:rPr>
        <w:t>XXXXXXXXXX</w:t>
      </w:r>
      <w:r w:rsidR="00041C5B" w:rsidRPr="00AA0409">
        <w:rPr>
          <w:rFonts w:ascii="Tahoma" w:hAnsi="Tahoma" w:cs="Tahoma"/>
          <w:sz w:val="22"/>
          <w:szCs w:val="22"/>
        </w:rPr>
        <w:tab/>
      </w:r>
    </w:p>
    <w:p w14:paraId="44CD5F07" w14:textId="77777777" w:rsidR="00041C5B" w:rsidRPr="00AA0409" w:rsidRDefault="00041C5B" w:rsidP="005C7B87">
      <w:pPr>
        <w:spacing w:before="120"/>
        <w:ind w:left="357"/>
        <w:jc w:val="both"/>
        <w:rPr>
          <w:rFonts w:ascii="Tahoma" w:hAnsi="Tahoma" w:cs="Tahoma"/>
          <w:sz w:val="22"/>
          <w:szCs w:val="22"/>
        </w:rPr>
      </w:pPr>
      <w:r w:rsidRPr="00AA0409">
        <w:rPr>
          <w:rFonts w:ascii="Tahoma" w:hAnsi="Tahoma" w:cs="Tahoma"/>
          <w:sz w:val="22"/>
          <w:szCs w:val="22"/>
        </w:rPr>
        <w:t xml:space="preserve">Osoba oprávněná jednat ve věcech </w:t>
      </w:r>
      <w:r w:rsidR="001738EE" w:rsidRPr="00AA0409">
        <w:rPr>
          <w:rFonts w:ascii="Tahoma" w:hAnsi="Tahoma" w:cs="Tahoma"/>
          <w:sz w:val="22"/>
          <w:szCs w:val="22"/>
        </w:rPr>
        <w:t>realizace stavby</w:t>
      </w:r>
      <w:r w:rsidRPr="00AA0409">
        <w:rPr>
          <w:rFonts w:ascii="Tahoma" w:hAnsi="Tahoma" w:cs="Tahoma"/>
          <w:sz w:val="22"/>
          <w:szCs w:val="22"/>
        </w:rPr>
        <w:t>:</w:t>
      </w:r>
    </w:p>
    <w:p w14:paraId="041A9097" w14:textId="67F25D35" w:rsidR="00AA0409" w:rsidRDefault="00AA0409" w:rsidP="00AA0409">
      <w:pPr>
        <w:pStyle w:val="dajeOSmluvnStran"/>
        <w:numPr>
          <w:ilvl w:val="0"/>
          <w:numId w:val="0"/>
        </w:numPr>
        <w:spacing w:before="60"/>
        <w:ind w:left="357"/>
        <w:jc w:val="both"/>
        <w:rPr>
          <w:rFonts w:ascii="Tahoma" w:hAnsi="Tahoma" w:cs="Tahoma"/>
          <w:sz w:val="22"/>
          <w:szCs w:val="22"/>
        </w:rPr>
      </w:pPr>
      <w:r w:rsidRPr="00AA0409">
        <w:rPr>
          <w:rFonts w:ascii="Tahoma" w:hAnsi="Tahoma" w:cs="Tahoma"/>
          <w:sz w:val="22"/>
          <w:szCs w:val="22"/>
        </w:rPr>
        <w:t>Mgr. Ing. Ivana Martiníková</w:t>
      </w:r>
      <w:r w:rsidR="00B5441A" w:rsidRPr="00AA0409">
        <w:rPr>
          <w:rFonts w:ascii="Tahoma" w:hAnsi="Tahoma" w:cs="Tahoma"/>
          <w:sz w:val="22"/>
          <w:szCs w:val="22"/>
        </w:rPr>
        <w:t>, tel.: </w:t>
      </w:r>
      <w:r w:rsidR="00EC15E5">
        <w:rPr>
          <w:rFonts w:ascii="Tahoma" w:hAnsi="Tahoma" w:cs="Tahoma"/>
          <w:sz w:val="22"/>
          <w:szCs w:val="22"/>
        </w:rPr>
        <w:t>XXXXXXXXX</w:t>
      </w:r>
    </w:p>
    <w:p w14:paraId="03ABF1EB" w14:textId="79B75242"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433B83">
        <w:rPr>
          <w:rFonts w:ascii="Tahoma" w:hAnsi="Tahoma" w:cs="Tahoma"/>
          <w:b/>
          <w:iCs/>
          <w:sz w:val="22"/>
          <w:szCs w:val="22"/>
        </w:rPr>
        <w:t>příkazce</w:t>
      </w:r>
      <w:r w:rsidRPr="00433B83">
        <w:rPr>
          <w:rFonts w:ascii="Tahoma" w:hAnsi="Tahoma" w:cs="Tahoma"/>
          <w:b/>
          <w:iCs/>
          <w:sz w:val="22"/>
          <w:szCs w:val="22"/>
        </w:rPr>
        <w:t>“</w:t>
      </w:r>
      <w:r w:rsidRPr="002820E4">
        <w:rPr>
          <w:rFonts w:ascii="Tahoma" w:hAnsi="Tahoma" w:cs="Tahoma"/>
          <w:iCs/>
          <w:sz w:val="22"/>
          <w:szCs w:val="22"/>
        </w:rPr>
        <w:t>)</w:t>
      </w:r>
    </w:p>
    <w:p w14:paraId="2384184D" w14:textId="64E2B5B6" w:rsidR="00041C5B" w:rsidRPr="002820E4" w:rsidRDefault="000C6073" w:rsidP="000D44B7">
      <w:pPr>
        <w:numPr>
          <w:ilvl w:val="0"/>
          <w:numId w:val="20"/>
        </w:numPr>
        <w:tabs>
          <w:tab w:val="clear" w:pos="720"/>
        </w:tabs>
        <w:spacing w:before="240"/>
        <w:ind w:left="357" w:hanging="357"/>
        <w:jc w:val="both"/>
        <w:rPr>
          <w:rFonts w:ascii="Tahoma" w:hAnsi="Tahoma" w:cs="Tahoma"/>
          <w:b/>
          <w:bCs/>
          <w:sz w:val="22"/>
          <w:szCs w:val="22"/>
        </w:rPr>
      </w:pPr>
      <w:r>
        <w:rPr>
          <w:rFonts w:ascii="Tahoma" w:hAnsi="Tahoma" w:cs="Tahoma"/>
          <w:b/>
          <w:bCs/>
          <w:sz w:val="22"/>
          <w:szCs w:val="22"/>
        </w:rPr>
        <w:t xml:space="preserve">Pavel Volek </w:t>
      </w:r>
    </w:p>
    <w:p w14:paraId="1DA4FC45" w14:textId="59C1EB28"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r w:rsidR="000C6073">
        <w:rPr>
          <w:rFonts w:ascii="Tahoma" w:hAnsi="Tahoma" w:cs="Tahoma"/>
          <w:sz w:val="22"/>
          <w:szCs w:val="22"/>
        </w:rPr>
        <w:t xml:space="preserve"> Pavel Volek</w:t>
      </w:r>
    </w:p>
    <w:p w14:paraId="5D6EA2AE" w14:textId="714C5169"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r w:rsidR="000C6073">
        <w:rPr>
          <w:rFonts w:ascii="Tahoma" w:hAnsi="Tahoma" w:cs="Tahoma"/>
          <w:sz w:val="22"/>
          <w:szCs w:val="22"/>
        </w:rPr>
        <w:t xml:space="preserve"> Stěbořice 234,74751 Stěbořice</w:t>
      </w:r>
    </w:p>
    <w:p w14:paraId="7863CF37" w14:textId="05379522"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0C6073">
        <w:rPr>
          <w:rFonts w:ascii="Tahoma" w:hAnsi="Tahoma" w:cs="Tahoma"/>
          <w:sz w:val="22"/>
          <w:szCs w:val="22"/>
        </w:rPr>
        <w:t xml:space="preserve"> 88112799</w:t>
      </w:r>
    </w:p>
    <w:p w14:paraId="2811614D" w14:textId="17711817"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0C6073">
        <w:rPr>
          <w:rFonts w:ascii="Tahoma" w:hAnsi="Tahoma" w:cs="Tahoma"/>
          <w:sz w:val="22"/>
          <w:szCs w:val="22"/>
        </w:rPr>
        <w:t xml:space="preserve"> CZ800813135465</w:t>
      </w:r>
    </w:p>
    <w:p w14:paraId="3DCE853D" w14:textId="048046BF"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0C6073">
        <w:rPr>
          <w:rFonts w:ascii="Tahoma" w:hAnsi="Tahoma" w:cs="Tahoma"/>
          <w:sz w:val="22"/>
          <w:szCs w:val="22"/>
        </w:rPr>
        <w:t xml:space="preserve"> </w:t>
      </w:r>
      <w:r w:rsidR="00EC15E5">
        <w:rPr>
          <w:rFonts w:ascii="Tahoma" w:hAnsi="Tahoma" w:cs="Tahoma"/>
          <w:sz w:val="22"/>
          <w:szCs w:val="22"/>
        </w:rPr>
        <w:t>XXXX</w:t>
      </w:r>
    </w:p>
    <w:p w14:paraId="36DA4CD4" w14:textId="6A7D48F8"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EC15E5">
        <w:rPr>
          <w:rFonts w:ascii="Tahoma" w:hAnsi="Tahoma" w:cs="Tahoma"/>
          <w:sz w:val="22"/>
          <w:szCs w:val="22"/>
        </w:rPr>
        <w:t>XXXXXXXXXXX</w:t>
      </w:r>
      <w:bookmarkStart w:id="0" w:name="_GoBack"/>
      <w:bookmarkEnd w:id="0"/>
    </w:p>
    <w:p w14:paraId="6FC2286B" w14:textId="5C4FAD20" w:rsidR="00041C5B" w:rsidRPr="002820E4" w:rsidRDefault="00041C5B" w:rsidP="005C7B87">
      <w:pPr>
        <w:spacing w:before="120"/>
        <w:ind w:left="357"/>
        <w:jc w:val="both"/>
        <w:rPr>
          <w:rFonts w:ascii="Tahoma" w:hAnsi="Tahoma" w:cs="Tahoma"/>
          <w:i/>
          <w:color w:val="FF0000"/>
          <w:sz w:val="22"/>
          <w:szCs w:val="22"/>
        </w:rPr>
      </w:pPr>
      <w:r w:rsidRPr="002820E4">
        <w:rPr>
          <w:rFonts w:ascii="Tahoma" w:hAnsi="Tahoma" w:cs="Tahoma"/>
          <w:sz w:val="22"/>
          <w:szCs w:val="22"/>
        </w:rPr>
        <w:t>Zapsána v</w:t>
      </w:r>
      <w:r w:rsidR="000C6073">
        <w:rPr>
          <w:rFonts w:ascii="Tahoma" w:hAnsi="Tahoma" w:cs="Tahoma"/>
          <w:sz w:val="22"/>
          <w:szCs w:val="22"/>
        </w:rPr>
        <w:t> živnostenském rejstříku</w:t>
      </w:r>
      <w:r w:rsidRPr="003055D2">
        <w:rPr>
          <w:rFonts w:ascii="Tahoma" w:hAnsi="Tahoma" w:cs="Tahoma"/>
          <w:sz w:val="22"/>
          <w:szCs w:val="22"/>
        </w:rPr>
        <w:t xml:space="preserve">, </w:t>
      </w:r>
      <w:r w:rsidRPr="002820E4">
        <w:rPr>
          <w:rFonts w:ascii="Tahoma" w:hAnsi="Tahoma" w:cs="Tahoma"/>
          <w:iCs/>
          <w:sz w:val="22"/>
          <w:szCs w:val="22"/>
        </w:rPr>
        <w:t>vedené</w:t>
      </w:r>
      <w:r w:rsidR="000C6073">
        <w:rPr>
          <w:rFonts w:ascii="Tahoma" w:hAnsi="Tahoma" w:cs="Tahoma"/>
          <w:iCs/>
          <w:sz w:val="22"/>
          <w:szCs w:val="22"/>
        </w:rPr>
        <w:t xml:space="preserve">m u Magistrátu města Opavy pod </w:t>
      </w:r>
      <w:proofErr w:type="spellStart"/>
      <w:r w:rsidR="000C6073">
        <w:rPr>
          <w:rFonts w:ascii="Tahoma" w:hAnsi="Tahoma" w:cs="Tahoma"/>
          <w:iCs/>
          <w:sz w:val="22"/>
          <w:szCs w:val="22"/>
        </w:rPr>
        <w:t>sp</w:t>
      </w:r>
      <w:proofErr w:type="spellEnd"/>
      <w:r w:rsidR="000C6073">
        <w:rPr>
          <w:rFonts w:ascii="Tahoma" w:hAnsi="Tahoma" w:cs="Tahoma"/>
          <w:iCs/>
          <w:sz w:val="22"/>
          <w:szCs w:val="22"/>
        </w:rPr>
        <w:t>. Zn. 21637/2011/ZIVN</w:t>
      </w:r>
    </w:p>
    <w:p w14:paraId="0695950C" w14:textId="13C22A12"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433B83">
        <w:rPr>
          <w:rFonts w:ascii="Tahoma" w:hAnsi="Tahoma" w:cs="Tahoma"/>
          <w:b/>
          <w:sz w:val="22"/>
          <w:szCs w:val="22"/>
        </w:rPr>
        <w:t>příkazník</w:t>
      </w:r>
      <w:r w:rsidRPr="00433B83">
        <w:rPr>
          <w:rFonts w:ascii="Tahoma" w:hAnsi="Tahoma" w:cs="Tahoma"/>
          <w:b/>
          <w:iCs/>
          <w:sz w:val="22"/>
          <w:szCs w:val="22"/>
        </w:rPr>
        <w:t>“</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Default="00E512D7"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29882AC3" w:rsidR="00041C5B" w:rsidRPr="00F34B5D" w:rsidRDefault="00041C5B" w:rsidP="00F34B5D">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F34B5D">
        <w:rPr>
          <w:rFonts w:ascii="Tahoma" w:hAnsi="Tahoma" w:cs="Tahoma"/>
          <w:sz w:val="22"/>
          <w:szCs w:val="22"/>
        </w:rPr>
        <w:lastRenderedPageBreak/>
        <w:t xml:space="preserve">Účelem smlouvy je </w:t>
      </w:r>
      <w:r w:rsidR="001E4AB1" w:rsidRPr="00F34B5D">
        <w:rPr>
          <w:rFonts w:ascii="Tahoma" w:hAnsi="Tahoma" w:cs="Tahoma"/>
          <w:sz w:val="22"/>
          <w:szCs w:val="22"/>
        </w:rPr>
        <w:t xml:space="preserve">zajištění </w:t>
      </w:r>
      <w:r w:rsidR="00553A59" w:rsidRPr="00F34B5D">
        <w:rPr>
          <w:rFonts w:ascii="Tahoma" w:hAnsi="Tahoma" w:cs="Tahoma"/>
          <w:sz w:val="22"/>
          <w:szCs w:val="22"/>
        </w:rPr>
        <w:t>dozoru</w:t>
      </w:r>
      <w:r w:rsidR="00790F86" w:rsidRPr="00F34B5D">
        <w:rPr>
          <w:rFonts w:ascii="Tahoma" w:hAnsi="Tahoma" w:cs="Tahoma"/>
          <w:sz w:val="22"/>
          <w:szCs w:val="22"/>
        </w:rPr>
        <w:t xml:space="preserve"> nad řádnou</w:t>
      </w:r>
      <w:r w:rsidR="00F011DE" w:rsidRPr="00F34B5D">
        <w:rPr>
          <w:rFonts w:ascii="Tahoma" w:hAnsi="Tahoma" w:cs="Tahoma"/>
          <w:sz w:val="22"/>
          <w:szCs w:val="22"/>
        </w:rPr>
        <w:t xml:space="preserve"> a bezpečnou</w:t>
      </w:r>
      <w:r w:rsidR="00B5441A" w:rsidRPr="00F34B5D">
        <w:rPr>
          <w:rFonts w:ascii="Tahoma" w:hAnsi="Tahoma" w:cs="Tahoma"/>
          <w:sz w:val="22"/>
          <w:szCs w:val="22"/>
        </w:rPr>
        <w:t xml:space="preserve"> realizac</w:t>
      </w:r>
      <w:r w:rsidR="00790F86" w:rsidRPr="00F34B5D">
        <w:rPr>
          <w:rFonts w:ascii="Tahoma" w:hAnsi="Tahoma" w:cs="Tahoma"/>
          <w:sz w:val="22"/>
          <w:szCs w:val="22"/>
        </w:rPr>
        <w:t>í</w:t>
      </w:r>
      <w:r w:rsidR="00B5441A" w:rsidRPr="00F34B5D">
        <w:rPr>
          <w:rFonts w:ascii="Tahoma" w:hAnsi="Tahoma" w:cs="Tahoma"/>
          <w:sz w:val="22"/>
          <w:szCs w:val="22"/>
        </w:rPr>
        <w:t xml:space="preserve"> stavby</w:t>
      </w:r>
      <w:r w:rsidR="003F266E" w:rsidRPr="00F34B5D">
        <w:rPr>
          <w:rFonts w:ascii="Tahoma" w:hAnsi="Tahoma" w:cs="Tahoma"/>
          <w:sz w:val="22"/>
          <w:szCs w:val="22"/>
        </w:rPr>
        <w:t xml:space="preserve"> </w:t>
      </w:r>
      <w:r w:rsidR="00E52C3B" w:rsidRPr="00F34B5D">
        <w:rPr>
          <w:rFonts w:ascii="Tahoma" w:hAnsi="Tahoma" w:cs="Tahoma"/>
          <w:b/>
          <w:sz w:val="22"/>
          <w:szCs w:val="22"/>
        </w:rPr>
        <w:t>„</w:t>
      </w:r>
      <w:r w:rsidR="009F6384">
        <w:rPr>
          <w:rFonts w:ascii="Tahoma" w:hAnsi="Tahoma" w:cs="Tahoma"/>
          <w:b/>
          <w:sz w:val="22"/>
          <w:szCs w:val="22"/>
        </w:rPr>
        <w:t>Stavební úpravy altánu</w:t>
      </w:r>
      <w:r w:rsidR="00DE7D9F" w:rsidRPr="00F34B5D">
        <w:rPr>
          <w:rFonts w:ascii="Tahoma" w:hAnsi="Tahoma" w:cs="Tahoma"/>
          <w:b/>
          <w:i/>
          <w:sz w:val="22"/>
          <w:szCs w:val="22"/>
        </w:rPr>
        <w:t>“</w:t>
      </w:r>
      <w:r w:rsidR="00DE7D9F" w:rsidRPr="00F34B5D">
        <w:rPr>
          <w:rFonts w:ascii="Tahoma" w:hAnsi="Tahoma" w:cs="Tahoma"/>
          <w:i/>
          <w:sz w:val="22"/>
          <w:szCs w:val="22"/>
        </w:rPr>
        <w:t>,</w:t>
      </w:r>
      <w:r w:rsidR="003F266E" w:rsidRPr="00F34B5D">
        <w:rPr>
          <w:rFonts w:ascii="Tahoma" w:hAnsi="Tahoma" w:cs="Tahoma"/>
          <w:sz w:val="22"/>
          <w:szCs w:val="22"/>
        </w:rPr>
        <w:t xml:space="preserve"> vč. zajištění potřebných rozhodnutí</w:t>
      </w:r>
      <w:r w:rsidR="001E4AB1" w:rsidRPr="00F34B5D">
        <w:rPr>
          <w:rFonts w:ascii="Tahoma" w:hAnsi="Tahoma" w:cs="Tahoma"/>
          <w:sz w:val="22"/>
          <w:szCs w:val="22"/>
        </w:rPr>
        <w:t>.</w:t>
      </w:r>
    </w:p>
    <w:p w14:paraId="65CCF6B6" w14:textId="1E0E99FC" w:rsidR="00BE1424" w:rsidRPr="00BE1424" w:rsidRDefault="00790F86" w:rsidP="000D44B7">
      <w:pPr>
        <w:pStyle w:val="OdstavecSmlouvy"/>
        <w:keepLines w:val="0"/>
        <w:widowControl w:val="0"/>
        <w:numPr>
          <w:ilvl w:val="0"/>
          <w:numId w:val="4"/>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7561F337" w:rsidR="00041C5B" w:rsidRPr="00DE7D9F" w:rsidRDefault="00E512D7" w:rsidP="00047C16">
      <w:pPr>
        <w:numPr>
          <w:ilvl w:val="0"/>
          <w:numId w:val="11"/>
        </w:numPr>
        <w:autoSpaceDE w:val="0"/>
        <w:autoSpaceDN w:val="0"/>
        <w:adjustRightInd w:val="0"/>
        <w:spacing w:before="120"/>
        <w:ind w:left="357" w:hanging="357"/>
        <w:jc w:val="both"/>
        <w:rPr>
          <w:rFonts w:ascii="Tahoma" w:hAnsi="Tahoma" w:cs="Tahoma"/>
          <w:sz w:val="22"/>
          <w:szCs w:val="22"/>
        </w:rPr>
      </w:pPr>
      <w:r w:rsidRPr="00DE7D9F">
        <w:rPr>
          <w:rFonts w:ascii="Tahoma" w:hAnsi="Tahoma" w:cs="Tahoma"/>
          <w:sz w:val="22"/>
          <w:szCs w:val="22"/>
        </w:rPr>
        <w:t>Příkazník</w:t>
      </w:r>
      <w:r w:rsidR="00041C5B" w:rsidRPr="00DE7D9F">
        <w:rPr>
          <w:rFonts w:ascii="Tahoma" w:hAnsi="Tahoma" w:cs="Tahoma"/>
          <w:sz w:val="22"/>
          <w:szCs w:val="22"/>
        </w:rPr>
        <w:t xml:space="preserve"> se zavazuje pro </w:t>
      </w:r>
      <w:r w:rsidRPr="00DE7D9F">
        <w:rPr>
          <w:rFonts w:ascii="Tahoma" w:hAnsi="Tahoma" w:cs="Tahoma"/>
          <w:sz w:val="22"/>
          <w:szCs w:val="22"/>
        </w:rPr>
        <w:t>příkazce</w:t>
      </w:r>
      <w:r w:rsidR="005801A3" w:rsidRPr="00DE7D9F">
        <w:rPr>
          <w:rFonts w:ascii="Tahoma" w:hAnsi="Tahoma" w:cs="Tahoma"/>
          <w:sz w:val="22"/>
          <w:szCs w:val="22"/>
        </w:rPr>
        <w:t>, jeho jménem a na jeho účet vykonávat inženýrskou a </w:t>
      </w:r>
      <w:r w:rsidR="00041C5B" w:rsidRPr="00DE7D9F">
        <w:rPr>
          <w:rFonts w:ascii="Tahoma" w:hAnsi="Tahoma" w:cs="Tahoma"/>
          <w:sz w:val="22"/>
          <w:szCs w:val="22"/>
        </w:rPr>
        <w:t xml:space="preserve">investorskou činnost při realizaci stavby </w:t>
      </w:r>
      <w:r w:rsidR="00DE7D9F" w:rsidRPr="009F6384">
        <w:rPr>
          <w:rFonts w:ascii="Tahoma" w:hAnsi="Tahoma" w:cs="Tahoma"/>
          <w:b/>
          <w:bCs/>
          <w:i/>
          <w:sz w:val="22"/>
          <w:szCs w:val="22"/>
        </w:rPr>
        <w:t>„</w:t>
      </w:r>
      <w:r w:rsidR="009F6384" w:rsidRPr="009F6384">
        <w:rPr>
          <w:rFonts w:ascii="Tahoma" w:hAnsi="Tahoma" w:cs="Tahoma"/>
          <w:b/>
          <w:bCs/>
          <w:i/>
          <w:sz w:val="22"/>
          <w:szCs w:val="22"/>
        </w:rPr>
        <w:t>Stavební úpravy altánu</w:t>
      </w:r>
      <w:r w:rsidR="00DE7D9F" w:rsidRPr="009F6384">
        <w:rPr>
          <w:rFonts w:ascii="Tahoma" w:hAnsi="Tahoma" w:cs="Tahoma"/>
          <w:b/>
          <w:i/>
          <w:sz w:val="22"/>
          <w:szCs w:val="22"/>
        </w:rPr>
        <w:t>“</w:t>
      </w:r>
      <w:r w:rsidR="00041C5B" w:rsidRPr="00DE7D9F">
        <w:rPr>
          <w:rFonts w:ascii="Tahoma" w:hAnsi="Tahoma" w:cs="Tahoma"/>
          <w:sz w:val="22"/>
          <w:szCs w:val="22"/>
        </w:rPr>
        <w:t xml:space="preserve"> (dále jen „stavba“)</w:t>
      </w:r>
      <w:r w:rsidR="00FD1472" w:rsidRPr="00DE7D9F">
        <w:rPr>
          <w:rFonts w:ascii="Tahoma" w:hAnsi="Tahoma" w:cs="Tahoma"/>
          <w:sz w:val="22"/>
          <w:szCs w:val="22"/>
        </w:rPr>
        <w:t>, a to</w:t>
      </w:r>
      <w:r w:rsidR="00041C5B" w:rsidRPr="00DE7D9F">
        <w:rPr>
          <w:rFonts w:ascii="Tahoma" w:hAnsi="Tahoma" w:cs="Tahoma"/>
          <w:sz w:val="22"/>
          <w:szCs w:val="22"/>
        </w:rPr>
        <w:t xml:space="preserve"> výkon technického dozoru stavebníka</w:t>
      </w:r>
      <w:r w:rsidR="009D7745" w:rsidRPr="00DE7D9F">
        <w:rPr>
          <w:rFonts w:ascii="Tahoma" w:hAnsi="Tahoma" w:cs="Tahoma"/>
          <w:sz w:val="22"/>
          <w:szCs w:val="22"/>
        </w:rPr>
        <w:t xml:space="preserve"> </w:t>
      </w:r>
      <w:r w:rsidR="002F757B" w:rsidRPr="00DE7D9F">
        <w:rPr>
          <w:rFonts w:ascii="Tahoma" w:hAnsi="Tahoma" w:cs="Tahoma"/>
          <w:sz w:val="22"/>
          <w:szCs w:val="22"/>
        </w:rPr>
        <w:t>v souladu se zákonem č.</w:t>
      </w:r>
      <w:r w:rsidR="006B19A0" w:rsidRPr="00DE7D9F">
        <w:rPr>
          <w:rFonts w:ascii="Tahoma" w:hAnsi="Tahoma" w:cs="Tahoma"/>
          <w:sz w:val="22"/>
          <w:szCs w:val="22"/>
        </w:rPr>
        <w:t> </w:t>
      </w:r>
      <w:r w:rsidR="002F757B" w:rsidRPr="00DE7D9F">
        <w:rPr>
          <w:rFonts w:ascii="Tahoma" w:hAnsi="Tahoma" w:cs="Tahoma"/>
          <w:sz w:val="22"/>
          <w:szCs w:val="22"/>
        </w:rPr>
        <w:t>183/2006</w:t>
      </w:r>
      <w:r w:rsidR="006B19A0" w:rsidRPr="00DE7D9F">
        <w:rPr>
          <w:rFonts w:ascii="Tahoma" w:hAnsi="Tahoma" w:cs="Tahoma"/>
          <w:sz w:val="22"/>
          <w:szCs w:val="22"/>
        </w:rPr>
        <w:t> </w:t>
      </w:r>
      <w:r w:rsidR="002F757B" w:rsidRPr="00DE7D9F">
        <w:rPr>
          <w:rFonts w:ascii="Tahoma" w:hAnsi="Tahoma" w:cs="Tahoma"/>
          <w:sz w:val="22"/>
          <w:szCs w:val="22"/>
        </w:rPr>
        <w:t>Sb., o</w:t>
      </w:r>
      <w:r w:rsidR="006B19A0" w:rsidRPr="00DE7D9F">
        <w:rPr>
          <w:rFonts w:ascii="Tahoma" w:hAnsi="Tahoma" w:cs="Tahoma"/>
          <w:sz w:val="22"/>
          <w:szCs w:val="22"/>
        </w:rPr>
        <w:t> </w:t>
      </w:r>
      <w:r w:rsidR="002F757B" w:rsidRPr="00DE7D9F">
        <w:rPr>
          <w:rFonts w:ascii="Tahoma" w:hAnsi="Tahoma" w:cs="Tahoma"/>
          <w:sz w:val="22"/>
          <w:szCs w:val="22"/>
        </w:rPr>
        <w:t>územním plánování a</w:t>
      </w:r>
      <w:r w:rsidR="006B19A0" w:rsidRPr="00DE7D9F">
        <w:rPr>
          <w:rFonts w:ascii="Tahoma" w:hAnsi="Tahoma" w:cs="Tahoma"/>
          <w:sz w:val="22"/>
          <w:szCs w:val="22"/>
        </w:rPr>
        <w:t> </w:t>
      </w:r>
      <w:r w:rsidR="002F757B" w:rsidRPr="00DE7D9F">
        <w:rPr>
          <w:rFonts w:ascii="Tahoma" w:hAnsi="Tahoma" w:cs="Tahoma"/>
          <w:sz w:val="22"/>
          <w:szCs w:val="22"/>
        </w:rPr>
        <w:t>stavebním řádu (stavební zákon)</w:t>
      </w:r>
      <w:r w:rsidR="006B19A0" w:rsidRPr="00DE7D9F">
        <w:rPr>
          <w:rFonts w:ascii="Tahoma" w:hAnsi="Tahoma" w:cs="Tahoma"/>
          <w:sz w:val="22"/>
          <w:szCs w:val="22"/>
        </w:rPr>
        <w:t>, ve znění pozdějších předpisů</w:t>
      </w:r>
      <w:r w:rsidR="00686750" w:rsidRPr="00DE7D9F">
        <w:rPr>
          <w:rFonts w:ascii="Tahoma" w:hAnsi="Tahoma" w:cs="Tahoma"/>
          <w:sz w:val="22"/>
          <w:szCs w:val="22"/>
        </w:rPr>
        <w:t xml:space="preserve"> (dále jen „stavební zákon“)</w:t>
      </w:r>
      <w:r w:rsidR="002F757B" w:rsidRPr="00DE7D9F">
        <w:rPr>
          <w:rFonts w:ascii="Tahoma" w:hAnsi="Tahoma" w:cs="Tahoma"/>
          <w:sz w:val="22"/>
          <w:szCs w:val="22"/>
        </w:rPr>
        <w:t xml:space="preserve"> </w:t>
      </w:r>
      <w:r w:rsidR="009D7745" w:rsidRPr="00DE7D9F">
        <w:rPr>
          <w:rFonts w:ascii="Tahoma" w:hAnsi="Tahoma" w:cs="Tahoma"/>
          <w:sz w:val="22"/>
          <w:szCs w:val="22"/>
        </w:rPr>
        <w:t>a </w:t>
      </w:r>
      <w:r w:rsidR="00041C5B" w:rsidRPr="00DE7D9F">
        <w:rPr>
          <w:rFonts w:ascii="Tahoma" w:hAnsi="Tahoma" w:cs="Tahoma"/>
          <w:sz w:val="22"/>
          <w:szCs w:val="22"/>
        </w:rPr>
        <w:t>koordinátora bezpečnosti a ochrany zdraví při práci na</w:t>
      </w:r>
      <w:r w:rsidR="00686750" w:rsidRPr="00DE7D9F">
        <w:rPr>
          <w:rFonts w:ascii="Tahoma" w:hAnsi="Tahoma" w:cs="Tahoma"/>
          <w:sz w:val="22"/>
          <w:szCs w:val="22"/>
        </w:rPr>
        <w:t> </w:t>
      </w:r>
      <w:r w:rsidR="00041C5B" w:rsidRPr="00DE7D9F">
        <w:rPr>
          <w:rFonts w:ascii="Tahoma" w:hAnsi="Tahoma" w:cs="Tahoma"/>
          <w:sz w:val="22"/>
          <w:szCs w:val="22"/>
        </w:rPr>
        <w:t>staveništi</w:t>
      </w:r>
      <w:r w:rsidR="002F757B" w:rsidRPr="00DE7D9F">
        <w:rPr>
          <w:rFonts w:ascii="Tahoma" w:hAnsi="Tahoma" w:cs="Tahoma"/>
          <w:sz w:val="22"/>
          <w:szCs w:val="22"/>
        </w:rPr>
        <w:t xml:space="preserve"> v souladu</w:t>
      </w:r>
      <w:r w:rsidR="006B19A0" w:rsidRPr="00DE7D9F">
        <w:rPr>
          <w:rFonts w:ascii="Tahoma" w:hAnsi="Tahoma" w:cs="Tahoma"/>
          <w:sz w:val="22"/>
          <w:szCs w:val="22"/>
        </w:rPr>
        <w:t xml:space="preserve"> se zákonem č. </w:t>
      </w:r>
      <w:r w:rsidR="002F757B" w:rsidRPr="00DE7D9F">
        <w:rPr>
          <w:rFonts w:ascii="Tahoma" w:hAnsi="Tahoma" w:cs="Tahoma"/>
          <w:sz w:val="22"/>
          <w:szCs w:val="22"/>
        </w:rPr>
        <w:t>309/2006</w:t>
      </w:r>
      <w:r w:rsidR="006B19A0" w:rsidRPr="00DE7D9F">
        <w:rPr>
          <w:rFonts w:ascii="Tahoma" w:hAnsi="Tahoma" w:cs="Tahoma"/>
          <w:sz w:val="22"/>
          <w:szCs w:val="22"/>
        </w:rPr>
        <w:t> </w:t>
      </w:r>
      <w:r w:rsidR="002F757B" w:rsidRPr="00DE7D9F">
        <w:rPr>
          <w:rFonts w:ascii="Tahoma" w:hAnsi="Tahoma" w:cs="Tahoma"/>
          <w:sz w:val="22"/>
          <w:szCs w:val="22"/>
        </w:rPr>
        <w:t>Sb., kterým se upravuj</w:t>
      </w:r>
      <w:r w:rsidR="006B19A0" w:rsidRPr="00DE7D9F">
        <w:rPr>
          <w:rFonts w:ascii="Tahoma" w:hAnsi="Tahoma" w:cs="Tahoma"/>
          <w:sz w:val="22"/>
          <w:szCs w:val="22"/>
        </w:rPr>
        <w:t>í další požadavky bezpečnosti a ochrany zdraví při </w:t>
      </w:r>
      <w:r w:rsidR="002F757B" w:rsidRPr="00DE7D9F">
        <w:rPr>
          <w:rFonts w:ascii="Tahoma" w:hAnsi="Tahoma" w:cs="Tahoma"/>
          <w:sz w:val="22"/>
          <w:szCs w:val="22"/>
        </w:rPr>
        <w:t>práci v</w:t>
      </w:r>
      <w:r w:rsidR="006B19A0" w:rsidRPr="00DE7D9F">
        <w:rPr>
          <w:rFonts w:ascii="Tahoma" w:hAnsi="Tahoma" w:cs="Tahoma"/>
          <w:sz w:val="22"/>
          <w:szCs w:val="22"/>
        </w:rPr>
        <w:t> </w:t>
      </w:r>
      <w:r w:rsidR="002F757B" w:rsidRPr="00DE7D9F">
        <w:rPr>
          <w:rFonts w:ascii="Tahoma" w:hAnsi="Tahoma" w:cs="Tahoma"/>
          <w:sz w:val="22"/>
          <w:szCs w:val="22"/>
        </w:rPr>
        <w:t>pracovněprávních vztaz</w:t>
      </w:r>
      <w:r w:rsidR="006B19A0" w:rsidRPr="00DE7D9F">
        <w:rPr>
          <w:rFonts w:ascii="Tahoma" w:hAnsi="Tahoma" w:cs="Tahoma"/>
          <w:sz w:val="22"/>
          <w:szCs w:val="22"/>
        </w:rPr>
        <w:t>ích a o zajištění bezpečnosti a </w:t>
      </w:r>
      <w:r w:rsidR="002F757B" w:rsidRPr="00DE7D9F">
        <w:rPr>
          <w:rFonts w:ascii="Tahoma" w:hAnsi="Tahoma" w:cs="Tahoma"/>
          <w:sz w:val="22"/>
          <w:szCs w:val="22"/>
        </w:rPr>
        <w:t>ochrany zdraví při</w:t>
      </w:r>
      <w:r w:rsidR="006B19A0" w:rsidRPr="00DE7D9F">
        <w:rPr>
          <w:rFonts w:ascii="Tahoma" w:hAnsi="Tahoma" w:cs="Tahoma"/>
          <w:sz w:val="22"/>
          <w:szCs w:val="22"/>
        </w:rPr>
        <w:t> </w:t>
      </w:r>
      <w:r w:rsidR="002F757B" w:rsidRPr="00DE7D9F">
        <w:rPr>
          <w:rFonts w:ascii="Tahoma" w:hAnsi="Tahoma" w:cs="Tahoma"/>
          <w:sz w:val="22"/>
          <w:szCs w:val="22"/>
        </w:rPr>
        <w:t>činnosti nebo poskytování služeb mimo pracovněprávní vztahy (zákon o</w:t>
      </w:r>
      <w:r w:rsidR="006B19A0" w:rsidRPr="00DE7D9F">
        <w:rPr>
          <w:rFonts w:ascii="Tahoma" w:hAnsi="Tahoma" w:cs="Tahoma"/>
          <w:sz w:val="22"/>
          <w:szCs w:val="22"/>
        </w:rPr>
        <w:t> </w:t>
      </w:r>
      <w:r w:rsidR="002F757B" w:rsidRPr="00DE7D9F">
        <w:rPr>
          <w:rFonts w:ascii="Tahoma" w:hAnsi="Tahoma" w:cs="Tahoma"/>
          <w:sz w:val="22"/>
          <w:szCs w:val="22"/>
        </w:rPr>
        <w:t>zajištění dalších podmínek bezpečnosti a ochrany zdraví při práci)</w:t>
      </w:r>
      <w:r w:rsidR="00041C5B" w:rsidRPr="00DE7D9F">
        <w:rPr>
          <w:rFonts w:ascii="Tahoma" w:hAnsi="Tahoma" w:cs="Tahoma"/>
          <w:sz w:val="22"/>
          <w:szCs w:val="22"/>
        </w:rPr>
        <w:t xml:space="preserve">, </w:t>
      </w:r>
      <w:r w:rsidR="006B19A0" w:rsidRPr="00DE7D9F">
        <w:rPr>
          <w:rFonts w:ascii="Tahoma" w:hAnsi="Tahoma" w:cs="Tahoma"/>
          <w:sz w:val="22"/>
          <w:szCs w:val="22"/>
        </w:rPr>
        <w:t>ve</w:t>
      </w:r>
      <w:r w:rsidR="00686750" w:rsidRPr="00DE7D9F">
        <w:rPr>
          <w:rFonts w:ascii="Tahoma" w:hAnsi="Tahoma" w:cs="Tahoma"/>
          <w:sz w:val="22"/>
          <w:szCs w:val="22"/>
        </w:rPr>
        <w:t> </w:t>
      </w:r>
      <w:r w:rsidR="006B19A0" w:rsidRPr="00DE7D9F">
        <w:rPr>
          <w:rFonts w:ascii="Tahoma" w:hAnsi="Tahoma" w:cs="Tahoma"/>
          <w:sz w:val="22"/>
          <w:szCs w:val="22"/>
        </w:rPr>
        <w:t>znění pozdějších předpisů</w:t>
      </w:r>
      <w:r w:rsidR="00D80E29" w:rsidRPr="00DE7D9F">
        <w:rPr>
          <w:rFonts w:ascii="Tahoma" w:hAnsi="Tahoma" w:cs="Tahoma"/>
          <w:sz w:val="22"/>
          <w:szCs w:val="22"/>
        </w:rPr>
        <w:t xml:space="preserve"> (dále jen „zákona č. 309/2006 Sb.“)</w:t>
      </w:r>
      <w:r w:rsidR="006B19A0" w:rsidRPr="00DE7D9F">
        <w:rPr>
          <w:rFonts w:ascii="Tahoma" w:hAnsi="Tahoma" w:cs="Tahoma"/>
          <w:sz w:val="22"/>
          <w:szCs w:val="22"/>
        </w:rPr>
        <w:t>, a </w:t>
      </w:r>
      <w:r w:rsidR="005801A3" w:rsidRPr="00DE7D9F">
        <w:rPr>
          <w:rFonts w:ascii="Tahoma" w:hAnsi="Tahoma" w:cs="Tahoma"/>
          <w:sz w:val="22"/>
          <w:szCs w:val="22"/>
        </w:rPr>
        <w:t>to podle</w:t>
      </w:r>
      <w:r w:rsidR="00041C5B" w:rsidRPr="00DE7D9F">
        <w:rPr>
          <w:rFonts w:ascii="Tahoma" w:hAnsi="Tahoma" w:cs="Tahoma"/>
          <w:sz w:val="22"/>
          <w:szCs w:val="22"/>
        </w:rPr>
        <w:t>:</w:t>
      </w:r>
    </w:p>
    <w:p w14:paraId="79DED42E" w14:textId="31D9B61F" w:rsidR="00041C5B" w:rsidRPr="009F6384" w:rsidRDefault="00D12E4A" w:rsidP="0035738D">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9F6384">
        <w:rPr>
          <w:rFonts w:ascii="Tahoma" w:hAnsi="Tahoma" w:cs="Tahoma"/>
          <w:iCs/>
          <w:sz w:val="22"/>
          <w:szCs w:val="22"/>
        </w:rPr>
        <w:t>projektové</w:t>
      </w:r>
      <w:r w:rsidRPr="009F6384">
        <w:rPr>
          <w:rFonts w:ascii="Tahoma" w:hAnsi="Tahoma" w:cs="Tahoma"/>
          <w:sz w:val="22"/>
          <w:szCs w:val="22"/>
        </w:rPr>
        <w:t xml:space="preserve"> dokumentace </w:t>
      </w:r>
      <w:r w:rsidR="00822657" w:rsidRPr="009F6384">
        <w:rPr>
          <w:rFonts w:ascii="Tahoma" w:hAnsi="Tahoma" w:cs="Tahoma"/>
          <w:sz w:val="22"/>
          <w:szCs w:val="22"/>
        </w:rPr>
        <w:t xml:space="preserve">pro provádění </w:t>
      </w:r>
      <w:r w:rsidRPr="009F6384">
        <w:rPr>
          <w:rFonts w:ascii="Tahoma" w:hAnsi="Tahoma" w:cs="Tahoma"/>
          <w:sz w:val="22"/>
          <w:szCs w:val="22"/>
        </w:rPr>
        <w:t>stavby</w:t>
      </w:r>
      <w:r w:rsidR="00822657" w:rsidRPr="009F6384">
        <w:rPr>
          <w:rFonts w:ascii="Tahoma" w:hAnsi="Tahoma" w:cs="Tahoma"/>
          <w:sz w:val="22"/>
          <w:szCs w:val="22"/>
        </w:rPr>
        <w:t xml:space="preserve"> (dále jen „DPS“)</w:t>
      </w:r>
      <w:r w:rsidRPr="009F6384">
        <w:rPr>
          <w:rFonts w:ascii="Tahoma" w:hAnsi="Tahoma" w:cs="Tahoma"/>
          <w:sz w:val="22"/>
          <w:szCs w:val="22"/>
        </w:rPr>
        <w:t xml:space="preserve"> zpracované v</w:t>
      </w:r>
      <w:r w:rsidR="009F6384" w:rsidRPr="009F6384">
        <w:rPr>
          <w:rFonts w:ascii="Tahoma" w:hAnsi="Tahoma" w:cs="Tahoma"/>
          <w:sz w:val="22"/>
          <w:szCs w:val="22"/>
        </w:rPr>
        <w:t xml:space="preserve"> </w:t>
      </w:r>
      <w:r w:rsidR="009F6384" w:rsidRPr="009F6384">
        <w:rPr>
          <w:rFonts w:ascii="Tahoma" w:hAnsi="Tahoma" w:cs="Tahoma"/>
          <w:iCs/>
          <w:sz w:val="22"/>
          <w:szCs w:val="22"/>
        </w:rPr>
        <w:t>květnu 2023</w:t>
      </w:r>
      <w:r w:rsidRPr="009F6384">
        <w:rPr>
          <w:rFonts w:ascii="Tahoma" w:hAnsi="Tahoma" w:cs="Tahoma"/>
          <w:iCs/>
          <w:sz w:val="22"/>
          <w:szCs w:val="22"/>
        </w:rPr>
        <w:t>,</w:t>
      </w:r>
      <w:r w:rsidRPr="009F6384">
        <w:rPr>
          <w:rFonts w:ascii="Tahoma" w:hAnsi="Tahoma" w:cs="Tahoma"/>
          <w:sz w:val="22"/>
          <w:szCs w:val="22"/>
        </w:rPr>
        <w:t xml:space="preserve"> společností </w:t>
      </w:r>
      <w:r w:rsidR="009F6384">
        <w:rPr>
          <w:rFonts w:ascii="Tahoma" w:hAnsi="Tahoma" w:cs="Tahoma"/>
          <w:sz w:val="22"/>
          <w:szCs w:val="22"/>
        </w:rPr>
        <w:t xml:space="preserve">projekční a inženýrská kancelář – Ing. Karel </w:t>
      </w:r>
      <w:proofErr w:type="spellStart"/>
      <w:r w:rsidR="009F6384">
        <w:rPr>
          <w:rFonts w:ascii="Tahoma" w:hAnsi="Tahoma" w:cs="Tahoma"/>
          <w:sz w:val="22"/>
          <w:szCs w:val="22"/>
        </w:rPr>
        <w:t>Grygera</w:t>
      </w:r>
      <w:proofErr w:type="spellEnd"/>
      <w:r w:rsidR="00DE7D9F" w:rsidRPr="009F6384">
        <w:rPr>
          <w:rFonts w:ascii="Tahoma" w:hAnsi="Tahoma" w:cs="Tahoma"/>
          <w:sz w:val="22"/>
          <w:szCs w:val="22"/>
        </w:rPr>
        <w:t xml:space="preserve">., se </w:t>
      </w:r>
      <w:r w:rsidR="00A9446C" w:rsidRPr="009F6384">
        <w:rPr>
          <w:rFonts w:ascii="Tahoma" w:hAnsi="Tahoma" w:cs="Tahoma"/>
          <w:sz w:val="22"/>
          <w:szCs w:val="22"/>
        </w:rPr>
        <w:t>sídlem</w:t>
      </w:r>
      <w:r w:rsidR="00781E2B" w:rsidRPr="009F6384">
        <w:rPr>
          <w:rFonts w:ascii="Tahoma" w:hAnsi="Tahoma" w:cs="Tahoma"/>
          <w:sz w:val="22"/>
          <w:szCs w:val="22"/>
        </w:rPr>
        <w:t xml:space="preserve"> </w:t>
      </w:r>
      <w:r w:rsidR="009F6384">
        <w:rPr>
          <w:rFonts w:ascii="Tahoma" w:hAnsi="Tahoma" w:cs="Tahoma"/>
          <w:sz w:val="22"/>
          <w:szCs w:val="22"/>
        </w:rPr>
        <w:t xml:space="preserve">Lesní 69/4, 747 06  Opava - </w:t>
      </w:r>
      <w:proofErr w:type="spellStart"/>
      <w:r w:rsidR="009F6384">
        <w:rPr>
          <w:rFonts w:ascii="Tahoma" w:hAnsi="Tahoma" w:cs="Tahoma"/>
          <w:sz w:val="22"/>
          <w:szCs w:val="22"/>
        </w:rPr>
        <w:t>Podvihov</w:t>
      </w:r>
      <w:proofErr w:type="spellEnd"/>
      <w:r w:rsidR="00781E2B" w:rsidRPr="009F6384">
        <w:rPr>
          <w:rFonts w:ascii="Tahoma" w:hAnsi="Tahoma" w:cs="Tahoma"/>
          <w:sz w:val="22"/>
          <w:szCs w:val="22"/>
        </w:rPr>
        <w:t xml:space="preserve">, zastoupená Ing. Karlem </w:t>
      </w:r>
      <w:proofErr w:type="spellStart"/>
      <w:r w:rsidR="009F6384">
        <w:rPr>
          <w:rFonts w:ascii="Tahoma" w:hAnsi="Tahoma" w:cs="Tahoma"/>
          <w:sz w:val="22"/>
          <w:szCs w:val="22"/>
        </w:rPr>
        <w:t>Grygerou</w:t>
      </w:r>
      <w:proofErr w:type="spellEnd"/>
      <w:r w:rsidR="00781E2B" w:rsidRPr="009F6384">
        <w:rPr>
          <w:rFonts w:ascii="Tahoma" w:hAnsi="Tahoma" w:cs="Tahoma"/>
          <w:sz w:val="22"/>
          <w:szCs w:val="22"/>
        </w:rPr>
        <w:t xml:space="preserve">, </w:t>
      </w:r>
      <w:r w:rsidRPr="009F6384">
        <w:rPr>
          <w:rFonts w:ascii="Tahoma" w:hAnsi="Tahoma" w:cs="Tahoma"/>
          <w:iCs/>
          <w:sz w:val="22"/>
          <w:szCs w:val="22"/>
        </w:rPr>
        <w:t xml:space="preserve">pod číslem </w:t>
      </w:r>
      <w:r w:rsidR="009F6384">
        <w:rPr>
          <w:rFonts w:ascii="Tahoma" w:hAnsi="Tahoma" w:cs="Tahoma"/>
          <w:iCs/>
          <w:sz w:val="22"/>
          <w:szCs w:val="22"/>
        </w:rPr>
        <w:t>221.23</w:t>
      </w:r>
      <w:r w:rsidRPr="009F6384">
        <w:rPr>
          <w:rFonts w:ascii="Tahoma" w:hAnsi="Tahoma" w:cs="Tahoma"/>
          <w:iCs/>
          <w:sz w:val="22"/>
          <w:szCs w:val="22"/>
        </w:rPr>
        <w:t xml:space="preserve"> a oceněného </w:t>
      </w:r>
      <w:r w:rsidR="00B5441A" w:rsidRPr="009F6384">
        <w:rPr>
          <w:rFonts w:ascii="Tahoma" w:hAnsi="Tahoma" w:cs="Tahoma"/>
          <w:iCs/>
          <w:sz w:val="22"/>
          <w:szCs w:val="22"/>
        </w:rPr>
        <w:t>soupisu prací</w:t>
      </w:r>
      <w:r w:rsidRPr="009F6384">
        <w:rPr>
          <w:rFonts w:ascii="Tahoma" w:hAnsi="Tahoma" w:cs="Tahoma"/>
          <w:iCs/>
          <w:sz w:val="22"/>
          <w:szCs w:val="22"/>
        </w:rPr>
        <w:t>, který je součástí nabídky zhotovitele</w:t>
      </w:r>
      <w:r w:rsidR="005C32AB" w:rsidRPr="009F6384">
        <w:rPr>
          <w:rFonts w:ascii="Tahoma" w:hAnsi="Tahoma" w:cs="Tahoma"/>
          <w:iCs/>
          <w:sz w:val="22"/>
          <w:szCs w:val="22"/>
        </w:rPr>
        <w:t xml:space="preserve"> stavby</w:t>
      </w:r>
      <w:r w:rsidRPr="009F6384">
        <w:rPr>
          <w:rFonts w:ascii="Tahoma" w:hAnsi="Tahoma" w:cs="Tahoma"/>
          <w:iCs/>
          <w:sz w:val="22"/>
          <w:szCs w:val="22"/>
        </w:rPr>
        <w:t xml:space="preserve"> v rámci veřejné zakázky na výběr zhotovitele </w:t>
      </w:r>
      <w:r w:rsidR="005C32AB" w:rsidRPr="009F6384">
        <w:rPr>
          <w:rFonts w:ascii="Tahoma" w:hAnsi="Tahoma" w:cs="Tahoma"/>
          <w:iCs/>
          <w:sz w:val="22"/>
          <w:szCs w:val="22"/>
        </w:rPr>
        <w:t>stavby</w:t>
      </w:r>
      <w:r w:rsidR="00822657" w:rsidRPr="009F6384">
        <w:rPr>
          <w:rFonts w:ascii="Tahoma" w:hAnsi="Tahoma" w:cs="Tahoma"/>
          <w:iCs/>
          <w:sz w:val="22"/>
          <w:szCs w:val="22"/>
        </w:rPr>
        <w:t xml:space="preserve"> (dále jen „soupis prací“)</w:t>
      </w:r>
      <w:r w:rsidR="009D7D33" w:rsidRPr="009F6384">
        <w:rPr>
          <w:rFonts w:ascii="Tahoma" w:hAnsi="Tahoma" w:cs="Tahoma"/>
          <w:sz w:val="22"/>
          <w:szCs w:val="22"/>
        </w:rPr>
        <w:t>,</w:t>
      </w:r>
    </w:p>
    <w:p w14:paraId="747EE41D" w14:textId="77777777" w:rsidR="00B5441A" w:rsidRPr="00061E4C" w:rsidRDefault="00D12E4A"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B4EF1">
        <w:rPr>
          <w:rFonts w:ascii="Tahoma" w:hAnsi="Tahoma" w:cs="Tahoma"/>
          <w:sz w:val="22"/>
          <w:szCs w:val="22"/>
        </w:rPr>
        <w:t>podmínek</w:t>
      </w:r>
      <w:r w:rsidRPr="00CB4EF1">
        <w:rPr>
          <w:rFonts w:ascii="Tahoma" w:hAnsi="Tahoma" w:cs="Tahoma"/>
          <w:iCs/>
          <w:sz w:val="22"/>
          <w:szCs w:val="22"/>
        </w:rPr>
        <w:t xml:space="preserve"> </w:t>
      </w:r>
      <w:r w:rsidR="00B5441A" w:rsidRPr="00061E4C">
        <w:rPr>
          <w:rFonts w:ascii="Tahoma" w:hAnsi="Tahoma" w:cs="Tahoma"/>
          <w:iCs/>
          <w:sz w:val="22"/>
          <w:szCs w:val="22"/>
        </w:rPr>
        <w:t>pravomocného stavebního povolení vydaného pro stavbu</w:t>
      </w:r>
      <w:r w:rsidR="00CB4EF1" w:rsidRPr="00061E4C">
        <w:rPr>
          <w:rFonts w:ascii="Tahoma" w:hAnsi="Tahoma" w:cs="Tahoma"/>
          <w:iCs/>
          <w:sz w:val="22"/>
          <w:szCs w:val="22"/>
        </w:rPr>
        <w:t xml:space="preserve"> </w:t>
      </w:r>
      <w:r w:rsidR="00ED22AD" w:rsidRPr="00061E4C">
        <w:rPr>
          <w:rFonts w:ascii="Tahoma" w:hAnsi="Tahoma" w:cs="Tahoma"/>
          <w:sz w:val="22"/>
          <w:szCs w:val="22"/>
        </w:rPr>
        <w:t>či jiných rozhodnutí nebo opatření stavebního úřadu</w:t>
      </w:r>
      <w:r w:rsidR="00B5441A" w:rsidRPr="00061E4C">
        <w:rPr>
          <w:rFonts w:ascii="Tahoma" w:hAnsi="Tahoma" w:cs="Tahoma"/>
          <w:iCs/>
          <w:sz w:val="22"/>
          <w:szCs w:val="22"/>
        </w:rPr>
        <w:t>,</w:t>
      </w:r>
    </w:p>
    <w:p w14:paraId="43023308" w14:textId="4CA20492" w:rsidR="00041C5B" w:rsidRPr="002820E4" w:rsidRDefault="00041C5B"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0D44B7">
      <w:pPr>
        <w:numPr>
          <w:ilvl w:val="0"/>
          <w:numId w:val="14"/>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rozhodnutí </w:t>
      </w:r>
      <w:r w:rsidRPr="00965928">
        <w:rPr>
          <w:rFonts w:ascii="Tahoma" w:hAnsi="Tahoma" w:cs="Tahoma"/>
          <w:sz w:val="22"/>
          <w:szCs w:val="22"/>
        </w:rPr>
        <w:t xml:space="preserve">(obzvláště </w:t>
      </w:r>
      <w:r w:rsidR="00CB4EF1" w:rsidRPr="00965928">
        <w:rPr>
          <w:rFonts w:ascii="Tahoma" w:hAnsi="Tahoma" w:cs="Tahoma"/>
          <w:sz w:val="22"/>
          <w:szCs w:val="22"/>
        </w:rPr>
        <w:t>stavebních povolení</w:t>
      </w:r>
      <w:r w:rsidR="00A863A4" w:rsidRPr="00965928">
        <w:rPr>
          <w:rFonts w:ascii="Tahoma" w:hAnsi="Tahoma" w:cs="Tahoma"/>
          <w:sz w:val="22"/>
          <w:szCs w:val="22"/>
        </w:rPr>
        <w:t xml:space="preserve"> či jiných rozhodnutí nebo opatření stavebního úřadu</w:t>
      </w:r>
      <w:r w:rsidRPr="00965928">
        <w:rPr>
          <w:rFonts w:ascii="Tahoma" w:hAnsi="Tahoma" w:cs="Tahoma"/>
          <w:sz w:val="22"/>
          <w:szCs w:val="22"/>
        </w:rPr>
        <w:t xml:space="preserve">) </w:t>
      </w:r>
      <w:r w:rsidRPr="009D7D33">
        <w:rPr>
          <w:rFonts w:ascii="Tahoma" w:hAnsi="Tahoma" w:cs="Tahoma"/>
          <w:sz w:val="22"/>
          <w:szCs w:val="22"/>
        </w:rPr>
        <w:t>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0D44B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F91275" w:rsidRDefault="00041C5B" w:rsidP="000D44B7">
      <w:pPr>
        <w:numPr>
          <w:ilvl w:val="0"/>
          <w:numId w:val="8"/>
        </w:numPr>
        <w:tabs>
          <w:tab w:val="clear" w:pos="2062"/>
          <w:tab w:val="num" w:pos="714"/>
        </w:tabs>
        <w:spacing w:before="60"/>
        <w:ind w:left="714" w:hanging="357"/>
        <w:jc w:val="both"/>
        <w:rPr>
          <w:rFonts w:ascii="Tahoma" w:hAnsi="Tahoma" w:cs="Tahoma"/>
          <w:color w:val="FF00FF"/>
          <w:sz w:val="22"/>
          <w:szCs w:val="22"/>
        </w:rPr>
      </w:pPr>
      <w:r w:rsidRPr="00965928">
        <w:rPr>
          <w:rFonts w:ascii="Tahoma" w:hAnsi="Tahoma" w:cs="Tahoma"/>
          <w:sz w:val="22"/>
          <w:szCs w:val="22"/>
        </w:rPr>
        <w:t>Protokolární předání základních vytyčovacích prvků stavby zhotoviteli</w:t>
      </w:r>
      <w:r w:rsidRPr="00F91275">
        <w:rPr>
          <w:rFonts w:ascii="Tahoma" w:hAnsi="Tahoma" w:cs="Tahoma"/>
          <w:color w:val="FF00FF"/>
          <w:sz w:val="22"/>
          <w:szCs w:val="22"/>
        </w:rPr>
        <w:t>.</w:t>
      </w:r>
    </w:p>
    <w:p w14:paraId="1C196E29" w14:textId="1163E33D" w:rsidR="00C3182E" w:rsidRPr="002820E4" w:rsidRDefault="00276664"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061E4C">
        <w:rPr>
          <w:rFonts w:ascii="Tahoma" w:hAnsi="Tahoma" w:cs="Tahoma"/>
          <w:sz w:val="22"/>
          <w:szCs w:val="22"/>
        </w:rPr>
        <w:t>1</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433B83">
        <w:rPr>
          <w:rFonts w:ascii="Tahoma" w:hAnsi="Tahoma" w:cs="Tahoma"/>
          <w:sz w:val="22"/>
          <w:szCs w:val="22"/>
        </w:rPr>
        <w:t>0,5</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w:t>
      </w:r>
      <w:r w:rsidR="009F6384">
        <w:rPr>
          <w:rFonts w:ascii="Tahoma" w:hAnsi="Tahoma" w:cs="Tahoma"/>
          <w:sz w:val="22"/>
          <w:szCs w:val="22"/>
        </w:rPr>
        <w:t xml:space="preserve"> d</w:t>
      </w:r>
      <w:r w:rsidR="00C3182E" w:rsidRPr="002820E4">
        <w:rPr>
          <w:rFonts w:ascii="Tahoma" w:hAnsi="Tahoma" w:cs="Tahoma"/>
          <w:sz w:val="22"/>
          <w:szCs w:val="22"/>
        </w:rPr>
        <w:t>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6CEA6D70" w14:textId="77777777" w:rsidR="0029557A" w:rsidRPr="00965928" w:rsidRDefault="0029557A"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Pln</w:t>
      </w:r>
      <w:r w:rsidR="00686750" w:rsidRPr="00965928">
        <w:rPr>
          <w:rFonts w:ascii="Tahoma" w:hAnsi="Tahoma" w:cs="Tahoma"/>
          <w:sz w:val="22"/>
          <w:szCs w:val="22"/>
        </w:rPr>
        <w:t>ění povinností stavebníka dle § </w:t>
      </w:r>
      <w:r w:rsidRPr="00965928">
        <w:rPr>
          <w:rFonts w:ascii="Tahoma" w:hAnsi="Tahoma" w:cs="Tahoma"/>
          <w:sz w:val="22"/>
          <w:szCs w:val="22"/>
        </w:rPr>
        <w:t>22 odst.</w:t>
      </w:r>
      <w:r w:rsidR="00686750" w:rsidRPr="00965928">
        <w:rPr>
          <w:rFonts w:ascii="Tahoma" w:hAnsi="Tahoma" w:cs="Tahoma"/>
          <w:sz w:val="22"/>
          <w:szCs w:val="22"/>
        </w:rPr>
        <w:t> 2 zákona č. </w:t>
      </w:r>
      <w:r w:rsidRPr="00965928">
        <w:rPr>
          <w:rFonts w:ascii="Tahoma" w:hAnsi="Tahoma" w:cs="Tahoma"/>
          <w:sz w:val="22"/>
          <w:szCs w:val="22"/>
        </w:rPr>
        <w:t>20/1987</w:t>
      </w:r>
      <w:r w:rsidR="00686750" w:rsidRPr="00965928">
        <w:rPr>
          <w:rFonts w:ascii="Tahoma" w:hAnsi="Tahoma" w:cs="Tahoma"/>
          <w:sz w:val="22"/>
          <w:szCs w:val="22"/>
        </w:rPr>
        <w:t> Sb., o státní památkové péči, ve </w:t>
      </w:r>
      <w:r w:rsidRPr="00965928">
        <w:rPr>
          <w:rFonts w:ascii="Tahoma" w:hAnsi="Tahoma" w:cs="Tahoma"/>
          <w:sz w:val="22"/>
          <w:szCs w:val="22"/>
        </w:rPr>
        <w:t>znění pozdějších předpisů</w:t>
      </w:r>
      <w:r w:rsidR="00543E2E" w:rsidRPr="00965928">
        <w:rPr>
          <w:rFonts w:ascii="Tahoma" w:hAnsi="Tahoma" w:cs="Tahoma"/>
          <w:sz w:val="22"/>
          <w:szCs w:val="22"/>
        </w:rPr>
        <w:t xml:space="preserve"> (dále jen „zákon o státní památkové péči“)</w:t>
      </w:r>
      <w:r w:rsidRPr="00965928">
        <w:rPr>
          <w:rFonts w:ascii="Tahoma" w:hAnsi="Tahoma" w:cs="Tahoma"/>
          <w:sz w:val="22"/>
          <w:szCs w:val="22"/>
        </w:rPr>
        <w:t>, a</w:t>
      </w:r>
      <w:r w:rsidR="00686750" w:rsidRPr="00965928">
        <w:rPr>
          <w:rFonts w:ascii="Tahoma" w:hAnsi="Tahoma" w:cs="Tahoma"/>
          <w:sz w:val="22"/>
          <w:szCs w:val="22"/>
        </w:rPr>
        <w:t> </w:t>
      </w:r>
      <w:r w:rsidRPr="00965928">
        <w:rPr>
          <w:rFonts w:ascii="Tahoma" w:hAnsi="Tahoma" w:cs="Tahoma"/>
          <w:sz w:val="22"/>
          <w:szCs w:val="22"/>
        </w:rPr>
        <w:t>to v rozsahu podání oznámení Archeologickému ústavu o</w:t>
      </w:r>
      <w:r w:rsidR="00686750" w:rsidRPr="00965928">
        <w:rPr>
          <w:rFonts w:ascii="Tahoma" w:hAnsi="Tahoma" w:cs="Tahoma"/>
          <w:sz w:val="22"/>
          <w:szCs w:val="22"/>
        </w:rPr>
        <w:t> </w:t>
      </w:r>
      <w:r w:rsidRPr="00965928">
        <w:rPr>
          <w:rFonts w:ascii="Tahoma" w:hAnsi="Tahoma" w:cs="Tahoma"/>
          <w:sz w:val="22"/>
          <w:szCs w:val="22"/>
        </w:rPr>
        <w:t>záměru provádět stavební činnost na</w:t>
      </w:r>
      <w:r w:rsidR="00686750" w:rsidRPr="00965928">
        <w:rPr>
          <w:rFonts w:ascii="Tahoma" w:hAnsi="Tahoma" w:cs="Tahoma"/>
          <w:sz w:val="22"/>
          <w:szCs w:val="22"/>
        </w:rPr>
        <w:t> </w:t>
      </w:r>
      <w:r w:rsidRPr="00965928">
        <w:rPr>
          <w:rFonts w:ascii="Tahoma" w:hAnsi="Tahoma" w:cs="Tahoma"/>
          <w:sz w:val="22"/>
          <w:szCs w:val="22"/>
        </w:rPr>
        <w:t>území s archeologickými nálezy</w:t>
      </w:r>
      <w:r w:rsidR="00C57447" w:rsidRPr="00965928">
        <w:rPr>
          <w:rFonts w:ascii="Tahoma" w:hAnsi="Tahoma" w:cs="Tahoma"/>
          <w:sz w:val="22"/>
          <w:szCs w:val="22"/>
        </w:rPr>
        <w:t>.</w:t>
      </w:r>
    </w:p>
    <w:p w14:paraId="7875523A" w14:textId="77777777" w:rsidR="00D57B5F" w:rsidRPr="00686750" w:rsidRDefault="00041C5B"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0D44B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0D44B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58296B47"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Hlášení archeologických nálezů v souladu s</w:t>
      </w:r>
      <w:r w:rsidR="001D3026" w:rsidRPr="00965928">
        <w:rPr>
          <w:rFonts w:ascii="Tahoma" w:hAnsi="Tahoma" w:cs="Tahoma"/>
          <w:sz w:val="22"/>
          <w:szCs w:val="22"/>
        </w:rPr>
        <w:t> </w:t>
      </w:r>
      <w:r w:rsidRPr="00965928">
        <w:rPr>
          <w:rFonts w:ascii="Tahoma" w:hAnsi="Tahoma" w:cs="Tahoma"/>
          <w:sz w:val="22"/>
          <w:szCs w:val="22"/>
        </w:rPr>
        <w:t>§</w:t>
      </w:r>
      <w:r w:rsidR="001D3026" w:rsidRPr="00965928">
        <w:rPr>
          <w:rFonts w:ascii="Tahoma" w:hAnsi="Tahoma" w:cs="Tahoma"/>
          <w:sz w:val="22"/>
          <w:szCs w:val="22"/>
        </w:rPr>
        <w:t> 23 zákona č. 20/1987 </w:t>
      </w:r>
      <w:r w:rsidRPr="00965928">
        <w:rPr>
          <w:rFonts w:ascii="Tahoma" w:hAnsi="Tahoma" w:cs="Tahoma"/>
          <w:sz w:val="22"/>
          <w:szCs w:val="22"/>
        </w:rPr>
        <w:t>Sb., o</w:t>
      </w:r>
      <w:r w:rsidR="001D3026" w:rsidRPr="00965928">
        <w:rPr>
          <w:rFonts w:ascii="Tahoma" w:hAnsi="Tahoma" w:cs="Tahoma"/>
          <w:sz w:val="22"/>
          <w:szCs w:val="22"/>
        </w:rPr>
        <w:t> státní památkové péči</w:t>
      </w:r>
      <w:r w:rsidRPr="00965928">
        <w:rPr>
          <w:rFonts w:ascii="Tahoma" w:hAnsi="Tahoma" w:cs="Tahoma"/>
          <w:sz w:val="22"/>
          <w:szCs w:val="22"/>
        </w:rPr>
        <w:t>.</w:t>
      </w:r>
    </w:p>
    <w:p w14:paraId="48057A87"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965928" w:rsidRDefault="00A31A31" w:rsidP="000D44B7">
      <w:pPr>
        <w:numPr>
          <w:ilvl w:val="0"/>
          <w:numId w:val="8"/>
        </w:numPr>
        <w:tabs>
          <w:tab w:val="clear" w:pos="2062"/>
        </w:tabs>
        <w:spacing w:before="60"/>
        <w:ind w:left="709" w:hanging="352"/>
        <w:jc w:val="both"/>
        <w:rPr>
          <w:rFonts w:ascii="Tahoma" w:hAnsi="Tahoma" w:cs="Tahoma"/>
          <w:sz w:val="22"/>
          <w:szCs w:val="22"/>
        </w:rPr>
      </w:pPr>
      <w:r w:rsidRPr="00965928">
        <w:rPr>
          <w:rFonts w:ascii="Tahoma" w:hAnsi="Tahoma" w:cs="Tahoma"/>
          <w:sz w:val="22"/>
          <w:szCs w:val="22"/>
        </w:rPr>
        <w:t xml:space="preserve">Na základě udělené plné moci </w:t>
      </w:r>
      <w:r w:rsidR="001F5F86" w:rsidRPr="00965928">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40C554C7"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 xml:space="preserve">Zabezpečení spolupráce s odpovědnými </w:t>
      </w:r>
      <w:r w:rsidR="00C1614B" w:rsidRPr="00965928">
        <w:rPr>
          <w:rFonts w:ascii="Tahoma" w:hAnsi="Tahoma" w:cs="Tahoma"/>
          <w:sz w:val="22"/>
          <w:szCs w:val="22"/>
        </w:rPr>
        <w:t>úředně oprávněnými zeměměřickými inženýry</w:t>
      </w:r>
      <w:r w:rsidRPr="00965928">
        <w:rPr>
          <w:rFonts w:ascii="Tahoma" w:hAnsi="Tahoma" w:cs="Tahoma"/>
          <w:sz w:val="22"/>
          <w:szCs w:val="22"/>
        </w:rPr>
        <w:t xml:space="preserve"> a jejich činnosti.</w:t>
      </w:r>
    </w:p>
    <w:p w14:paraId="6D52379F" w14:textId="77777777" w:rsidR="005179D3"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Zajištění podkladů pro z</w:t>
      </w:r>
      <w:r w:rsidR="001D3026" w:rsidRPr="00965928">
        <w:rPr>
          <w:rFonts w:ascii="Tahoma" w:hAnsi="Tahoma" w:cs="Tahoma"/>
          <w:sz w:val="22"/>
          <w:szCs w:val="22"/>
        </w:rPr>
        <w:t>atřídění majetku dle zákona č. 586/1992 </w:t>
      </w:r>
      <w:r w:rsidRPr="00965928">
        <w:rPr>
          <w:rFonts w:ascii="Tahoma" w:hAnsi="Tahoma" w:cs="Tahoma"/>
          <w:sz w:val="22"/>
          <w:szCs w:val="22"/>
        </w:rPr>
        <w:t>Sb., o</w:t>
      </w:r>
      <w:r w:rsidR="001D3026" w:rsidRPr="00965928">
        <w:rPr>
          <w:rFonts w:ascii="Tahoma" w:hAnsi="Tahoma" w:cs="Tahoma"/>
          <w:sz w:val="22"/>
          <w:szCs w:val="22"/>
        </w:rPr>
        <w:t> daních z příjmů, ve </w:t>
      </w:r>
      <w:r w:rsidRPr="00965928">
        <w:rPr>
          <w:rFonts w:ascii="Tahoma" w:hAnsi="Tahoma" w:cs="Tahoma"/>
          <w:sz w:val="22"/>
          <w:szCs w:val="22"/>
        </w:rPr>
        <w:t>znění pozdějších předpisů</w:t>
      </w:r>
      <w:r w:rsidR="00543E2E" w:rsidRPr="00965928">
        <w:rPr>
          <w:rFonts w:ascii="Tahoma" w:hAnsi="Tahoma" w:cs="Tahoma"/>
          <w:sz w:val="22"/>
          <w:szCs w:val="22"/>
        </w:rPr>
        <w:t xml:space="preserve"> (dále jen „zákon o daních z příjmů“)</w:t>
      </w:r>
      <w:r w:rsidRPr="00965928">
        <w:rPr>
          <w:rFonts w:ascii="Tahoma" w:hAnsi="Tahoma" w:cs="Tahoma"/>
          <w:sz w:val="22"/>
          <w:szCs w:val="22"/>
        </w:rPr>
        <w:t>, a</w:t>
      </w:r>
      <w:r w:rsidR="001D3026" w:rsidRPr="00965928">
        <w:rPr>
          <w:rFonts w:ascii="Tahoma" w:hAnsi="Tahoma" w:cs="Tahoma"/>
          <w:sz w:val="22"/>
          <w:szCs w:val="22"/>
        </w:rPr>
        <w:t> </w:t>
      </w:r>
      <w:r w:rsidR="000A5976" w:rsidRPr="00965928">
        <w:rPr>
          <w:rFonts w:ascii="Tahoma" w:hAnsi="Tahoma" w:cs="Tahoma"/>
          <w:sz w:val="22"/>
          <w:szCs w:val="22"/>
        </w:rPr>
        <w:t>Pokynu Generá</w:t>
      </w:r>
      <w:r w:rsidR="001D3026" w:rsidRPr="00965928">
        <w:rPr>
          <w:rFonts w:ascii="Tahoma" w:hAnsi="Tahoma" w:cs="Tahoma"/>
          <w:sz w:val="22"/>
          <w:szCs w:val="22"/>
        </w:rPr>
        <w:t>lního finančního ředitelství č. </w:t>
      </w:r>
      <w:r w:rsidR="000A5976" w:rsidRPr="00965928">
        <w:rPr>
          <w:rFonts w:ascii="Tahoma" w:hAnsi="Tahoma" w:cs="Tahoma"/>
          <w:sz w:val="22"/>
          <w:szCs w:val="22"/>
        </w:rPr>
        <w:t>D-</w:t>
      </w:r>
      <w:r w:rsidR="09C754A4" w:rsidRPr="00965928">
        <w:rPr>
          <w:rFonts w:ascii="Tahoma" w:hAnsi="Tahoma" w:cs="Tahoma"/>
          <w:sz w:val="22"/>
          <w:szCs w:val="22"/>
        </w:rPr>
        <w:t>59</w:t>
      </w:r>
      <w:r w:rsidR="000A5976" w:rsidRPr="00965928">
        <w:rPr>
          <w:rFonts w:ascii="Tahoma" w:hAnsi="Tahoma" w:cs="Tahoma"/>
          <w:sz w:val="22"/>
          <w:szCs w:val="22"/>
        </w:rPr>
        <w:t xml:space="preserve"> k jednotnému postupu při uplatňování některých ustanovení zákona o</w:t>
      </w:r>
      <w:r w:rsidR="001D3026" w:rsidRPr="00965928">
        <w:rPr>
          <w:rFonts w:ascii="Tahoma" w:hAnsi="Tahoma" w:cs="Tahoma"/>
          <w:sz w:val="22"/>
          <w:szCs w:val="22"/>
        </w:rPr>
        <w:t> </w:t>
      </w:r>
      <w:r w:rsidR="000A5976" w:rsidRPr="00965928">
        <w:rPr>
          <w:rFonts w:ascii="Tahoma" w:hAnsi="Tahoma" w:cs="Tahoma"/>
          <w:sz w:val="22"/>
          <w:szCs w:val="22"/>
        </w:rPr>
        <w:t>daních z příjmů</w:t>
      </w:r>
      <w:r w:rsidR="00AE4865" w:rsidRPr="00965928">
        <w:rPr>
          <w:rFonts w:ascii="Tahoma" w:hAnsi="Tahoma" w:cs="Tahoma"/>
          <w:sz w:val="22"/>
          <w:szCs w:val="22"/>
        </w:rPr>
        <w:t xml:space="preserve"> (dále jen „Pokyn D</w:t>
      </w:r>
      <w:r w:rsidR="001D3026" w:rsidRPr="00965928">
        <w:rPr>
          <w:rFonts w:ascii="Tahoma" w:hAnsi="Tahoma" w:cs="Tahoma"/>
          <w:sz w:val="22"/>
          <w:szCs w:val="22"/>
        </w:rPr>
        <w:noBreakHyphen/>
      </w:r>
      <w:r w:rsidR="3DB09160" w:rsidRPr="00965928">
        <w:rPr>
          <w:rFonts w:ascii="Tahoma" w:hAnsi="Tahoma" w:cs="Tahoma"/>
          <w:sz w:val="22"/>
          <w:szCs w:val="22"/>
        </w:rPr>
        <w:t>59</w:t>
      </w:r>
      <w:r w:rsidR="00AE4865" w:rsidRPr="00965928">
        <w:rPr>
          <w:rFonts w:ascii="Tahoma" w:hAnsi="Tahoma" w:cs="Tahoma"/>
          <w:sz w:val="22"/>
          <w:szCs w:val="22"/>
        </w:rPr>
        <w:t>“)</w:t>
      </w:r>
      <w:r w:rsidRPr="00965928">
        <w:rPr>
          <w:rFonts w:ascii="Tahoma" w:hAnsi="Tahoma" w:cs="Tahoma"/>
          <w:sz w:val="22"/>
          <w:szCs w:val="22"/>
        </w:rPr>
        <w:t>.</w:t>
      </w:r>
      <w:r w:rsidR="005179D3" w:rsidRPr="00965928">
        <w:rPr>
          <w:rFonts w:ascii="Tahoma" w:hAnsi="Tahoma" w:cs="Tahoma"/>
          <w:sz w:val="22"/>
          <w:szCs w:val="22"/>
        </w:rPr>
        <w:t xml:space="preserve"> Tyto podklady budou zajištěny v součinnosti se zhotovitelem a prokazatelně předány </w:t>
      </w:r>
      <w:r w:rsidR="00E512D7" w:rsidRPr="00965928">
        <w:rPr>
          <w:rFonts w:ascii="Tahoma" w:hAnsi="Tahoma" w:cs="Tahoma"/>
          <w:sz w:val="22"/>
          <w:szCs w:val="22"/>
        </w:rPr>
        <w:t>příkazc</w:t>
      </w:r>
      <w:r w:rsidR="005179D3" w:rsidRPr="00965928">
        <w:rPr>
          <w:rFonts w:ascii="Tahoma" w:hAnsi="Tahoma" w:cs="Tahoma"/>
          <w:sz w:val="22"/>
          <w:szCs w:val="22"/>
        </w:rPr>
        <w:t xml:space="preserve">i, a to do 7 dnů ode dne předání staveniště zhotoviteli. V případě uzavření dodatku ke smlouvě o dílo, jehož předmětem budou vícepráce či </w:t>
      </w:r>
      <w:proofErr w:type="spellStart"/>
      <w:r w:rsidR="005179D3" w:rsidRPr="00965928">
        <w:rPr>
          <w:rFonts w:ascii="Tahoma" w:hAnsi="Tahoma" w:cs="Tahoma"/>
          <w:sz w:val="22"/>
          <w:szCs w:val="22"/>
        </w:rPr>
        <w:t>méněpráce</w:t>
      </w:r>
      <w:proofErr w:type="spellEnd"/>
      <w:r w:rsidR="005179D3" w:rsidRPr="00965928">
        <w:rPr>
          <w:rFonts w:ascii="Tahoma" w:hAnsi="Tahoma" w:cs="Tahoma"/>
          <w:sz w:val="22"/>
          <w:szCs w:val="22"/>
        </w:rPr>
        <w:t xml:space="preserve">, je </w:t>
      </w:r>
      <w:r w:rsidR="00E512D7" w:rsidRPr="00965928">
        <w:rPr>
          <w:rFonts w:ascii="Tahoma" w:hAnsi="Tahoma" w:cs="Tahoma"/>
          <w:sz w:val="22"/>
          <w:szCs w:val="22"/>
        </w:rPr>
        <w:t>příkazník</w:t>
      </w:r>
      <w:r w:rsidR="005179D3" w:rsidRPr="00965928">
        <w:rPr>
          <w:rFonts w:ascii="Tahoma" w:hAnsi="Tahoma" w:cs="Tahoma"/>
          <w:sz w:val="22"/>
          <w:szCs w:val="22"/>
        </w:rPr>
        <w:t xml:space="preserve"> povinen v součinnosti se zhotovitelem zajistit a předat </w:t>
      </w:r>
      <w:r w:rsidR="00E512D7" w:rsidRPr="00965928">
        <w:rPr>
          <w:rFonts w:ascii="Tahoma" w:hAnsi="Tahoma" w:cs="Tahoma"/>
          <w:sz w:val="22"/>
          <w:szCs w:val="22"/>
        </w:rPr>
        <w:t>příkazc</w:t>
      </w:r>
      <w:r w:rsidR="005179D3" w:rsidRPr="00965928">
        <w:rPr>
          <w:rFonts w:ascii="Tahoma" w:hAnsi="Tahoma" w:cs="Tahoma"/>
          <w:sz w:val="22"/>
          <w:szCs w:val="22"/>
        </w:rPr>
        <w:t xml:space="preserve">i aktualizaci podkladů pro zatřídění majetku, a to do 7 dnů od předání kopie příslušného dodatku smlouvy o dílo </w:t>
      </w:r>
      <w:r w:rsidR="00E512D7" w:rsidRPr="00965928">
        <w:rPr>
          <w:rFonts w:ascii="Tahoma" w:hAnsi="Tahoma" w:cs="Tahoma"/>
          <w:sz w:val="22"/>
          <w:szCs w:val="22"/>
        </w:rPr>
        <w:t>příkazník</w:t>
      </w:r>
      <w:r w:rsidR="00D369AA" w:rsidRPr="00965928">
        <w:rPr>
          <w:rFonts w:ascii="Tahoma" w:hAnsi="Tahoma" w:cs="Tahoma"/>
          <w:sz w:val="22"/>
          <w:szCs w:val="22"/>
        </w:rPr>
        <w:t>ov</w:t>
      </w:r>
      <w:r w:rsidR="001D3026" w:rsidRPr="00965928">
        <w:rPr>
          <w:rFonts w:ascii="Tahoma" w:hAnsi="Tahoma" w:cs="Tahoma"/>
          <w:sz w:val="22"/>
          <w:szCs w:val="22"/>
        </w:rPr>
        <w:t>i.</w:t>
      </w:r>
    </w:p>
    <w:p w14:paraId="062CCD18" w14:textId="77777777" w:rsidR="00041C5B" w:rsidRPr="001D3026" w:rsidRDefault="00330CE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2729A6E7" w:rsidR="00041C5B" w:rsidRPr="002820E4"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965928">
        <w:rPr>
          <w:rFonts w:ascii="Tahoma" w:hAnsi="Tahoma" w:cs="Tahoma"/>
          <w:sz w:val="22"/>
          <w:szCs w:val="22"/>
        </w:rPr>
        <w:t>maritnikova@domov-kyjovice.cz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0D44B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3A0DA584" w:rsidR="00571F7E" w:rsidRPr="00965928" w:rsidRDefault="00571F7E" w:rsidP="00571F7E">
      <w:pPr>
        <w:spacing w:before="60"/>
        <w:ind w:left="357"/>
        <w:jc w:val="both"/>
        <w:rPr>
          <w:rFonts w:ascii="Tahoma" w:hAnsi="Tahoma" w:cs="Tahoma"/>
          <w:b/>
          <w:sz w:val="22"/>
          <w:szCs w:val="22"/>
        </w:rPr>
      </w:pPr>
      <w:r w:rsidRPr="00965928">
        <w:rPr>
          <w:rFonts w:ascii="Tahoma" w:hAnsi="Tahoma" w:cs="Tahoma"/>
          <w:b/>
          <w:sz w:val="22"/>
          <w:szCs w:val="22"/>
        </w:rPr>
        <w:t>Činnosti koordinátora BOZP:</w:t>
      </w:r>
    </w:p>
    <w:p w14:paraId="1577FF46"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965928">
        <w:rPr>
          <w:rFonts w:ascii="Tahoma" w:hAnsi="Tahoma" w:cs="Tahoma"/>
          <w:sz w:val="22"/>
          <w:szCs w:val="22"/>
        </w:rPr>
        <w:t xml:space="preserve"> </w:t>
      </w:r>
      <w:r w:rsidRPr="00965928">
        <w:rPr>
          <w:rFonts w:ascii="Tahoma" w:hAnsi="Tahoma" w:cs="Tahoma"/>
          <w:sz w:val="22"/>
          <w:szCs w:val="22"/>
        </w:rPr>
        <w:t>a</w:t>
      </w:r>
      <w:r w:rsidR="00D80E29" w:rsidRPr="00965928">
        <w:rPr>
          <w:rFonts w:ascii="Tahoma" w:hAnsi="Tahoma" w:cs="Tahoma"/>
          <w:sz w:val="22"/>
          <w:szCs w:val="22"/>
        </w:rPr>
        <w:t> </w:t>
      </w:r>
      <w:r w:rsidRPr="00965928">
        <w:rPr>
          <w:rFonts w:ascii="Tahoma" w:hAnsi="Tahoma" w:cs="Tahoma"/>
          <w:sz w:val="22"/>
          <w:szCs w:val="22"/>
        </w:rPr>
        <w:t>nařízení vlády č.</w:t>
      </w:r>
      <w:r w:rsidR="00D80E29" w:rsidRPr="00965928">
        <w:rPr>
          <w:rFonts w:ascii="Tahoma" w:hAnsi="Tahoma" w:cs="Tahoma"/>
          <w:sz w:val="22"/>
          <w:szCs w:val="22"/>
        </w:rPr>
        <w:t> 591/2006 </w:t>
      </w:r>
      <w:r w:rsidRPr="00965928">
        <w:rPr>
          <w:rFonts w:ascii="Tahoma" w:hAnsi="Tahoma" w:cs="Tahoma"/>
          <w:sz w:val="22"/>
          <w:szCs w:val="22"/>
        </w:rPr>
        <w:t>Sb., o bližších minimálních požadavcích na</w:t>
      </w:r>
      <w:r w:rsidR="00D80E29" w:rsidRPr="00965928">
        <w:rPr>
          <w:rFonts w:ascii="Tahoma" w:hAnsi="Tahoma" w:cs="Tahoma"/>
          <w:sz w:val="22"/>
          <w:szCs w:val="22"/>
        </w:rPr>
        <w:t> bezpečnost a </w:t>
      </w:r>
      <w:r w:rsidRPr="00965928">
        <w:rPr>
          <w:rFonts w:ascii="Tahoma" w:hAnsi="Tahoma" w:cs="Tahoma"/>
          <w:sz w:val="22"/>
          <w:szCs w:val="22"/>
        </w:rPr>
        <w:t>ochranu zdraví při práci na staveništích. Nepr</w:t>
      </w:r>
      <w:r w:rsidR="00F059C3" w:rsidRPr="00965928">
        <w:rPr>
          <w:rFonts w:ascii="Tahoma" w:hAnsi="Tahoma" w:cs="Tahoma"/>
          <w:sz w:val="22"/>
          <w:szCs w:val="22"/>
        </w:rPr>
        <w:t>odleně po podání oznámení o </w:t>
      </w:r>
      <w:r w:rsidRPr="00965928">
        <w:rPr>
          <w:rFonts w:ascii="Tahoma" w:hAnsi="Tahoma" w:cs="Tahoma"/>
          <w:sz w:val="22"/>
          <w:szCs w:val="22"/>
        </w:rPr>
        <w:t xml:space="preserve">zahájení prací předá </w:t>
      </w:r>
      <w:r w:rsidR="00E512D7" w:rsidRPr="00965928">
        <w:rPr>
          <w:rFonts w:ascii="Tahoma" w:hAnsi="Tahoma" w:cs="Tahoma"/>
          <w:sz w:val="22"/>
          <w:szCs w:val="22"/>
        </w:rPr>
        <w:t>příkazník</w:t>
      </w:r>
      <w:r w:rsidRPr="00965928">
        <w:rPr>
          <w:rFonts w:ascii="Tahoma" w:hAnsi="Tahoma" w:cs="Tahoma"/>
          <w:sz w:val="22"/>
          <w:szCs w:val="22"/>
        </w:rPr>
        <w:t xml:space="preserve"> </w:t>
      </w:r>
      <w:r w:rsidR="00D369AA" w:rsidRPr="00965928">
        <w:rPr>
          <w:rFonts w:ascii="Tahoma" w:hAnsi="Tahoma" w:cs="Tahoma"/>
          <w:sz w:val="22"/>
          <w:szCs w:val="22"/>
        </w:rPr>
        <w:t>příkazc</w:t>
      </w:r>
      <w:r w:rsidRPr="00965928">
        <w:rPr>
          <w:rFonts w:ascii="Tahoma" w:hAnsi="Tahoma" w:cs="Tahoma"/>
          <w:sz w:val="22"/>
          <w:szCs w:val="22"/>
        </w:rPr>
        <w:t>i kopii oznámení s potvrzením o jeho podání příslušnému úřadu.</w:t>
      </w:r>
    </w:p>
    <w:p w14:paraId="3788ED88"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Zajištění všech povinností stavebníka (</w:t>
      </w:r>
      <w:r w:rsidR="009D6C77" w:rsidRPr="00965928">
        <w:rPr>
          <w:rFonts w:ascii="Tahoma" w:hAnsi="Tahoma" w:cs="Tahoma"/>
          <w:sz w:val="22"/>
          <w:szCs w:val="22"/>
        </w:rPr>
        <w:t>příkazce</w:t>
      </w:r>
      <w:r w:rsidRPr="00965928">
        <w:rPr>
          <w:rFonts w:ascii="Tahoma" w:hAnsi="Tahoma" w:cs="Tahoma"/>
          <w:sz w:val="22"/>
          <w:szCs w:val="22"/>
        </w:rPr>
        <w:t>) plynoucích ze zákona č.</w:t>
      </w:r>
      <w:r w:rsidR="00D80E29" w:rsidRPr="00965928">
        <w:rPr>
          <w:rFonts w:ascii="Tahoma" w:hAnsi="Tahoma" w:cs="Tahoma"/>
          <w:sz w:val="22"/>
          <w:szCs w:val="22"/>
        </w:rPr>
        <w:t> </w:t>
      </w:r>
      <w:r w:rsidRPr="00965928">
        <w:rPr>
          <w:rFonts w:ascii="Tahoma" w:hAnsi="Tahoma" w:cs="Tahoma"/>
          <w:sz w:val="22"/>
          <w:szCs w:val="22"/>
        </w:rPr>
        <w:t>309/2006</w:t>
      </w:r>
      <w:r w:rsidR="00D80E29" w:rsidRPr="00965928">
        <w:rPr>
          <w:rFonts w:ascii="Tahoma" w:hAnsi="Tahoma" w:cs="Tahoma"/>
          <w:sz w:val="22"/>
          <w:szCs w:val="22"/>
        </w:rPr>
        <w:t> </w:t>
      </w:r>
      <w:r w:rsidRPr="00965928">
        <w:rPr>
          <w:rFonts w:ascii="Tahoma" w:hAnsi="Tahoma" w:cs="Tahoma"/>
          <w:sz w:val="22"/>
          <w:szCs w:val="22"/>
        </w:rPr>
        <w:t xml:space="preserve">Sb. (mimo povinností </w:t>
      </w:r>
      <w:r w:rsidR="009D6C77" w:rsidRPr="00965928">
        <w:rPr>
          <w:rFonts w:ascii="Tahoma" w:hAnsi="Tahoma" w:cs="Tahoma"/>
          <w:sz w:val="22"/>
          <w:szCs w:val="22"/>
        </w:rPr>
        <w:t>příkazce</w:t>
      </w:r>
      <w:r w:rsidRPr="00965928">
        <w:rPr>
          <w:rFonts w:ascii="Tahoma" w:hAnsi="Tahoma" w:cs="Tahoma"/>
          <w:sz w:val="22"/>
          <w:szCs w:val="22"/>
        </w:rPr>
        <w:t xml:space="preserve"> vůči koordinátorovi bezpečnosti a</w:t>
      </w:r>
      <w:r w:rsidR="00D80E29" w:rsidRPr="00965928">
        <w:rPr>
          <w:rFonts w:ascii="Tahoma" w:hAnsi="Tahoma" w:cs="Tahoma"/>
          <w:sz w:val="22"/>
          <w:szCs w:val="22"/>
        </w:rPr>
        <w:t> </w:t>
      </w:r>
      <w:r w:rsidRPr="00965928">
        <w:rPr>
          <w:rFonts w:ascii="Tahoma" w:hAnsi="Tahoma" w:cs="Tahoma"/>
          <w:sz w:val="22"/>
          <w:szCs w:val="22"/>
        </w:rPr>
        <w:t>ochrany zdraví při práci na</w:t>
      </w:r>
      <w:r w:rsidR="00D80E29" w:rsidRPr="00965928">
        <w:rPr>
          <w:rFonts w:ascii="Tahoma" w:hAnsi="Tahoma" w:cs="Tahoma"/>
          <w:sz w:val="22"/>
          <w:szCs w:val="22"/>
        </w:rPr>
        <w:t> </w:t>
      </w:r>
      <w:r w:rsidRPr="00965928">
        <w:rPr>
          <w:rFonts w:ascii="Tahoma" w:hAnsi="Tahoma" w:cs="Tahoma"/>
          <w:sz w:val="22"/>
          <w:szCs w:val="22"/>
        </w:rPr>
        <w:t xml:space="preserve">staveništi), včetně </w:t>
      </w:r>
      <w:r w:rsidR="00F15991" w:rsidRPr="00965928">
        <w:rPr>
          <w:rFonts w:ascii="Tahoma" w:hAnsi="Tahoma" w:cs="Tahoma"/>
          <w:sz w:val="22"/>
          <w:szCs w:val="22"/>
        </w:rPr>
        <w:t>zpracování plánu bezpečnosti a</w:t>
      </w:r>
      <w:r w:rsidR="00D80E29" w:rsidRPr="00965928">
        <w:rPr>
          <w:rFonts w:ascii="Tahoma" w:hAnsi="Tahoma" w:cs="Tahoma"/>
          <w:sz w:val="22"/>
          <w:szCs w:val="22"/>
        </w:rPr>
        <w:t> </w:t>
      </w:r>
      <w:r w:rsidR="00F15991" w:rsidRPr="00965928">
        <w:rPr>
          <w:rFonts w:ascii="Tahoma" w:hAnsi="Tahoma" w:cs="Tahoma"/>
          <w:sz w:val="22"/>
          <w:szCs w:val="22"/>
        </w:rPr>
        <w:t>ochrany zdraví při práci na</w:t>
      </w:r>
      <w:r w:rsidR="00D80E29" w:rsidRPr="00965928">
        <w:rPr>
          <w:rFonts w:ascii="Tahoma" w:hAnsi="Tahoma" w:cs="Tahoma"/>
          <w:sz w:val="22"/>
          <w:szCs w:val="22"/>
        </w:rPr>
        <w:t> </w:t>
      </w:r>
      <w:r w:rsidR="00F15991" w:rsidRPr="00965928">
        <w:rPr>
          <w:rFonts w:ascii="Tahoma" w:hAnsi="Tahoma" w:cs="Tahoma"/>
          <w:sz w:val="22"/>
          <w:szCs w:val="22"/>
        </w:rPr>
        <w:t>s</w:t>
      </w:r>
      <w:r w:rsidR="00D80E29" w:rsidRPr="00965928">
        <w:rPr>
          <w:rFonts w:ascii="Tahoma" w:hAnsi="Tahoma" w:cs="Tahoma"/>
          <w:sz w:val="22"/>
          <w:szCs w:val="22"/>
        </w:rPr>
        <w:t>taveništi před zahájením prací na staveništi a </w:t>
      </w:r>
      <w:r w:rsidR="00F15991" w:rsidRPr="00965928">
        <w:rPr>
          <w:rFonts w:ascii="Tahoma" w:hAnsi="Tahoma" w:cs="Tahoma"/>
          <w:sz w:val="22"/>
          <w:szCs w:val="22"/>
        </w:rPr>
        <w:t xml:space="preserve">jeho </w:t>
      </w:r>
      <w:r w:rsidRPr="00965928">
        <w:rPr>
          <w:rFonts w:ascii="Tahoma" w:hAnsi="Tahoma" w:cs="Tahoma"/>
          <w:sz w:val="22"/>
          <w:szCs w:val="22"/>
        </w:rPr>
        <w:t>aktualizace v průběhu stavby.</w:t>
      </w:r>
      <w:r w:rsidR="00D80E29" w:rsidRPr="00965928">
        <w:rPr>
          <w:rFonts w:ascii="Tahoma" w:hAnsi="Tahoma" w:cs="Tahoma"/>
          <w:sz w:val="22"/>
          <w:szCs w:val="22"/>
        </w:rPr>
        <w:t xml:space="preserve"> Plán bezpečnosti a </w:t>
      </w:r>
      <w:r w:rsidR="00F15991" w:rsidRPr="00965928">
        <w:rPr>
          <w:rFonts w:ascii="Tahoma" w:hAnsi="Tahoma" w:cs="Tahoma"/>
          <w:sz w:val="22"/>
          <w:szCs w:val="22"/>
        </w:rPr>
        <w:t>ochrany zdraví při</w:t>
      </w:r>
      <w:r w:rsidR="00D80E29" w:rsidRPr="00965928">
        <w:rPr>
          <w:rFonts w:ascii="Tahoma" w:hAnsi="Tahoma" w:cs="Tahoma"/>
          <w:sz w:val="22"/>
          <w:szCs w:val="22"/>
        </w:rPr>
        <w:t> </w:t>
      </w:r>
      <w:r w:rsidR="00F15991" w:rsidRPr="00965928">
        <w:rPr>
          <w:rFonts w:ascii="Tahoma" w:hAnsi="Tahoma" w:cs="Tahoma"/>
          <w:sz w:val="22"/>
          <w:szCs w:val="22"/>
        </w:rPr>
        <w:t>práci na</w:t>
      </w:r>
      <w:r w:rsidR="00D80E29" w:rsidRPr="00965928">
        <w:rPr>
          <w:rFonts w:ascii="Tahoma" w:hAnsi="Tahoma" w:cs="Tahoma"/>
          <w:sz w:val="22"/>
          <w:szCs w:val="22"/>
        </w:rPr>
        <w:t> </w:t>
      </w:r>
      <w:r w:rsidR="00F15991" w:rsidRPr="00965928">
        <w:rPr>
          <w:rFonts w:ascii="Tahoma" w:hAnsi="Tahoma" w:cs="Tahoma"/>
          <w:sz w:val="22"/>
          <w:szCs w:val="22"/>
        </w:rPr>
        <w:t>staveništi musí být zpracován a aktualizován s ohledem na druh a</w:t>
      </w:r>
      <w:r w:rsidR="00D80E29" w:rsidRPr="00965928">
        <w:rPr>
          <w:rFonts w:ascii="Tahoma" w:hAnsi="Tahoma" w:cs="Tahoma"/>
          <w:sz w:val="22"/>
          <w:szCs w:val="22"/>
        </w:rPr>
        <w:t> </w:t>
      </w:r>
      <w:r w:rsidR="00F15991" w:rsidRPr="00965928">
        <w:rPr>
          <w:rFonts w:ascii="Tahoma" w:hAnsi="Tahoma" w:cs="Tahoma"/>
          <w:sz w:val="22"/>
          <w:szCs w:val="22"/>
        </w:rPr>
        <w:t>velikost stavby tak, aby plně vyhovoval potřebám zajištění bezpečné a zdraví neohrožující práce. V</w:t>
      </w:r>
      <w:r w:rsidR="00D80E29" w:rsidRPr="00965928">
        <w:rPr>
          <w:rFonts w:ascii="Tahoma" w:hAnsi="Tahoma" w:cs="Tahoma"/>
          <w:sz w:val="22"/>
          <w:szCs w:val="22"/>
        </w:rPr>
        <w:t> </w:t>
      </w:r>
      <w:r w:rsidR="00F15991" w:rsidRPr="00965928">
        <w:rPr>
          <w:rFonts w:ascii="Tahoma" w:hAnsi="Tahoma" w:cs="Tahoma"/>
          <w:sz w:val="22"/>
          <w:szCs w:val="22"/>
        </w:rPr>
        <w:t>plánu budou uvedena potřebná opatření z</w:t>
      </w:r>
      <w:r w:rsidR="00D80E29" w:rsidRPr="00965928">
        <w:rPr>
          <w:rFonts w:ascii="Tahoma" w:hAnsi="Tahoma" w:cs="Tahoma"/>
          <w:sz w:val="22"/>
          <w:szCs w:val="22"/>
        </w:rPr>
        <w:t> hlediska časové potřeby i </w:t>
      </w:r>
      <w:r w:rsidR="00F15991" w:rsidRPr="00965928">
        <w:rPr>
          <w:rFonts w:ascii="Tahoma" w:hAnsi="Tahoma" w:cs="Tahoma"/>
          <w:sz w:val="22"/>
          <w:szCs w:val="22"/>
        </w:rPr>
        <w:t>způsobu provedení.</w:t>
      </w:r>
    </w:p>
    <w:p w14:paraId="1B0D50BA" w14:textId="77777777" w:rsidR="00041C5B" w:rsidRPr="00965928" w:rsidRDefault="00041C5B"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V rámci výkonu fu</w:t>
      </w:r>
      <w:r w:rsidR="00D80E29" w:rsidRPr="00965928">
        <w:rPr>
          <w:rFonts w:ascii="Tahoma" w:hAnsi="Tahoma" w:cs="Tahoma"/>
          <w:sz w:val="22"/>
          <w:szCs w:val="22"/>
        </w:rPr>
        <w:t>nkce koordinátora bezpečnosti a ochrany zdraví při </w:t>
      </w:r>
      <w:r w:rsidRPr="00965928">
        <w:rPr>
          <w:rFonts w:ascii="Tahoma" w:hAnsi="Tahoma" w:cs="Tahoma"/>
          <w:sz w:val="22"/>
          <w:szCs w:val="22"/>
        </w:rPr>
        <w:t>práci na</w:t>
      </w:r>
      <w:r w:rsidR="00D80E29" w:rsidRPr="00965928">
        <w:rPr>
          <w:rFonts w:ascii="Tahoma" w:hAnsi="Tahoma" w:cs="Tahoma"/>
          <w:sz w:val="22"/>
          <w:szCs w:val="22"/>
        </w:rPr>
        <w:t> </w:t>
      </w:r>
      <w:r w:rsidRPr="00965928">
        <w:rPr>
          <w:rFonts w:ascii="Tahoma" w:hAnsi="Tahoma" w:cs="Tahoma"/>
          <w:sz w:val="22"/>
          <w:szCs w:val="22"/>
        </w:rPr>
        <w:t>staveništi povede bezpečnostní deník. Do</w:t>
      </w:r>
      <w:r w:rsidR="00D80E29" w:rsidRPr="00965928">
        <w:rPr>
          <w:rFonts w:ascii="Tahoma" w:hAnsi="Tahoma" w:cs="Tahoma"/>
          <w:sz w:val="22"/>
          <w:szCs w:val="22"/>
        </w:rPr>
        <w:t> </w:t>
      </w:r>
      <w:r w:rsidRPr="00965928">
        <w:rPr>
          <w:rFonts w:ascii="Tahoma" w:hAnsi="Tahoma" w:cs="Tahoma"/>
          <w:sz w:val="22"/>
          <w:szCs w:val="22"/>
        </w:rPr>
        <w:t>bezpečnostního deníku budou zaznamenávány veškeré skutečnosti týkající se bezpečnosti a</w:t>
      </w:r>
      <w:r w:rsidR="00D80E29" w:rsidRPr="00965928">
        <w:rPr>
          <w:rFonts w:ascii="Tahoma" w:hAnsi="Tahoma" w:cs="Tahoma"/>
          <w:sz w:val="22"/>
          <w:szCs w:val="22"/>
        </w:rPr>
        <w:t> </w:t>
      </w:r>
      <w:r w:rsidRPr="00965928">
        <w:rPr>
          <w:rFonts w:ascii="Tahoma" w:hAnsi="Tahoma" w:cs="Tahoma"/>
          <w:sz w:val="22"/>
          <w:szCs w:val="22"/>
        </w:rPr>
        <w:t>ochrany zdraví při</w:t>
      </w:r>
      <w:r w:rsidR="00D80E29" w:rsidRPr="00965928">
        <w:rPr>
          <w:rFonts w:ascii="Tahoma" w:hAnsi="Tahoma" w:cs="Tahoma"/>
          <w:sz w:val="22"/>
          <w:szCs w:val="22"/>
        </w:rPr>
        <w:t> </w:t>
      </w:r>
      <w:r w:rsidRPr="00965928">
        <w:rPr>
          <w:rFonts w:ascii="Tahoma" w:hAnsi="Tahoma" w:cs="Tahoma"/>
          <w:sz w:val="22"/>
          <w:szCs w:val="22"/>
        </w:rPr>
        <w:t>práci na staveništi, zejména pak tyto skutečnosti:</w:t>
      </w:r>
    </w:p>
    <w:p w14:paraId="68DEACA2" w14:textId="5A23FAC5"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seznámení s místními riziky za</w:t>
      </w:r>
      <w:r w:rsidR="00D80E29" w:rsidRPr="00965928">
        <w:rPr>
          <w:rFonts w:ascii="Tahoma" w:hAnsi="Tahoma" w:cs="Tahoma"/>
          <w:sz w:val="22"/>
          <w:szCs w:val="22"/>
        </w:rPr>
        <w:t> </w:t>
      </w:r>
      <w:r w:rsidRPr="00965928">
        <w:rPr>
          <w:rFonts w:ascii="Tahoma" w:hAnsi="Tahoma" w:cs="Tahoma"/>
          <w:sz w:val="22"/>
          <w:szCs w:val="22"/>
        </w:rPr>
        <w:t>účelem předcházení ohrožení života a</w:t>
      </w:r>
      <w:r w:rsidR="00D80E29" w:rsidRPr="00965928">
        <w:rPr>
          <w:rFonts w:ascii="Tahoma" w:hAnsi="Tahoma" w:cs="Tahoma"/>
          <w:sz w:val="22"/>
          <w:szCs w:val="22"/>
        </w:rPr>
        <w:t> </w:t>
      </w:r>
      <w:r w:rsidRPr="00965928">
        <w:rPr>
          <w:rFonts w:ascii="Tahoma" w:hAnsi="Tahoma" w:cs="Tahoma"/>
          <w:sz w:val="22"/>
          <w:szCs w:val="22"/>
        </w:rPr>
        <w:t>zdraví osob, které se s vědomím zhotovitele</w:t>
      </w:r>
      <w:r w:rsidR="00D80E29" w:rsidRPr="00965928">
        <w:rPr>
          <w:rFonts w:ascii="Tahoma" w:hAnsi="Tahoma" w:cs="Tahoma"/>
          <w:sz w:val="22"/>
          <w:szCs w:val="22"/>
        </w:rPr>
        <w:t xml:space="preserve"> mohou zdržovat na </w:t>
      </w:r>
      <w:r w:rsidRPr="00965928">
        <w:rPr>
          <w:rFonts w:ascii="Tahoma" w:hAnsi="Tahoma" w:cs="Tahoma"/>
          <w:sz w:val="22"/>
          <w:szCs w:val="22"/>
        </w:rPr>
        <w:t>staveništi (pokud stavební práce probíhají za provozu),</w:t>
      </w:r>
    </w:p>
    <w:p w14:paraId="4191C47A"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seznámení s plánem bezpečnosti a ochrany zdraví při práci na staveništi,</w:t>
      </w:r>
    </w:p>
    <w:p w14:paraId="102B5F4E" w14:textId="5E0C8999"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zápisy z pravidelných kontrolních dnů bezpečnosti a ochrany zdraví při práci</w:t>
      </w:r>
      <w:r w:rsidR="00325B49" w:rsidRPr="00965928">
        <w:rPr>
          <w:rFonts w:ascii="Tahoma" w:hAnsi="Tahoma" w:cs="Tahoma"/>
          <w:sz w:val="22"/>
          <w:szCs w:val="22"/>
        </w:rPr>
        <w:t>,</w:t>
      </w:r>
    </w:p>
    <w:p w14:paraId="6AF3E4C9"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nedostatky zjištěné při pochůzkách na stavbě včetně uložení opatření k nápravě,</w:t>
      </w:r>
    </w:p>
    <w:p w14:paraId="299CEEBA"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oznámení o nepřijetí uložených opatření k nápravě,</w:t>
      </w:r>
    </w:p>
    <w:p w14:paraId="047F2B38" w14:textId="1E7D9F31"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 xml:space="preserve">koordinace s techniky bezpečnosti a ochrany zdraví při práci jednotlivých </w:t>
      </w:r>
      <w:r w:rsidR="00D80E29" w:rsidRPr="00965928">
        <w:rPr>
          <w:rFonts w:ascii="Tahoma" w:hAnsi="Tahoma" w:cs="Tahoma"/>
          <w:sz w:val="22"/>
          <w:szCs w:val="22"/>
        </w:rPr>
        <w:t>poddodavatelů</w:t>
      </w:r>
      <w:r w:rsidRPr="00965928">
        <w:rPr>
          <w:rFonts w:ascii="Tahoma" w:hAnsi="Tahoma" w:cs="Tahoma"/>
          <w:sz w:val="22"/>
          <w:szCs w:val="22"/>
        </w:rPr>
        <w:t>,</w:t>
      </w:r>
    </w:p>
    <w:p w14:paraId="1DA9A810" w14:textId="3A7971CD"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 xml:space="preserve">koordinace činností jednotlivých </w:t>
      </w:r>
      <w:r w:rsidR="00D80E29" w:rsidRPr="00965928">
        <w:rPr>
          <w:rFonts w:ascii="Tahoma" w:hAnsi="Tahoma" w:cs="Tahoma"/>
          <w:sz w:val="22"/>
          <w:szCs w:val="22"/>
        </w:rPr>
        <w:t xml:space="preserve">poddodavatelů </w:t>
      </w:r>
      <w:r w:rsidRPr="00965928">
        <w:rPr>
          <w:rFonts w:ascii="Tahoma" w:hAnsi="Tahoma" w:cs="Tahoma"/>
          <w:sz w:val="22"/>
          <w:szCs w:val="22"/>
        </w:rPr>
        <w:t>s cílem vyloučení bezpečnostních kolizí,</w:t>
      </w:r>
    </w:p>
    <w:p w14:paraId="10A12171" w14:textId="77777777" w:rsidR="00041C5B" w:rsidRPr="00965928" w:rsidRDefault="00041C5B" w:rsidP="000D44B7">
      <w:pPr>
        <w:numPr>
          <w:ilvl w:val="0"/>
          <w:numId w:val="16"/>
        </w:numPr>
        <w:tabs>
          <w:tab w:val="clear" w:pos="360"/>
          <w:tab w:val="num" w:pos="1276"/>
        </w:tabs>
        <w:spacing w:before="60"/>
        <w:ind w:left="1276" w:hanging="425"/>
        <w:jc w:val="both"/>
        <w:rPr>
          <w:rFonts w:ascii="Tahoma" w:hAnsi="Tahoma" w:cs="Tahoma"/>
          <w:sz w:val="22"/>
          <w:szCs w:val="22"/>
        </w:rPr>
      </w:pPr>
      <w:r w:rsidRPr="00965928">
        <w:rPr>
          <w:rFonts w:ascii="Tahoma" w:hAnsi="Tahoma" w:cs="Tahoma"/>
          <w:sz w:val="22"/>
          <w:szCs w:val="22"/>
        </w:rPr>
        <w:t>kontrola dodržování čistoty a pořádku na staveništi.</w:t>
      </w:r>
    </w:p>
    <w:p w14:paraId="108CA54D" w14:textId="77777777" w:rsidR="005179D3" w:rsidRPr="00965928" w:rsidRDefault="002F2314" w:rsidP="000D44B7">
      <w:pPr>
        <w:numPr>
          <w:ilvl w:val="0"/>
          <w:numId w:val="8"/>
        </w:numPr>
        <w:tabs>
          <w:tab w:val="clear" w:pos="2062"/>
          <w:tab w:val="num" w:pos="714"/>
        </w:tabs>
        <w:spacing w:before="60"/>
        <w:ind w:left="714" w:hanging="357"/>
        <w:jc w:val="both"/>
        <w:rPr>
          <w:rFonts w:ascii="Tahoma" w:hAnsi="Tahoma" w:cs="Tahoma"/>
          <w:sz w:val="22"/>
          <w:szCs w:val="22"/>
        </w:rPr>
      </w:pPr>
      <w:r w:rsidRPr="00965928">
        <w:rPr>
          <w:rFonts w:ascii="Tahoma" w:hAnsi="Tahoma" w:cs="Tahoma"/>
          <w:sz w:val="22"/>
          <w:szCs w:val="22"/>
        </w:rPr>
        <w:t xml:space="preserve">Podávat </w:t>
      </w:r>
      <w:r w:rsidR="00D369AA" w:rsidRPr="00965928">
        <w:rPr>
          <w:rFonts w:ascii="Tahoma" w:hAnsi="Tahoma" w:cs="Tahoma"/>
          <w:sz w:val="22"/>
          <w:szCs w:val="22"/>
        </w:rPr>
        <w:t>příkazci</w:t>
      </w:r>
      <w:r w:rsidRPr="00965928">
        <w:rPr>
          <w:rFonts w:ascii="Tahoma" w:hAnsi="Tahoma" w:cs="Tahoma"/>
          <w:sz w:val="22"/>
          <w:szCs w:val="22"/>
        </w:rPr>
        <w:t xml:space="preserve"> </w:t>
      </w:r>
      <w:r w:rsidR="00D80E29" w:rsidRPr="00965928">
        <w:rPr>
          <w:rFonts w:ascii="Tahoma" w:hAnsi="Tahoma" w:cs="Tahoma"/>
          <w:sz w:val="22"/>
          <w:szCs w:val="22"/>
        </w:rPr>
        <w:t>pravidelné měsíční zprávy a </w:t>
      </w:r>
      <w:r w:rsidR="00C34F98" w:rsidRPr="00965928">
        <w:rPr>
          <w:rFonts w:ascii="Tahoma" w:hAnsi="Tahoma" w:cs="Tahoma"/>
          <w:sz w:val="22"/>
          <w:szCs w:val="22"/>
        </w:rPr>
        <w:t xml:space="preserve">závěrečnou zprávu </w:t>
      </w:r>
      <w:r w:rsidRPr="00965928">
        <w:rPr>
          <w:rFonts w:ascii="Tahoma" w:hAnsi="Tahoma" w:cs="Tahoma"/>
          <w:sz w:val="22"/>
          <w:szCs w:val="22"/>
        </w:rPr>
        <w:t>o</w:t>
      </w:r>
      <w:r w:rsidR="00D80E29" w:rsidRPr="00965928">
        <w:rPr>
          <w:rFonts w:ascii="Tahoma" w:hAnsi="Tahoma" w:cs="Tahoma"/>
          <w:sz w:val="22"/>
          <w:szCs w:val="22"/>
        </w:rPr>
        <w:t> </w:t>
      </w:r>
      <w:r w:rsidRPr="00965928">
        <w:rPr>
          <w:rFonts w:ascii="Tahoma" w:hAnsi="Tahoma" w:cs="Tahoma"/>
          <w:sz w:val="22"/>
          <w:szCs w:val="22"/>
        </w:rPr>
        <w:t xml:space="preserve">své činnosti </w:t>
      </w:r>
      <w:r w:rsidR="00C34F98" w:rsidRPr="00965928">
        <w:rPr>
          <w:rFonts w:ascii="Tahoma" w:hAnsi="Tahoma" w:cs="Tahoma"/>
          <w:sz w:val="22"/>
          <w:szCs w:val="22"/>
        </w:rPr>
        <w:t xml:space="preserve">vykonávané </w:t>
      </w:r>
      <w:r w:rsidRPr="00965928">
        <w:rPr>
          <w:rFonts w:ascii="Tahoma" w:hAnsi="Tahoma" w:cs="Tahoma"/>
          <w:sz w:val="22"/>
          <w:szCs w:val="22"/>
        </w:rPr>
        <w:t>v rámci funkce koordinátora bezpečnosti a</w:t>
      </w:r>
      <w:r w:rsidR="00D80E29" w:rsidRPr="00965928">
        <w:rPr>
          <w:rFonts w:ascii="Tahoma" w:hAnsi="Tahoma" w:cs="Tahoma"/>
          <w:sz w:val="22"/>
          <w:szCs w:val="22"/>
        </w:rPr>
        <w:t> ochrany zdraví při </w:t>
      </w:r>
      <w:r w:rsidRPr="00965928">
        <w:rPr>
          <w:rFonts w:ascii="Tahoma" w:hAnsi="Tahoma" w:cs="Tahoma"/>
          <w:sz w:val="22"/>
          <w:szCs w:val="22"/>
        </w:rPr>
        <w:t>práci na</w:t>
      </w:r>
      <w:r w:rsidR="00D80E29" w:rsidRPr="00965928">
        <w:rPr>
          <w:rFonts w:ascii="Tahoma" w:hAnsi="Tahoma" w:cs="Tahoma"/>
          <w:sz w:val="22"/>
          <w:szCs w:val="22"/>
        </w:rPr>
        <w:t> </w:t>
      </w:r>
      <w:r w:rsidRPr="00965928">
        <w:rPr>
          <w:rFonts w:ascii="Tahoma" w:hAnsi="Tahoma" w:cs="Tahoma"/>
          <w:sz w:val="22"/>
          <w:szCs w:val="22"/>
        </w:rPr>
        <w:t>staveništi</w:t>
      </w:r>
      <w:r w:rsidR="001A4ABA" w:rsidRPr="00965928">
        <w:rPr>
          <w:rFonts w:ascii="Tahoma" w:hAnsi="Tahoma" w:cs="Tahoma"/>
          <w:sz w:val="22"/>
          <w:szCs w:val="22"/>
        </w:rPr>
        <w:t>.</w:t>
      </w:r>
      <w:r w:rsidR="00B9035F" w:rsidRPr="00965928">
        <w:rPr>
          <w:rFonts w:ascii="Tahoma" w:hAnsi="Tahoma" w:cs="Tahoma"/>
          <w:sz w:val="22"/>
          <w:szCs w:val="22"/>
        </w:rPr>
        <w:t xml:space="preserve"> V případě, že dojde k porušení předpisů týkajících se BOZP, bude součástí těchto zpráv také</w:t>
      </w:r>
      <w:r w:rsidRPr="00965928">
        <w:rPr>
          <w:rFonts w:ascii="Tahoma" w:hAnsi="Tahoma" w:cs="Tahoma"/>
          <w:sz w:val="22"/>
          <w:szCs w:val="22"/>
        </w:rPr>
        <w:t xml:space="preserve"> </w:t>
      </w:r>
      <w:r w:rsidR="005179D3" w:rsidRPr="00965928">
        <w:rPr>
          <w:rFonts w:ascii="Tahoma" w:hAnsi="Tahoma" w:cs="Tahoma"/>
          <w:sz w:val="22"/>
          <w:szCs w:val="22"/>
        </w:rPr>
        <w:t xml:space="preserve">vyplněný formulář „Seznam zjištěných případů porušení předpisů týkajících se BOZP“, jehož vzor bude předán </w:t>
      </w:r>
      <w:r w:rsidR="00E512D7" w:rsidRPr="00965928">
        <w:rPr>
          <w:rFonts w:ascii="Tahoma" w:hAnsi="Tahoma" w:cs="Tahoma"/>
          <w:sz w:val="22"/>
          <w:szCs w:val="22"/>
        </w:rPr>
        <w:t>příkazník</w:t>
      </w:r>
      <w:r w:rsidR="00D369AA" w:rsidRPr="00965928">
        <w:rPr>
          <w:rFonts w:ascii="Tahoma" w:hAnsi="Tahoma" w:cs="Tahoma"/>
          <w:sz w:val="22"/>
          <w:szCs w:val="22"/>
        </w:rPr>
        <w:t>ovi</w:t>
      </w:r>
      <w:r w:rsidR="005179D3" w:rsidRPr="00965928">
        <w:rPr>
          <w:rFonts w:ascii="Tahoma" w:hAnsi="Tahoma" w:cs="Tahoma"/>
          <w:sz w:val="22"/>
          <w:szCs w:val="22"/>
        </w:rPr>
        <w:t xml:space="preserve"> při předání st</w:t>
      </w:r>
      <w:r w:rsidR="00D80E29" w:rsidRPr="00965928">
        <w:rPr>
          <w:rFonts w:ascii="Tahoma" w:hAnsi="Tahoma" w:cs="Tahoma"/>
          <w:sz w:val="22"/>
          <w:szCs w:val="22"/>
        </w:rPr>
        <w:t>aveniště zhotoviteli.</w:t>
      </w:r>
    </w:p>
    <w:p w14:paraId="7EAE25C1" w14:textId="77777777" w:rsidR="00041C5B" w:rsidRPr="002820E4" w:rsidRDefault="00E512D7"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0D44B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0D44B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7A6C229E" w14:textId="56B6C182" w:rsidR="0049705D" w:rsidRDefault="0049705D" w:rsidP="00433B83">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w:t>
      </w:r>
      <w:r w:rsidR="00433B83">
        <w:rPr>
          <w:rFonts w:ascii="Tahoma" w:hAnsi="Tahoma" w:cs="Tahoma"/>
          <w:sz w:val="22"/>
          <w:szCs w:val="22"/>
        </w:rPr>
        <w:t xml:space="preserve">ýrská činnost bude prováděna do kolaudačního souhlasu stavby. </w:t>
      </w:r>
    </w:p>
    <w:p w14:paraId="3C2A6AA6" w14:textId="1A5E6B3A" w:rsidR="00433B83" w:rsidRPr="00433B83" w:rsidRDefault="00433B83" w:rsidP="00433B83">
      <w:pPr>
        <w:pStyle w:val="Smlouva-slo"/>
        <w:spacing w:line="240" w:lineRule="auto"/>
        <w:jc w:val="center"/>
        <w:rPr>
          <w:rFonts w:ascii="Tahoma" w:hAnsi="Tahoma" w:cs="Tahoma"/>
          <w:sz w:val="22"/>
          <w:szCs w:val="22"/>
        </w:rPr>
      </w:pPr>
      <w:r w:rsidRPr="002820E4">
        <w:rPr>
          <w:rFonts w:ascii="Tahoma" w:hAnsi="Tahoma" w:cs="Tahoma"/>
          <w:b/>
          <w:sz w:val="22"/>
          <w:szCs w:val="22"/>
        </w:rPr>
        <w:t>V</w:t>
      </w:r>
      <w:r>
        <w:rPr>
          <w:rFonts w:ascii="Tahoma" w:hAnsi="Tahoma" w:cs="Tahoma"/>
          <w:b/>
          <w:sz w:val="22"/>
          <w:szCs w:val="22"/>
        </w:rPr>
        <w:t>.</w:t>
      </w:r>
    </w:p>
    <w:p w14:paraId="29F8A4D0" w14:textId="1AFF0C51" w:rsidR="00041C5B" w:rsidRPr="002820E4" w:rsidRDefault="0049705D" w:rsidP="009F6384">
      <w:pPr>
        <w:keepNext/>
        <w:spacing w:before="360"/>
        <w:jc w:val="center"/>
        <w:rPr>
          <w:rFonts w:ascii="Tahoma" w:hAnsi="Tahoma" w:cs="Tahoma"/>
          <w:b/>
          <w:sz w:val="22"/>
          <w:szCs w:val="22"/>
        </w:rPr>
      </w:pPr>
      <w:r w:rsidRPr="002820E4">
        <w:rPr>
          <w:rFonts w:ascii="Tahoma" w:hAnsi="Tahoma" w:cs="Tahoma"/>
          <w:b/>
          <w:sz w:val="22"/>
          <w:szCs w:val="22"/>
        </w:rPr>
        <w:t>Odměna</w:t>
      </w:r>
    </w:p>
    <w:p w14:paraId="61AC728A" w14:textId="4CB50CF0" w:rsidR="00B50357" w:rsidRPr="000C6073" w:rsidRDefault="000C6073" w:rsidP="000C6073">
      <w:pPr>
        <w:pStyle w:val="Smlouva-slo"/>
        <w:numPr>
          <w:ilvl w:val="6"/>
          <w:numId w:val="6"/>
        </w:numPr>
        <w:spacing w:line="240" w:lineRule="auto"/>
        <w:rPr>
          <w:rFonts w:ascii="Tahoma" w:hAnsi="Tahoma" w:cs="Tahoma"/>
          <w:sz w:val="22"/>
          <w:szCs w:val="22"/>
        </w:rPr>
      </w:pPr>
      <w:r w:rsidRPr="000C6073">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524CB632"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3001C2">
        <w:rPr>
          <w:rFonts w:ascii="Tahoma" w:hAnsi="Tahoma" w:cs="Tahoma"/>
          <w:sz w:val="22"/>
          <w:szCs w:val="22"/>
        </w:rPr>
        <w:t>197 000,-</w:t>
      </w:r>
      <w:r w:rsidRPr="00AD2B47">
        <w:rPr>
          <w:rFonts w:ascii="Tahoma" w:hAnsi="Tahoma" w:cs="Tahoma"/>
          <w:sz w:val="22"/>
          <w:szCs w:val="22"/>
        </w:rPr>
        <w:t> Kč</w:t>
      </w:r>
    </w:p>
    <w:p w14:paraId="402FC8D5" w14:textId="0C4FBD5A"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003001C2">
        <w:rPr>
          <w:rFonts w:ascii="Tahoma" w:hAnsi="Tahoma" w:cs="Tahoma"/>
          <w:sz w:val="22"/>
          <w:szCs w:val="22"/>
        </w:rPr>
        <w:t xml:space="preserve"> 21 % </w:t>
      </w:r>
      <w:r w:rsidRPr="00AD2B47">
        <w:rPr>
          <w:rFonts w:ascii="Tahoma" w:hAnsi="Tahoma" w:cs="Tahoma"/>
          <w:sz w:val="22"/>
          <w:szCs w:val="22"/>
        </w:rPr>
        <w:tab/>
      </w:r>
      <w:r w:rsidR="003001C2">
        <w:rPr>
          <w:rFonts w:ascii="Tahoma" w:hAnsi="Tahoma" w:cs="Tahoma"/>
          <w:sz w:val="22"/>
          <w:szCs w:val="22"/>
        </w:rPr>
        <w:t xml:space="preserve">  41 370,-Kč</w:t>
      </w:r>
      <w:r w:rsidRPr="00AD2B47">
        <w:rPr>
          <w:rFonts w:ascii="Tahoma" w:hAnsi="Tahoma" w:cs="Tahoma"/>
          <w:sz w:val="22"/>
          <w:szCs w:val="22"/>
        </w:rPr>
        <w:t> Kč</w:t>
      </w:r>
    </w:p>
    <w:p w14:paraId="04386295" w14:textId="2C6DC05F"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3001C2">
        <w:rPr>
          <w:rFonts w:ascii="Tahoma" w:hAnsi="Tahoma" w:cs="Tahoma"/>
          <w:b/>
          <w:bCs/>
          <w:sz w:val="22"/>
          <w:szCs w:val="22"/>
        </w:rPr>
        <w:t>238 370,-</w:t>
      </w:r>
      <w:r w:rsidRPr="00AD2B47">
        <w:rPr>
          <w:rFonts w:ascii="Tahoma" w:hAnsi="Tahoma" w:cs="Tahoma"/>
          <w:b/>
          <w:bCs/>
          <w:sz w:val="22"/>
          <w:szCs w:val="22"/>
        </w:rPr>
        <w:t> Kč</w:t>
      </w:r>
    </w:p>
    <w:p w14:paraId="2A4ED23E" w14:textId="77777777" w:rsidR="000311A7" w:rsidRPr="00965928" w:rsidRDefault="00041C5B"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965928">
        <w:rPr>
          <w:rFonts w:ascii="Tahoma" w:hAnsi="Tahoma" w:cs="Tahoma"/>
          <w:sz w:val="22"/>
          <w:szCs w:val="22"/>
        </w:rPr>
        <w:t>V </w:t>
      </w:r>
      <w:r w:rsidR="009F4E69" w:rsidRPr="00965928">
        <w:rPr>
          <w:rFonts w:ascii="Tahoma" w:hAnsi="Tahoma" w:cs="Tahoma"/>
          <w:sz w:val="22"/>
          <w:szCs w:val="22"/>
        </w:rPr>
        <w:t>odměně</w:t>
      </w:r>
      <w:r w:rsidRPr="00965928">
        <w:rPr>
          <w:rFonts w:ascii="Tahoma" w:hAnsi="Tahoma" w:cs="Tahoma"/>
          <w:sz w:val="22"/>
          <w:szCs w:val="22"/>
        </w:rPr>
        <w:t xml:space="preserve"> jsou zahrnuty veškeré náklady </w:t>
      </w:r>
      <w:r w:rsidR="00E512D7" w:rsidRPr="00965928">
        <w:rPr>
          <w:rFonts w:ascii="Tahoma" w:hAnsi="Tahoma" w:cs="Tahoma"/>
          <w:sz w:val="22"/>
          <w:szCs w:val="22"/>
        </w:rPr>
        <w:t>příkazník</w:t>
      </w:r>
      <w:r w:rsidR="00D369AA" w:rsidRPr="00965928">
        <w:rPr>
          <w:rFonts w:ascii="Tahoma" w:hAnsi="Tahoma" w:cs="Tahoma"/>
          <w:sz w:val="22"/>
          <w:szCs w:val="22"/>
        </w:rPr>
        <w:t>a</w:t>
      </w:r>
      <w:r w:rsidRPr="00965928">
        <w:rPr>
          <w:rFonts w:ascii="Tahoma" w:hAnsi="Tahoma" w:cs="Tahoma"/>
          <w:sz w:val="22"/>
          <w:szCs w:val="22"/>
        </w:rPr>
        <w:t xml:space="preserve"> nutně nebo účelně vynaložené při</w:t>
      </w:r>
      <w:r w:rsidR="005C7B87" w:rsidRPr="00965928">
        <w:rPr>
          <w:rFonts w:ascii="Tahoma" w:hAnsi="Tahoma" w:cs="Tahoma"/>
          <w:sz w:val="22"/>
          <w:szCs w:val="22"/>
        </w:rPr>
        <w:t> </w:t>
      </w:r>
      <w:r w:rsidRPr="00965928">
        <w:rPr>
          <w:rFonts w:ascii="Tahoma" w:hAnsi="Tahoma" w:cs="Tahoma"/>
          <w:sz w:val="22"/>
          <w:szCs w:val="22"/>
        </w:rPr>
        <w:t>plnění jeho závazk</w:t>
      </w:r>
      <w:r w:rsidR="005C7B87" w:rsidRPr="00965928">
        <w:rPr>
          <w:rFonts w:ascii="Tahoma" w:hAnsi="Tahoma" w:cs="Tahoma"/>
          <w:sz w:val="22"/>
          <w:szCs w:val="22"/>
        </w:rPr>
        <w:t>ů</w:t>
      </w:r>
      <w:r w:rsidRPr="00965928">
        <w:rPr>
          <w:rFonts w:ascii="Tahoma" w:hAnsi="Tahoma" w:cs="Tahoma"/>
          <w:sz w:val="22"/>
          <w:szCs w:val="22"/>
        </w:rPr>
        <w:t xml:space="preserve"> z této smlouvy</w:t>
      </w:r>
      <w:r w:rsidR="00737D04" w:rsidRPr="00965928">
        <w:rPr>
          <w:rFonts w:ascii="Tahoma" w:hAnsi="Tahoma" w:cs="Tahoma"/>
          <w:sz w:val="22"/>
          <w:szCs w:val="22"/>
        </w:rPr>
        <w:t>, včetně správních poplatků</w:t>
      </w:r>
      <w:r w:rsidR="00691A4A" w:rsidRPr="00965928">
        <w:rPr>
          <w:rFonts w:ascii="Tahoma" w:hAnsi="Tahoma" w:cs="Tahoma"/>
          <w:sz w:val="22"/>
          <w:szCs w:val="22"/>
        </w:rPr>
        <w:t>.</w:t>
      </w:r>
      <w:r w:rsidR="00737D04" w:rsidRPr="00965928">
        <w:rPr>
          <w:rFonts w:ascii="Tahoma" w:hAnsi="Tahoma" w:cs="Tahoma"/>
          <w:sz w:val="22"/>
          <w:szCs w:val="22"/>
        </w:rPr>
        <w:t xml:space="preserve"> /</w:t>
      </w:r>
      <w:r w:rsidR="00691A4A" w:rsidRPr="00965928">
        <w:rPr>
          <w:rFonts w:ascii="Tahoma" w:hAnsi="Tahoma" w:cs="Tahoma"/>
          <w:sz w:val="22"/>
          <w:szCs w:val="22"/>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0D44B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1C5B80C7" w:rsidR="0070425B" w:rsidRPr="00965928" w:rsidRDefault="0070425B" w:rsidP="00965928">
      <w:pPr>
        <w:numPr>
          <w:ilvl w:val="0"/>
          <w:numId w:val="2"/>
        </w:numPr>
        <w:tabs>
          <w:tab w:val="clear" w:pos="360"/>
          <w:tab w:val="num" w:pos="714"/>
        </w:tabs>
        <w:spacing w:before="60"/>
        <w:ind w:left="714" w:hanging="357"/>
        <w:rPr>
          <w:rFonts w:ascii="Tahoma" w:hAnsi="Tahoma" w:cs="Tahoma"/>
          <w:i/>
          <w:sz w:val="22"/>
          <w:szCs w:val="22"/>
          <w:u w:val="single"/>
        </w:rPr>
      </w:pPr>
      <w:r w:rsidRPr="002820E4">
        <w:rPr>
          <w:rFonts w:ascii="Tahoma" w:hAnsi="Tahoma" w:cs="Tahoma"/>
          <w:sz w:val="22"/>
          <w:szCs w:val="22"/>
        </w:rPr>
        <w:t xml:space="preserve">předmět smlouvy, tj. text </w:t>
      </w:r>
      <w:r w:rsidRPr="00433B83">
        <w:rPr>
          <w:rFonts w:ascii="Tahoma" w:hAnsi="Tahoma" w:cs="Tahoma"/>
          <w:b/>
          <w:sz w:val="22"/>
          <w:szCs w:val="22"/>
        </w:rPr>
        <w:t xml:space="preserve">výkon </w:t>
      </w:r>
      <w:r w:rsidR="001F1329" w:rsidRPr="00433B83">
        <w:rPr>
          <w:rFonts w:ascii="Tahoma" w:hAnsi="Tahoma" w:cs="Tahoma"/>
          <w:b/>
          <w:sz w:val="22"/>
          <w:szCs w:val="22"/>
        </w:rPr>
        <w:t>TDS a koordinátora BOZP</w:t>
      </w:r>
      <w:r w:rsidRPr="00433B83">
        <w:rPr>
          <w:rFonts w:ascii="Tahoma" w:hAnsi="Tahoma" w:cs="Tahoma"/>
          <w:b/>
          <w:sz w:val="22"/>
          <w:szCs w:val="22"/>
        </w:rPr>
        <w:t xml:space="preserve"> pro stavbu </w:t>
      </w:r>
      <w:r w:rsidR="00965928" w:rsidRPr="00433B83">
        <w:rPr>
          <w:rFonts w:ascii="Tahoma" w:hAnsi="Tahoma" w:cs="Tahoma"/>
          <w:b/>
          <w:bCs/>
          <w:i/>
          <w:sz w:val="22"/>
          <w:szCs w:val="22"/>
        </w:rPr>
        <w:t>„</w:t>
      </w:r>
      <w:r w:rsidR="009F6384">
        <w:rPr>
          <w:rFonts w:ascii="Tahoma" w:hAnsi="Tahoma" w:cs="Tahoma"/>
          <w:b/>
          <w:bCs/>
          <w:i/>
          <w:sz w:val="22"/>
          <w:szCs w:val="22"/>
        </w:rPr>
        <w:t>Stavební úpravy altánu</w:t>
      </w:r>
      <w:r w:rsidR="00965928" w:rsidRPr="00433B83">
        <w:rPr>
          <w:rFonts w:ascii="Tahoma" w:hAnsi="Tahoma" w:cs="Tahoma"/>
          <w:b/>
          <w:i/>
          <w:sz w:val="22"/>
          <w:szCs w:val="22"/>
        </w:rPr>
        <w:t>“</w:t>
      </w:r>
      <w:r w:rsidRPr="00433B83">
        <w:rPr>
          <w:rFonts w:ascii="Tahoma" w:hAnsi="Tahoma" w:cs="Tahoma"/>
          <w:b/>
          <w:sz w:val="22"/>
          <w:szCs w:val="22"/>
        </w:rPr>
        <w:t>,</w:t>
      </w:r>
    </w:p>
    <w:p w14:paraId="0397DD97"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D44B7">
      <w:pPr>
        <w:numPr>
          <w:ilvl w:val="0"/>
          <w:numId w:val="2"/>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0D44B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42AAC532" w:rsidR="00D26615" w:rsidRDefault="00D26615" w:rsidP="00965928">
      <w:pPr>
        <w:pStyle w:val="Smlouva-slo"/>
        <w:widowControl w:val="0"/>
        <w:numPr>
          <w:ilvl w:val="0"/>
          <w:numId w:val="7"/>
        </w:numPr>
        <w:spacing w:line="240" w:lineRule="auto"/>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w:t>
      </w:r>
      <w:proofErr w:type="gramStart"/>
      <w:r w:rsidR="005D0360" w:rsidRPr="005D0360">
        <w:rPr>
          <w:rFonts w:ascii="Tahoma" w:hAnsi="Tahoma" w:cs="Tahoma"/>
          <w:sz w:val="22"/>
          <w:szCs w:val="22"/>
        </w:rPr>
        <w:t>této</w:t>
      </w:r>
      <w:proofErr w:type="gramEnd"/>
      <w:r w:rsidR="005D0360" w:rsidRPr="005D0360">
        <w:rPr>
          <w:rFonts w:ascii="Tahoma" w:hAnsi="Tahoma" w:cs="Tahoma"/>
          <w:sz w:val="22"/>
          <w:szCs w:val="22"/>
        </w:rPr>
        <w:t xml:space="preserve"> smlouvy</w:t>
      </w:r>
      <w:r w:rsidR="005D0360">
        <w:rPr>
          <w:rFonts w:ascii="Tahoma" w:hAnsi="Tahoma" w:cs="Tahoma"/>
          <w:sz w:val="22"/>
          <w:szCs w:val="22"/>
        </w:rPr>
        <w:t>.</w:t>
      </w:r>
    </w:p>
    <w:p w14:paraId="190F7625" w14:textId="77777777" w:rsidR="00041C5B"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0D44B7">
      <w:pPr>
        <w:pStyle w:val="Smlouva-slo"/>
        <w:widowControl w:val="0"/>
        <w:numPr>
          <w:ilvl w:val="0"/>
          <w:numId w:val="7"/>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0D44B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0D44B7">
      <w:pPr>
        <w:numPr>
          <w:ilvl w:val="1"/>
          <w:numId w:val="17"/>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0D1E06CE" w:rsidR="006A2CDB" w:rsidRPr="00F91275" w:rsidRDefault="00C30808" w:rsidP="000D44B7">
      <w:pPr>
        <w:numPr>
          <w:ilvl w:val="1"/>
          <w:numId w:val="17"/>
        </w:numPr>
        <w:tabs>
          <w:tab w:val="clear" w:pos="1545"/>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965928">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008DE109" w14:textId="0A9ACED7" w:rsidR="00965928" w:rsidRPr="00965928" w:rsidRDefault="00E512D7" w:rsidP="00965928">
      <w:pPr>
        <w:pStyle w:val="Smlouva-slo"/>
        <w:numPr>
          <w:ilvl w:val="6"/>
          <w:numId w:val="7"/>
        </w:numPr>
        <w:ind w:left="357" w:hanging="357"/>
        <w:rPr>
          <w:rFonts w:ascii="Tahoma" w:hAnsi="Tahoma" w:cs="Tahoma"/>
          <w:i/>
          <w:sz w:val="22"/>
          <w:szCs w:val="22"/>
          <w:u w:val="single"/>
        </w:rPr>
      </w:pPr>
      <w:r w:rsidRPr="00965928">
        <w:rPr>
          <w:rFonts w:ascii="Tahoma" w:hAnsi="Tahoma" w:cs="Tahoma"/>
          <w:sz w:val="22"/>
          <w:szCs w:val="22"/>
        </w:rPr>
        <w:t>Příkazce</w:t>
      </w:r>
      <w:r w:rsidR="00041C5B" w:rsidRPr="00965928">
        <w:rPr>
          <w:rFonts w:ascii="Tahoma" w:hAnsi="Tahoma" w:cs="Tahoma"/>
          <w:sz w:val="22"/>
          <w:szCs w:val="22"/>
        </w:rPr>
        <w:t xml:space="preserve"> se zavazuje předat </w:t>
      </w:r>
      <w:r w:rsidRPr="00965928">
        <w:rPr>
          <w:rFonts w:ascii="Tahoma" w:hAnsi="Tahoma" w:cs="Tahoma"/>
          <w:sz w:val="22"/>
          <w:szCs w:val="22"/>
        </w:rPr>
        <w:t>příkazník</w:t>
      </w:r>
      <w:r w:rsidR="00C30808" w:rsidRPr="00965928">
        <w:rPr>
          <w:rFonts w:ascii="Tahoma" w:hAnsi="Tahoma" w:cs="Tahoma"/>
          <w:sz w:val="22"/>
          <w:szCs w:val="22"/>
        </w:rPr>
        <w:t>ovi</w:t>
      </w:r>
      <w:r w:rsidR="00041C5B" w:rsidRPr="00965928">
        <w:rPr>
          <w:rFonts w:ascii="Tahoma" w:hAnsi="Tahoma" w:cs="Tahoma"/>
          <w:sz w:val="22"/>
          <w:szCs w:val="22"/>
        </w:rPr>
        <w:t xml:space="preserve"> bez zbytečného odkladu </w:t>
      </w:r>
      <w:r w:rsidR="00C22A23" w:rsidRPr="00965928">
        <w:rPr>
          <w:rFonts w:ascii="Tahoma" w:hAnsi="Tahoma" w:cs="Tahoma"/>
          <w:sz w:val="22"/>
          <w:szCs w:val="22"/>
        </w:rPr>
        <w:t xml:space="preserve">kopii </w:t>
      </w:r>
      <w:r w:rsidR="00267891" w:rsidRPr="00965928">
        <w:rPr>
          <w:rFonts w:ascii="Tahoma" w:hAnsi="Tahoma" w:cs="Tahoma"/>
          <w:sz w:val="22"/>
          <w:szCs w:val="22"/>
        </w:rPr>
        <w:t>týkající se realizace stavby.</w:t>
      </w:r>
    </w:p>
    <w:p w14:paraId="23907DF9" w14:textId="77777777" w:rsidR="00041C5B" w:rsidRPr="002820E4" w:rsidRDefault="00E512D7" w:rsidP="000D44B7">
      <w:pPr>
        <w:pStyle w:val="Smlouva-slo"/>
        <w:numPr>
          <w:ilvl w:val="6"/>
          <w:numId w:val="7"/>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7CD5DAE5" w:rsidR="00041C5B" w:rsidRPr="002820E4" w:rsidRDefault="00330CE8" w:rsidP="000D44B7">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 xml:space="preserve">dle čl. III odst. 2 </w:t>
      </w:r>
      <w:proofErr w:type="spellStart"/>
      <w:r>
        <w:rPr>
          <w:rFonts w:ascii="Tahoma" w:hAnsi="Tahoma" w:cs="Tahoma"/>
          <w:sz w:val="22"/>
          <w:szCs w:val="22"/>
        </w:rPr>
        <w:t>písm</w:t>
      </w:r>
      <w:proofErr w:type="spellEnd"/>
      <w:r w:rsidR="00965928">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0D44B7">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0D44B7">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0D44B7">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0D44B7">
      <w:pPr>
        <w:pStyle w:val="Smlouva3"/>
        <w:numPr>
          <w:ilvl w:val="6"/>
          <w:numId w:val="5"/>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965928" w:rsidRDefault="00BB2F2A" w:rsidP="000D44B7">
      <w:pPr>
        <w:pStyle w:val="Smlouva3"/>
        <w:numPr>
          <w:ilvl w:val="6"/>
          <w:numId w:val="5"/>
        </w:numPr>
        <w:tabs>
          <w:tab w:val="clear" w:pos="5040"/>
        </w:tabs>
        <w:ind w:left="357" w:hanging="357"/>
        <w:rPr>
          <w:sz w:val="22"/>
          <w:szCs w:val="22"/>
        </w:rPr>
      </w:pPr>
      <w:r w:rsidRPr="00965928">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965928">
        <w:rPr>
          <w:rFonts w:ascii="Tahoma" w:hAnsi="Tahoma" w:cs="Tahoma"/>
          <w:sz w:val="22"/>
          <w:szCs w:val="22"/>
        </w:rPr>
        <w:t> </w:t>
      </w:r>
      <w:r w:rsidRPr="00965928">
        <w:rPr>
          <w:rFonts w:ascii="Tahoma" w:hAnsi="Tahoma" w:cs="Tahoma"/>
          <w:sz w:val="22"/>
          <w:szCs w:val="22"/>
        </w:rPr>
        <w:t>309/2006</w:t>
      </w:r>
      <w:r w:rsidR="00D168B1" w:rsidRPr="00965928">
        <w:rPr>
          <w:rFonts w:ascii="Tahoma" w:hAnsi="Tahoma" w:cs="Tahoma"/>
          <w:sz w:val="22"/>
          <w:szCs w:val="22"/>
        </w:rPr>
        <w:t> </w:t>
      </w:r>
      <w:r w:rsidRPr="00965928">
        <w:rPr>
          <w:rFonts w:ascii="Tahoma" w:hAnsi="Tahoma" w:cs="Tahoma"/>
          <w:sz w:val="22"/>
          <w:szCs w:val="22"/>
        </w:rPr>
        <w:t>Sb. pouze prostřednictvím osoby, která splňuje stanovené předpoklady odborné způsobilosti dle zákona č. 309/2006 Sb.</w:t>
      </w:r>
      <w:r w:rsidR="001F6EAB" w:rsidRPr="00965928">
        <w:rPr>
          <w:rFonts w:ascii="Tahoma" w:hAnsi="Tahoma" w:cs="Tahoma"/>
          <w:sz w:val="22"/>
          <w:szCs w:val="22"/>
        </w:rPr>
        <w:t xml:space="preserve"> Příkazník je povinen před zahájením výkonu funkce </w:t>
      </w:r>
      <w:r w:rsidR="00E31289" w:rsidRPr="00965928">
        <w:rPr>
          <w:rFonts w:ascii="Tahoma" w:hAnsi="Tahoma" w:cs="Tahoma"/>
          <w:sz w:val="22"/>
          <w:szCs w:val="22"/>
        </w:rPr>
        <w:t>koordinátora BOZP</w:t>
      </w:r>
      <w:r w:rsidR="001F6EAB" w:rsidRPr="00965928">
        <w:rPr>
          <w:rFonts w:ascii="Tahoma" w:hAnsi="Tahoma" w:cs="Tahoma"/>
          <w:sz w:val="22"/>
          <w:szCs w:val="22"/>
        </w:rPr>
        <w:t xml:space="preserve"> předat příkazci osvědčení o </w:t>
      </w:r>
      <w:r w:rsidR="001E169A" w:rsidRPr="00965928">
        <w:rPr>
          <w:rFonts w:ascii="Tahoma" w:hAnsi="Tahoma" w:cs="Tahoma"/>
          <w:sz w:val="22"/>
          <w:szCs w:val="22"/>
        </w:rPr>
        <w:t>odborné způsobilosti</w:t>
      </w:r>
      <w:r w:rsidR="001F6EAB" w:rsidRPr="00965928">
        <w:rPr>
          <w:rFonts w:ascii="Tahoma" w:hAnsi="Tahoma" w:cs="Tahoma"/>
          <w:sz w:val="22"/>
          <w:szCs w:val="22"/>
        </w:rPr>
        <w:t xml:space="preserve"> pro konkrétní fyzickou osobu, která bude funkci </w:t>
      </w:r>
      <w:r w:rsidR="00E31289" w:rsidRPr="00965928">
        <w:rPr>
          <w:rFonts w:ascii="Tahoma" w:hAnsi="Tahoma" w:cs="Tahoma"/>
          <w:sz w:val="22"/>
          <w:szCs w:val="22"/>
        </w:rPr>
        <w:t>koordinátora BOZP</w:t>
      </w:r>
      <w:r w:rsidR="001F6EAB" w:rsidRPr="00965928">
        <w:rPr>
          <w:rFonts w:ascii="Tahoma" w:hAnsi="Tahoma" w:cs="Tahoma"/>
          <w:sz w:val="22"/>
          <w:szCs w:val="22"/>
        </w:rPr>
        <w:t xml:space="preserve"> za příkazníka vykonávat.</w:t>
      </w:r>
    </w:p>
    <w:p w14:paraId="53EEF2AC" w14:textId="4891F550" w:rsidR="00BB2F2A" w:rsidRPr="00965928" w:rsidRDefault="00BB2F2A" w:rsidP="3348CDC7">
      <w:pPr>
        <w:pStyle w:val="Smlouva3"/>
        <w:ind w:left="357"/>
        <w:rPr>
          <w:rFonts w:ascii="Tahoma" w:eastAsia="Tahoma" w:hAnsi="Tahoma" w:cs="Tahoma"/>
          <w:sz w:val="22"/>
          <w:szCs w:val="22"/>
        </w:rPr>
      </w:pPr>
      <w:r w:rsidRPr="00965928">
        <w:rPr>
          <w:rFonts w:ascii="Tahoma" w:hAnsi="Tahoma" w:cs="Tahoma"/>
          <w:sz w:val="22"/>
          <w:szCs w:val="22"/>
        </w:rPr>
        <w:t>Je</w:t>
      </w:r>
      <w:r w:rsidR="00761A42" w:rsidRPr="00965928">
        <w:rPr>
          <w:rFonts w:ascii="Tahoma" w:hAnsi="Tahoma" w:cs="Tahoma"/>
          <w:sz w:val="22"/>
          <w:szCs w:val="22"/>
        </w:rPr>
        <w:noBreakHyphen/>
      </w:r>
      <w:r w:rsidRPr="00965928">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965928">
        <w:rPr>
          <w:rFonts w:ascii="Tahoma" w:hAnsi="Tahoma" w:cs="Tahoma"/>
          <w:sz w:val="22"/>
          <w:szCs w:val="22"/>
        </w:rPr>
        <w:t>písemně informov</w:t>
      </w:r>
      <w:r w:rsidR="00922D48" w:rsidRPr="00965928">
        <w:rPr>
          <w:rFonts w:ascii="Tahoma" w:hAnsi="Tahoma" w:cs="Tahoma"/>
          <w:sz w:val="22"/>
          <w:szCs w:val="22"/>
        </w:rPr>
        <w:t>at příkazce, která</w:t>
      </w:r>
      <w:r w:rsidRPr="00965928">
        <w:rPr>
          <w:rFonts w:ascii="Tahoma" w:hAnsi="Tahoma" w:cs="Tahoma"/>
          <w:sz w:val="22"/>
          <w:szCs w:val="22"/>
        </w:rPr>
        <w:t xml:space="preserve"> konkrétní fyzick</w:t>
      </w:r>
      <w:r w:rsidR="00922D48" w:rsidRPr="00965928">
        <w:rPr>
          <w:rFonts w:ascii="Tahoma" w:hAnsi="Tahoma" w:cs="Tahoma"/>
          <w:sz w:val="22"/>
          <w:szCs w:val="22"/>
        </w:rPr>
        <w:t>á</w:t>
      </w:r>
      <w:r w:rsidRPr="00965928">
        <w:rPr>
          <w:rFonts w:ascii="Tahoma" w:hAnsi="Tahoma" w:cs="Tahoma"/>
          <w:sz w:val="22"/>
          <w:szCs w:val="22"/>
        </w:rPr>
        <w:t xml:space="preserve"> osob</w:t>
      </w:r>
      <w:r w:rsidR="00922D48" w:rsidRPr="00965928">
        <w:rPr>
          <w:rFonts w:ascii="Tahoma" w:hAnsi="Tahoma" w:cs="Tahoma"/>
          <w:sz w:val="22"/>
          <w:szCs w:val="22"/>
        </w:rPr>
        <w:t>a</w:t>
      </w:r>
      <w:r w:rsidRPr="00965928">
        <w:rPr>
          <w:rFonts w:ascii="Tahoma" w:hAnsi="Tahoma" w:cs="Tahoma"/>
          <w:sz w:val="22"/>
          <w:szCs w:val="22"/>
        </w:rPr>
        <w:t xml:space="preserve"> bude </w:t>
      </w:r>
      <w:r w:rsidR="00D75BB8" w:rsidRPr="00965928">
        <w:rPr>
          <w:rFonts w:ascii="Tahoma" w:hAnsi="Tahoma" w:cs="Tahoma"/>
          <w:sz w:val="22"/>
          <w:szCs w:val="22"/>
        </w:rPr>
        <w:t xml:space="preserve">pověřena výkonem </w:t>
      </w:r>
      <w:r w:rsidRPr="00965928">
        <w:rPr>
          <w:rFonts w:ascii="Tahoma" w:hAnsi="Tahoma" w:cs="Tahoma"/>
          <w:sz w:val="22"/>
          <w:szCs w:val="22"/>
        </w:rPr>
        <w:t>funkc</w:t>
      </w:r>
      <w:r w:rsidR="00D75BB8" w:rsidRPr="00965928">
        <w:rPr>
          <w:rFonts w:ascii="Tahoma" w:hAnsi="Tahoma" w:cs="Tahoma"/>
          <w:sz w:val="22"/>
          <w:szCs w:val="22"/>
        </w:rPr>
        <w:t>e</w:t>
      </w:r>
      <w:r w:rsidRPr="00965928">
        <w:rPr>
          <w:rFonts w:ascii="Tahoma" w:hAnsi="Tahoma" w:cs="Tahoma"/>
          <w:sz w:val="22"/>
          <w:szCs w:val="22"/>
        </w:rPr>
        <w:t xml:space="preserve"> koordinátora BOZP</w:t>
      </w:r>
      <w:r w:rsidR="00622C3A" w:rsidRPr="00965928">
        <w:rPr>
          <w:rFonts w:ascii="Tahoma" w:hAnsi="Tahoma" w:cs="Tahoma"/>
          <w:sz w:val="22"/>
          <w:szCs w:val="22"/>
        </w:rPr>
        <w:t xml:space="preserve"> a předat příkazci osvědčení o</w:t>
      </w:r>
      <w:r w:rsidRPr="00965928">
        <w:rPr>
          <w:rFonts w:ascii="Tahoma" w:hAnsi="Tahoma" w:cs="Tahoma"/>
          <w:sz w:val="22"/>
          <w:szCs w:val="22"/>
        </w:rPr>
        <w:t xml:space="preserve"> odborné způsobilosti dle zákona č. 309/2006 Sb</w:t>
      </w:r>
      <w:r w:rsidR="008E7EA8" w:rsidRPr="00965928">
        <w:rPr>
          <w:rFonts w:ascii="Tahoma" w:hAnsi="Tahoma" w:cs="Tahoma"/>
          <w:sz w:val="22"/>
          <w:szCs w:val="22"/>
        </w:rPr>
        <w:t>.</w:t>
      </w:r>
      <w:r w:rsidR="00FF72A5" w:rsidRPr="00965928">
        <w:rPr>
          <w:rFonts w:ascii="Tahoma" w:hAnsi="Tahoma" w:cs="Tahoma"/>
          <w:sz w:val="22"/>
          <w:szCs w:val="22"/>
        </w:rPr>
        <w:t xml:space="preserve"> pro tuto osobu</w:t>
      </w:r>
      <w:r w:rsidRPr="00965928">
        <w:rPr>
          <w:rFonts w:ascii="Tahoma" w:hAnsi="Tahoma" w:cs="Tahoma"/>
          <w:sz w:val="22"/>
          <w:szCs w:val="22"/>
        </w:rPr>
        <w:t>. Dojde</w:t>
      </w:r>
      <w:r w:rsidR="00493D6D" w:rsidRPr="00965928">
        <w:rPr>
          <w:rFonts w:ascii="Tahoma" w:hAnsi="Tahoma" w:cs="Tahoma"/>
          <w:sz w:val="22"/>
          <w:szCs w:val="22"/>
        </w:rPr>
        <w:noBreakHyphen/>
      </w:r>
      <w:r w:rsidRPr="00965928">
        <w:rPr>
          <w:rFonts w:ascii="Tahoma" w:hAnsi="Tahoma" w:cs="Tahoma"/>
          <w:sz w:val="22"/>
          <w:szCs w:val="22"/>
        </w:rPr>
        <w:t xml:space="preserve">li v průběhu výkonu inženýrské činnosti ke změně fyzické osoby </w:t>
      </w:r>
      <w:r w:rsidR="003952B5" w:rsidRPr="00965928">
        <w:rPr>
          <w:rFonts w:ascii="Tahoma" w:hAnsi="Tahoma" w:cs="Tahoma"/>
          <w:sz w:val="22"/>
          <w:szCs w:val="22"/>
        </w:rPr>
        <w:t xml:space="preserve">pověřené </w:t>
      </w:r>
      <w:r w:rsidRPr="00965928">
        <w:rPr>
          <w:rFonts w:ascii="Tahoma" w:hAnsi="Tahoma" w:cs="Tahoma"/>
          <w:sz w:val="22"/>
          <w:szCs w:val="22"/>
        </w:rPr>
        <w:t>v</w:t>
      </w:r>
      <w:r w:rsidR="008B4A26" w:rsidRPr="00965928">
        <w:rPr>
          <w:rFonts w:ascii="Tahoma" w:hAnsi="Tahoma" w:cs="Tahoma"/>
          <w:sz w:val="22"/>
          <w:szCs w:val="22"/>
        </w:rPr>
        <w:t>ý</w:t>
      </w:r>
      <w:r w:rsidRPr="00965928">
        <w:rPr>
          <w:rFonts w:ascii="Tahoma" w:hAnsi="Tahoma" w:cs="Tahoma"/>
          <w:sz w:val="22"/>
          <w:szCs w:val="22"/>
        </w:rPr>
        <w:t>kon</w:t>
      </w:r>
      <w:r w:rsidR="003952B5" w:rsidRPr="00965928">
        <w:rPr>
          <w:rFonts w:ascii="Tahoma" w:hAnsi="Tahoma" w:cs="Tahoma"/>
          <w:sz w:val="22"/>
          <w:szCs w:val="22"/>
        </w:rPr>
        <w:t>em</w:t>
      </w:r>
      <w:r w:rsidRPr="00965928">
        <w:rPr>
          <w:rFonts w:ascii="Tahoma" w:hAnsi="Tahoma" w:cs="Tahoma"/>
          <w:sz w:val="22"/>
          <w:szCs w:val="22"/>
        </w:rPr>
        <w:t xml:space="preserve"> funkc</w:t>
      </w:r>
      <w:r w:rsidR="008B4A26" w:rsidRPr="00965928">
        <w:rPr>
          <w:rFonts w:ascii="Tahoma" w:hAnsi="Tahoma" w:cs="Tahoma"/>
          <w:sz w:val="22"/>
          <w:szCs w:val="22"/>
        </w:rPr>
        <w:t>e</w:t>
      </w:r>
      <w:r w:rsidRPr="00965928">
        <w:rPr>
          <w:rFonts w:ascii="Tahoma" w:hAnsi="Tahoma" w:cs="Tahoma"/>
          <w:sz w:val="22"/>
          <w:szCs w:val="22"/>
        </w:rPr>
        <w:t xml:space="preserve"> koordinátora BOZP, je příkazník povinen tuto změnu příkazci předem oznámit a předat mu </w:t>
      </w:r>
      <w:r w:rsidR="000C6973" w:rsidRPr="00965928">
        <w:rPr>
          <w:rFonts w:ascii="Tahoma" w:hAnsi="Tahoma" w:cs="Tahoma"/>
          <w:sz w:val="22"/>
          <w:szCs w:val="22"/>
        </w:rPr>
        <w:t>osvědčení o odborné způsobilosti</w:t>
      </w:r>
      <w:r w:rsidRPr="00965928">
        <w:rPr>
          <w:rFonts w:ascii="Tahoma" w:hAnsi="Tahoma" w:cs="Tahoma"/>
          <w:sz w:val="22"/>
          <w:szCs w:val="22"/>
        </w:rPr>
        <w:t xml:space="preserve"> pro novou fyzickou osobu</w:t>
      </w:r>
      <w:r w:rsidR="005722C3" w:rsidRPr="00965928">
        <w:rPr>
          <w:rFonts w:ascii="Tahoma" w:hAnsi="Tahoma" w:cs="Tahoma"/>
          <w:sz w:val="22"/>
          <w:szCs w:val="22"/>
        </w:rPr>
        <w:t>, která bude pověřena výkonem</w:t>
      </w:r>
      <w:r w:rsidRPr="00965928">
        <w:rPr>
          <w:rFonts w:ascii="Tahoma" w:hAnsi="Tahoma" w:cs="Tahoma"/>
          <w:sz w:val="22"/>
          <w:szCs w:val="22"/>
        </w:rPr>
        <w:t xml:space="preserve"> funkc</w:t>
      </w:r>
      <w:r w:rsidR="005722C3" w:rsidRPr="00965928">
        <w:rPr>
          <w:rFonts w:ascii="Tahoma" w:hAnsi="Tahoma" w:cs="Tahoma"/>
          <w:sz w:val="22"/>
          <w:szCs w:val="22"/>
        </w:rPr>
        <w:t>e</w:t>
      </w:r>
      <w:r w:rsidRPr="00965928">
        <w:rPr>
          <w:rFonts w:ascii="Tahoma" w:hAnsi="Tahoma" w:cs="Tahoma"/>
          <w:sz w:val="22"/>
          <w:szCs w:val="22"/>
        </w:rPr>
        <w:t xml:space="preserve"> koordinátora BOZP. Nebude</w:t>
      </w:r>
      <w:r w:rsidR="00761A42" w:rsidRPr="00965928">
        <w:rPr>
          <w:rFonts w:ascii="Tahoma" w:hAnsi="Tahoma" w:cs="Tahoma"/>
          <w:sz w:val="22"/>
          <w:szCs w:val="22"/>
        </w:rPr>
        <w:t>-</w:t>
      </w:r>
      <w:r w:rsidRPr="00965928">
        <w:rPr>
          <w:rFonts w:ascii="Tahoma" w:hAnsi="Tahoma" w:cs="Tahoma"/>
          <w:sz w:val="22"/>
          <w:szCs w:val="22"/>
        </w:rPr>
        <w:t>li pověřená fyzická osoba vykonávat funkci koordinátora BOZP řádně, či nebude</w:t>
      </w:r>
      <w:r w:rsidR="00761A42" w:rsidRPr="00965928">
        <w:rPr>
          <w:rFonts w:ascii="Tahoma" w:hAnsi="Tahoma" w:cs="Tahoma"/>
          <w:sz w:val="22"/>
          <w:szCs w:val="22"/>
        </w:rPr>
        <w:t>-</w:t>
      </w:r>
      <w:r w:rsidRPr="00965928">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965928">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min</w:t>
      </w:r>
      <w:r w:rsidR="000231C8" w:rsidRPr="00061E4C">
        <w:rPr>
          <w:rFonts w:ascii="Tahoma" w:hAnsi="Tahoma" w:cs="Tahoma"/>
          <w:sz w:val="22"/>
          <w:szCs w:val="22"/>
        </w:rPr>
        <w:t xml:space="preserve">. </w:t>
      </w:r>
      <w:r w:rsidR="00AE2267" w:rsidRPr="00061E4C">
        <w:rPr>
          <w:rFonts w:ascii="Tahoma" w:hAnsi="Tahoma" w:cs="Tahoma"/>
          <w:sz w:val="22"/>
          <w:szCs w:val="22"/>
        </w:rPr>
        <w:t>1 mil. Kč, s maximální spoluúčastí 10 tis.</w:t>
      </w:r>
      <w:r w:rsidR="002A74FF" w:rsidRPr="00061E4C">
        <w:rPr>
          <w:rFonts w:ascii="Tahoma" w:hAnsi="Tahoma" w:cs="Tahoma"/>
          <w:sz w:val="22"/>
          <w:szCs w:val="22"/>
        </w:rPr>
        <w:t> </w:t>
      </w:r>
      <w:r w:rsidR="00AE2267" w:rsidRPr="00061E4C">
        <w:rPr>
          <w:rFonts w:ascii="Tahoma" w:hAnsi="Tahoma" w:cs="Tahoma"/>
          <w:sz w:val="22"/>
          <w:szCs w:val="22"/>
        </w:rPr>
        <w:t>Kč</w:t>
      </w:r>
      <w:r w:rsidR="001F1B80" w:rsidRPr="00061E4C">
        <w:rPr>
          <w:rFonts w:ascii="Tahoma" w:hAnsi="Tahoma" w:cs="Tahoma"/>
          <w:sz w:val="22"/>
          <w:szCs w:val="22"/>
        </w:rPr>
        <w:t xml:space="preserve"> (nebo s maximální spoluúčastí 1 % v př</w:t>
      </w:r>
      <w:r w:rsidR="001F1B80" w:rsidRPr="0DC3AD64">
        <w:rPr>
          <w:rFonts w:ascii="Tahoma" w:hAnsi="Tahoma" w:cs="Tahoma"/>
          <w:sz w:val="22"/>
          <w:szCs w:val="22"/>
        </w:rPr>
        <w:t>ípadě, že je spoluúčast uvedena v %)</w:t>
      </w:r>
      <w:r w:rsidR="00267891" w:rsidRPr="0DC3AD64">
        <w:rPr>
          <w:rFonts w:ascii="Tahoma" w:hAnsi="Tahoma" w:cs="Tahoma"/>
          <w:sz w:val="22"/>
          <w:szCs w:val="22"/>
        </w:rPr>
        <w:t>.</w:t>
      </w:r>
    </w:p>
    <w:p w14:paraId="12046D34" w14:textId="4FF68E2D" w:rsidR="001F4656" w:rsidRPr="006555A8" w:rsidRDefault="00D27DB5" w:rsidP="000D44B7">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7402FC82" w:rsidR="00041C5B" w:rsidRDefault="00B93C08"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81976">
        <w:rPr>
          <w:rFonts w:ascii="Tahoma" w:hAnsi="Tahoma" w:cs="Tahoma"/>
          <w:sz w:val="22"/>
          <w:szCs w:val="22"/>
        </w:rPr>
        <w:t>3 000,-Kč</w:t>
      </w:r>
      <w:r w:rsidR="00267891">
        <w:rPr>
          <w:rFonts w:ascii="Tahoma" w:hAnsi="Tahoma" w:cs="Tahoma"/>
          <w:sz w:val="22"/>
          <w:szCs w:val="22"/>
        </w:rPr>
        <w:t xml:space="preserve"> za každý zjištěný případ.</w:t>
      </w:r>
    </w:p>
    <w:p w14:paraId="032EF72B" w14:textId="758F0340" w:rsidR="00041C5B" w:rsidRPr="002820E4" w:rsidRDefault="00267891" w:rsidP="000D44B7">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B81976">
        <w:rPr>
          <w:rFonts w:ascii="Tahoma" w:hAnsi="Tahoma" w:cs="Tahoma"/>
          <w:sz w:val="22"/>
          <w:szCs w:val="22"/>
        </w:rPr>
        <w:t>0,25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0D44B7">
      <w:pPr>
        <w:pStyle w:val="Smlouva-slo"/>
        <w:numPr>
          <w:ilvl w:val="0"/>
          <w:numId w:val="9"/>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7605FB02" w14:textId="45075557" w:rsidR="005222CE" w:rsidRDefault="005222CE" w:rsidP="000D44B7">
      <w:pPr>
        <w:pStyle w:val="paragraph"/>
        <w:numPr>
          <w:ilvl w:val="0"/>
          <w:numId w:val="2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odpovídá za to, že platby poskytované příkazcem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E7B8405" w14:textId="2A421AB5" w:rsidR="005222CE" w:rsidRDefault="005222CE" w:rsidP="000D44B7">
      <w:pPr>
        <w:pStyle w:val="paragraph"/>
        <w:numPr>
          <w:ilvl w:val="0"/>
          <w:numId w:val="2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43849D3E" w14:textId="3147CAF6" w:rsidR="005222CE" w:rsidRDefault="005222CE" w:rsidP="000D44B7">
      <w:pPr>
        <w:pStyle w:val="paragraph"/>
        <w:numPr>
          <w:ilvl w:val="0"/>
          <w:numId w:val="2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Příkazník je povinen příkazce bezodkladně informovat o jakýchkoliv skutečnostech, které mohou mít vliv na odpovědnost příkazníka dle odst. 1 tohoto článku smlouvy. Příkazník je současně povinen kdykoliv poskytnout příkazci bezodkladnou součinnost pro případné ověření pravdivosti těchto informací.</w:t>
      </w:r>
    </w:p>
    <w:p w14:paraId="51911CCD" w14:textId="5F09B1B2" w:rsidR="005222CE" w:rsidRDefault="005222CE" w:rsidP="000D44B7">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příkazce oprávněn odstoupit od této smlouvy; odstoupení se však nedotýká povinností příkazníka vyplývajících ze záruky za jakost, odpovědnosti za vady, povinnosti zaplatit smluvní pokutu, povinnosti nahradit škodu a povinnosti zachovat důvěrnost informací souvisejících s plněním dle této smlouvy.</w:t>
      </w:r>
    </w:p>
    <w:p w14:paraId="470AD70A" w14:textId="10B3DBF3" w:rsidR="005222CE" w:rsidRDefault="005222CE" w:rsidP="000D44B7">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příkazník povinen zaplatit příkazci smluvní pokutu ve </w:t>
      </w:r>
      <w:r w:rsidRPr="005222CE">
        <w:rPr>
          <w:rStyle w:val="normaltextrun"/>
          <w:rFonts w:ascii="Tahoma" w:hAnsi="Tahoma" w:cs="Tahoma"/>
          <w:sz w:val="22"/>
          <w:szCs w:val="22"/>
        </w:rPr>
        <w:t xml:space="preserve">výši 50.000 </w:t>
      </w:r>
      <w:r>
        <w:rPr>
          <w:rStyle w:val="normaltextrun"/>
          <w:rFonts w:ascii="Tahoma" w:hAnsi="Tahoma" w:cs="Tahoma"/>
          <w:sz w:val="22"/>
          <w:szCs w:val="22"/>
        </w:rPr>
        <w:t>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0D44B7">
      <w:pPr>
        <w:pStyle w:val="Smlouva2"/>
        <w:numPr>
          <w:ilvl w:val="3"/>
          <w:numId w:val="9"/>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0D44B7">
      <w:pPr>
        <w:numPr>
          <w:ilvl w:val="0"/>
          <w:numId w:val="18"/>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0D44B7">
      <w:pPr>
        <w:numPr>
          <w:ilvl w:val="0"/>
          <w:numId w:val="18"/>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0D44B7">
      <w:pPr>
        <w:pStyle w:val="Smlouva2"/>
        <w:numPr>
          <w:ilvl w:val="3"/>
          <w:numId w:val="9"/>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0D44B7">
      <w:pPr>
        <w:pStyle w:val="Smlouva-slo"/>
        <w:numPr>
          <w:ilvl w:val="0"/>
          <w:numId w:val="15"/>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704EB03F" w:rsidR="00041C5B" w:rsidRPr="002820E4" w:rsidRDefault="00147C8E" w:rsidP="000D44B7">
      <w:pPr>
        <w:pStyle w:val="OdstavecSmlouvy"/>
        <w:keepLines w:val="0"/>
        <w:numPr>
          <w:ilvl w:val="0"/>
          <w:numId w:val="15"/>
        </w:numPr>
        <w:tabs>
          <w:tab w:val="clear" w:pos="360"/>
          <w:tab w:val="clear" w:pos="426"/>
          <w:tab w:val="clear" w:pos="1701"/>
        </w:tabs>
        <w:spacing w:before="120" w:after="0"/>
        <w:rPr>
          <w:rFonts w:ascii="Tahoma" w:eastAsia="Tahoma" w:hAnsi="Tahoma" w:cs="Tahoma"/>
          <w:sz w:val="22"/>
          <w:szCs w:val="22"/>
        </w:rPr>
      </w:pPr>
      <w:r w:rsidRPr="0DC3AD64">
        <w:rPr>
          <w:rFonts w:ascii="Tahoma" w:hAnsi="Tahoma" w:cs="Tahoma"/>
          <w:sz w:val="22"/>
          <w:szCs w:val="22"/>
        </w:rPr>
        <w:t>Tato s</w:t>
      </w:r>
      <w:r w:rsidR="00041C5B" w:rsidRPr="0DC3AD64">
        <w:rPr>
          <w:rFonts w:ascii="Tahoma" w:hAnsi="Tahoma" w:cs="Tahoma"/>
          <w:sz w:val="22"/>
          <w:szCs w:val="22"/>
        </w:rPr>
        <w:t xml:space="preserve">mlouva je vyhotovena </w:t>
      </w:r>
      <w:r w:rsidR="00041C5B" w:rsidRPr="00B81976">
        <w:rPr>
          <w:rFonts w:ascii="Tahoma" w:hAnsi="Tahoma" w:cs="Tahoma"/>
          <w:sz w:val="22"/>
          <w:szCs w:val="22"/>
        </w:rPr>
        <w:t xml:space="preserve">ve </w:t>
      </w:r>
      <w:r w:rsidR="00F91275" w:rsidRPr="00B81976">
        <w:rPr>
          <w:rFonts w:ascii="Tahoma" w:hAnsi="Tahoma" w:cs="Tahoma"/>
          <w:sz w:val="22"/>
          <w:szCs w:val="22"/>
        </w:rPr>
        <w:t>třech</w:t>
      </w:r>
      <w:r w:rsidR="00041C5B" w:rsidRPr="00B81976">
        <w:rPr>
          <w:rFonts w:ascii="Tahoma" w:hAnsi="Tahoma" w:cs="Tahoma"/>
          <w:sz w:val="22"/>
          <w:szCs w:val="22"/>
        </w:rPr>
        <w:t xml:space="preserve"> stejnopisech s platností originálu, přičemž </w:t>
      </w:r>
      <w:r w:rsidR="00E512D7" w:rsidRPr="00B81976">
        <w:rPr>
          <w:rFonts w:ascii="Tahoma" w:hAnsi="Tahoma" w:cs="Tahoma"/>
          <w:sz w:val="22"/>
          <w:szCs w:val="22"/>
        </w:rPr>
        <w:t>příkazce</w:t>
      </w:r>
      <w:r w:rsidR="00041C5B" w:rsidRPr="00B81976">
        <w:rPr>
          <w:rFonts w:ascii="Tahoma" w:hAnsi="Tahoma" w:cs="Tahoma"/>
          <w:sz w:val="22"/>
          <w:szCs w:val="22"/>
        </w:rPr>
        <w:t xml:space="preserve"> obdrží </w:t>
      </w:r>
      <w:r w:rsidR="00F91275" w:rsidRPr="00B81976">
        <w:rPr>
          <w:rFonts w:ascii="Tahoma" w:hAnsi="Tahoma" w:cs="Tahoma"/>
          <w:sz w:val="22"/>
          <w:szCs w:val="22"/>
        </w:rPr>
        <w:t>dvě</w:t>
      </w:r>
      <w:r w:rsidR="00041C5B" w:rsidRPr="00B81976">
        <w:rPr>
          <w:rFonts w:ascii="Tahoma" w:hAnsi="Tahoma" w:cs="Tahoma"/>
          <w:sz w:val="22"/>
          <w:szCs w:val="22"/>
        </w:rPr>
        <w:t xml:space="preserve"> a </w:t>
      </w:r>
      <w:r w:rsidR="00E512D7" w:rsidRPr="00B81976">
        <w:rPr>
          <w:rFonts w:ascii="Tahoma" w:hAnsi="Tahoma" w:cs="Tahoma"/>
          <w:sz w:val="22"/>
          <w:szCs w:val="22"/>
        </w:rPr>
        <w:t>příkazník</w:t>
      </w:r>
      <w:r w:rsidR="00041C5B" w:rsidRPr="00B81976">
        <w:rPr>
          <w:rFonts w:ascii="Tahoma" w:hAnsi="Tahoma" w:cs="Tahoma"/>
          <w:sz w:val="22"/>
          <w:szCs w:val="22"/>
        </w:rPr>
        <w:t xml:space="preserve"> jedno vyhotovení</w:t>
      </w:r>
      <w:r w:rsidR="00041C5B" w:rsidRPr="0DC3AD64">
        <w:rPr>
          <w:rFonts w:ascii="Tahoma" w:hAnsi="Tahoma" w:cs="Tahoma"/>
          <w:sz w:val="22"/>
          <w:szCs w:val="22"/>
        </w:rPr>
        <w:t>.</w:t>
      </w:r>
    </w:p>
    <w:p w14:paraId="4376D128" w14:textId="77777777" w:rsidR="00EF7883" w:rsidRPr="002820E4" w:rsidRDefault="00EF7883" w:rsidP="000D44B7">
      <w:pPr>
        <w:pStyle w:val="Smlouva-slo"/>
        <w:numPr>
          <w:ilvl w:val="0"/>
          <w:numId w:val="15"/>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7785E1D5" w:rsidR="001234F7" w:rsidRDefault="006F1E12" w:rsidP="000D44B7">
      <w:pPr>
        <w:pStyle w:val="Smlouva-slo"/>
        <w:numPr>
          <w:ilvl w:val="0"/>
          <w:numId w:val="15"/>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w:t>
      </w:r>
      <w:r w:rsidR="00676D26" w:rsidRPr="00B81976">
        <w:rPr>
          <w:rFonts w:ascii="Tahoma" w:hAnsi="Tahoma" w:cs="Tahoma"/>
          <w:sz w:val="22"/>
          <w:szCs w:val="22"/>
        </w:rPr>
        <w:t xml:space="preserve">příkazce </w:t>
      </w:r>
      <w:hyperlink r:id="rId11" w:history="1">
        <w:r w:rsidR="00B81976" w:rsidRPr="00B81976">
          <w:rPr>
            <w:rStyle w:val="Hypertextovodkaz"/>
            <w:rFonts w:ascii="Tahoma" w:hAnsi="Tahoma" w:cs="Tahoma"/>
            <w:sz w:val="22"/>
            <w:szCs w:val="22"/>
          </w:rPr>
          <w:t>www.domov-kyjovice.cz</w:t>
        </w:r>
      </w:hyperlink>
      <w:r w:rsidRPr="3348CDC7">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5762E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6C78398D" w:rsidR="001F0A0B" w:rsidRPr="000E2AA9" w:rsidRDefault="000E2AA9" w:rsidP="000E2AA9">
            <w:pPr>
              <w:spacing w:before="120"/>
              <w:ind w:left="999" w:hanging="992"/>
              <w:jc w:val="both"/>
              <w:rPr>
                <w:rFonts w:ascii="Tahoma" w:hAnsi="Tahoma" w:cs="Tahoma"/>
                <w:color w:val="FF0000"/>
                <w:sz w:val="22"/>
                <w:szCs w:val="22"/>
              </w:rPr>
            </w:pPr>
            <w:r w:rsidRPr="000E2AA9">
              <w:rPr>
                <w:rFonts w:ascii="Tahoma" w:hAnsi="Tahoma" w:cs="Tahoma"/>
                <w:sz w:val="22"/>
                <w:szCs w:val="22"/>
              </w:rPr>
              <w:t>Mgr. Ing. Ivana Martiníková</w:t>
            </w: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36F06940" w:rsidR="00041C5B" w:rsidRPr="003001C2" w:rsidRDefault="003001C2" w:rsidP="003001C2">
            <w:pPr>
              <w:pStyle w:val="Zhlav"/>
              <w:tabs>
                <w:tab w:val="clear" w:pos="4536"/>
                <w:tab w:val="clear" w:pos="9072"/>
                <w:tab w:val="center" w:pos="1985"/>
                <w:tab w:val="center" w:pos="6804"/>
              </w:tabs>
              <w:jc w:val="center"/>
              <w:rPr>
                <w:rFonts w:ascii="Tahoma" w:hAnsi="Tahoma" w:cs="Tahoma"/>
                <w:sz w:val="22"/>
                <w:szCs w:val="22"/>
              </w:rPr>
            </w:pPr>
            <w:r w:rsidRPr="003001C2">
              <w:rPr>
                <w:rFonts w:ascii="Tahoma" w:hAnsi="Tahoma" w:cs="Tahoma"/>
                <w:sz w:val="22"/>
                <w:szCs w:val="22"/>
              </w:rPr>
              <w:t>Pavel Volek</w:t>
            </w:r>
          </w:p>
        </w:tc>
      </w:tr>
    </w:tbl>
    <w:p w14:paraId="47383B0C" w14:textId="5E7C4BED" w:rsidR="002E4102" w:rsidRPr="00244626" w:rsidRDefault="000E2AA9" w:rsidP="00695DF2">
      <w:pPr>
        <w:pStyle w:val="Zhlav"/>
        <w:tabs>
          <w:tab w:val="clear" w:pos="4536"/>
          <w:tab w:val="clear" w:pos="9072"/>
          <w:tab w:val="center" w:pos="1985"/>
          <w:tab w:val="center" w:pos="6804"/>
        </w:tabs>
        <w:rPr>
          <w:rFonts w:ascii="Tahoma" w:hAnsi="Tahoma" w:cs="Tahoma"/>
          <w:sz w:val="22"/>
          <w:szCs w:val="22"/>
        </w:rPr>
      </w:pPr>
      <w:r>
        <w:rPr>
          <w:rFonts w:ascii="Tahoma" w:hAnsi="Tahoma" w:cs="Tahoma"/>
          <w:sz w:val="22"/>
          <w:szCs w:val="22"/>
        </w:rPr>
        <w:t>Statutární orgán příspěvkové organizace</w:t>
      </w:r>
    </w:p>
    <w:sectPr w:rsidR="002E4102" w:rsidRPr="00244626" w:rsidSect="009F6384">
      <w:footerReference w:type="even" r:id="rId12"/>
      <w:footerReference w:type="default" r:id="rId13"/>
      <w:footerReference w:type="first" r:id="rId14"/>
      <w:pgSz w:w="11906" w:h="16838" w:code="9"/>
      <w:pgMar w:top="1304" w:right="1418" w:bottom="1304"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B639" w14:textId="77777777" w:rsidR="00AA4525" w:rsidRDefault="00AA4525">
      <w:r>
        <w:separator/>
      </w:r>
    </w:p>
  </w:endnote>
  <w:endnote w:type="continuationSeparator" w:id="0">
    <w:p w14:paraId="493CB09A" w14:textId="77777777" w:rsidR="00AA4525" w:rsidRDefault="00AA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0E1C020D"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C15E5">
      <w:rPr>
        <w:rStyle w:val="slostrnky"/>
        <w:rFonts w:ascii="Tahoma" w:hAnsi="Tahoma" w:cs="Tahoma"/>
        <w:noProof/>
        <w:sz w:val="18"/>
        <w:szCs w:val="18"/>
      </w:rPr>
      <w:t>12</w:t>
    </w:r>
    <w:r w:rsidR="00147C8E" w:rsidRPr="002820E4">
      <w:rPr>
        <w:rStyle w:val="slostrnky"/>
        <w:rFonts w:ascii="Tahoma" w:hAnsi="Tahoma" w:cs="Tahoma"/>
        <w:sz w:val="18"/>
        <w:szCs w:val="18"/>
      </w:rPr>
      <w:fldChar w:fldCharType="end"/>
    </w:r>
  </w:p>
  <w:p w14:paraId="35FA7D34" w14:textId="77777777" w:rsidR="000E2AA9" w:rsidRDefault="000E2AA9">
    <w:pPr>
      <w:pBdr>
        <w:top w:val="single" w:sz="6" w:space="0" w:color="auto"/>
      </w:pBdr>
      <w:tabs>
        <w:tab w:val="center" w:pos="4536"/>
        <w:tab w:val="right" w:pos="9072"/>
      </w:tabs>
      <w:ind w:right="360"/>
      <w:rPr>
        <w:rFonts w:ascii="Tahoma" w:hAnsi="Tahoma" w:cs="Tahoma"/>
        <w:sz w:val="18"/>
        <w:szCs w:val="18"/>
      </w:rPr>
    </w:pPr>
  </w:p>
  <w:p w14:paraId="720B1C6C" w14:textId="1D5E96AC" w:rsidR="00147C8E" w:rsidRDefault="002B1D3F">
    <w:pPr>
      <w:pBdr>
        <w:top w:val="single" w:sz="6" w:space="0" w:color="auto"/>
      </w:pBdr>
      <w:tabs>
        <w:tab w:val="center" w:pos="4536"/>
        <w:tab w:val="right" w:pos="9072"/>
      </w:tabs>
      <w:ind w:right="360"/>
      <w:rPr>
        <w:rFonts w:ascii="Tahoma" w:hAnsi="Tahoma" w:cs="Tahoma"/>
        <w:i/>
        <w:sz w:val="18"/>
        <w:szCs w:val="18"/>
      </w:rPr>
    </w:pPr>
    <w:r w:rsidRPr="00965928">
      <w:rPr>
        <w:rFonts w:ascii="Tahoma" w:hAnsi="Tahoma" w:cs="Tahoma"/>
        <w:sz w:val="18"/>
        <w:szCs w:val="18"/>
      </w:rPr>
      <w:t>TDS a koordinátor BOZP</w:t>
    </w:r>
    <w:r w:rsidR="00147C8E" w:rsidRPr="00965928">
      <w:rPr>
        <w:rFonts w:ascii="Tahoma" w:hAnsi="Tahoma" w:cs="Tahoma"/>
        <w:sz w:val="18"/>
        <w:szCs w:val="18"/>
      </w:rPr>
      <w:t xml:space="preserve"> při realizaci stavby </w:t>
    </w:r>
    <w:r w:rsidR="00965928" w:rsidRPr="00965928">
      <w:rPr>
        <w:rFonts w:ascii="Tahoma" w:hAnsi="Tahoma" w:cs="Tahoma"/>
        <w:bCs/>
        <w:i/>
        <w:sz w:val="18"/>
        <w:szCs w:val="18"/>
      </w:rPr>
      <w:t>„</w:t>
    </w:r>
    <w:r w:rsidR="009F6384">
      <w:rPr>
        <w:rFonts w:ascii="Tahoma" w:hAnsi="Tahoma" w:cs="Tahoma"/>
        <w:bCs/>
        <w:i/>
        <w:sz w:val="18"/>
        <w:szCs w:val="18"/>
      </w:rPr>
      <w:t>Stavební úpravy altánu</w:t>
    </w:r>
    <w:r w:rsidR="00965928" w:rsidRPr="00965928">
      <w:rPr>
        <w:rFonts w:ascii="Tahoma" w:hAnsi="Tahoma" w:cs="Tahoma"/>
        <w:i/>
        <w:sz w:val="18"/>
        <w:szCs w:val="18"/>
      </w:rPr>
      <w:t>“</w:t>
    </w:r>
  </w:p>
  <w:p w14:paraId="29B7E410" w14:textId="77777777" w:rsidR="000E2AA9" w:rsidRPr="00965928" w:rsidRDefault="000E2AA9">
    <w:pPr>
      <w:pBdr>
        <w:top w:val="single" w:sz="6" w:space="0" w:color="auto"/>
      </w:pBdr>
      <w:tabs>
        <w:tab w:val="center" w:pos="4536"/>
        <w:tab w:val="right" w:pos="9072"/>
      </w:tabs>
      <w:ind w:right="360"/>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7A38DBA0" w:rsidR="00147C8E" w:rsidRDefault="0022093A" w:rsidP="0022093A">
    <w:pPr>
      <w:pBdr>
        <w:top w:val="single" w:sz="6" w:space="14" w:color="auto"/>
      </w:pBdr>
      <w:tabs>
        <w:tab w:val="center" w:pos="4536"/>
        <w:tab w:val="right" w:pos="9072"/>
      </w:tabs>
      <w:ind w:right="-2"/>
    </w:pPr>
    <w:r w:rsidRPr="00965928">
      <w:rPr>
        <w:rFonts w:ascii="Tahoma" w:hAnsi="Tahoma" w:cs="Tahoma"/>
        <w:sz w:val="18"/>
        <w:szCs w:val="18"/>
      </w:rPr>
      <w:t xml:space="preserve">TDS a koordinátor BOZP při realizaci stavby </w:t>
    </w:r>
    <w:r w:rsidR="009F6384">
      <w:rPr>
        <w:rFonts w:ascii="Tahoma" w:hAnsi="Tahoma" w:cs="Tahoma"/>
        <w:bCs/>
        <w:i/>
        <w:sz w:val="18"/>
        <w:szCs w:val="18"/>
      </w:rPr>
      <w:t>„Stavební úpravy altánu“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1D1C" w14:textId="77777777" w:rsidR="00AA4525" w:rsidRDefault="00AA4525">
      <w:r>
        <w:separator/>
      </w:r>
    </w:p>
  </w:footnote>
  <w:footnote w:type="continuationSeparator" w:id="0">
    <w:p w14:paraId="46B9AB40" w14:textId="77777777" w:rsidR="00AA4525" w:rsidRDefault="00AA4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64F03CB"/>
    <w:multiLevelType w:val="multilevel"/>
    <w:tmpl w:val="6352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6" w15:restartNumberingAfterBreak="0">
    <w:nsid w:val="17D74D86"/>
    <w:multiLevelType w:val="multilevel"/>
    <w:tmpl w:val="8F308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C115C"/>
    <w:multiLevelType w:val="multilevel"/>
    <w:tmpl w:val="438CA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93244"/>
    <w:multiLevelType w:val="multilevel"/>
    <w:tmpl w:val="13620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782EF204"/>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4790D7DC">
      <w:start w:val="1"/>
      <w:numFmt w:val="lowerLetter"/>
      <w:lvlText w:val="%2)"/>
      <w:lvlJc w:val="left"/>
      <w:pPr>
        <w:tabs>
          <w:tab w:val="num" w:pos="1545"/>
        </w:tabs>
        <w:ind w:left="154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3E30F7"/>
    <w:multiLevelType w:val="multilevel"/>
    <w:tmpl w:val="626C4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6BE4655"/>
    <w:multiLevelType w:val="multilevel"/>
    <w:tmpl w:val="C040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7F2FEC"/>
    <w:multiLevelType w:val="multilevel"/>
    <w:tmpl w:val="6D84F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135"/>
    <w:multiLevelType w:val="multilevel"/>
    <w:tmpl w:val="94FE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5A426DDA"/>
    <w:multiLevelType w:val="multilevel"/>
    <w:tmpl w:val="25048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5BF50EDF"/>
    <w:multiLevelType w:val="multilevel"/>
    <w:tmpl w:val="451A79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1C1F7B"/>
    <w:multiLevelType w:val="multilevel"/>
    <w:tmpl w:val="3116673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i w:val="0"/>
        <w:iCs/>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8F96F5E"/>
    <w:multiLevelType w:val="hybridMultilevel"/>
    <w:tmpl w:val="6FEAFA88"/>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9" w15:restartNumberingAfterBreak="0">
    <w:nsid w:val="741B7016"/>
    <w:multiLevelType w:val="multilevel"/>
    <w:tmpl w:val="8CE003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abstractNum w:abstractNumId="32" w15:restartNumberingAfterBreak="0">
    <w:nsid w:val="7D2306EF"/>
    <w:multiLevelType w:val="multilevel"/>
    <w:tmpl w:val="6434AF6C"/>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
      <w:lvlJc w:val="left"/>
      <w:pPr>
        <w:tabs>
          <w:tab w:val="num" w:pos="2290"/>
        </w:tabs>
        <w:ind w:left="2290" w:hanging="360"/>
      </w:pPr>
      <w:rPr>
        <w:rFonts w:ascii="Symbol" w:hAnsi="Symbol" w:hint="default"/>
        <w:sz w:val="20"/>
      </w:rPr>
    </w:lvl>
    <w:lvl w:ilvl="2" w:tentative="1">
      <w:start w:val="1"/>
      <w:numFmt w:val="bullet"/>
      <w:lvlText w:val=""/>
      <w:lvlJc w:val="left"/>
      <w:pPr>
        <w:tabs>
          <w:tab w:val="num" w:pos="3010"/>
        </w:tabs>
        <w:ind w:left="3010" w:hanging="360"/>
      </w:pPr>
      <w:rPr>
        <w:rFonts w:ascii="Symbol" w:hAnsi="Symbol" w:hint="default"/>
        <w:sz w:val="20"/>
      </w:rPr>
    </w:lvl>
    <w:lvl w:ilvl="3" w:tentative="1">
      <w:start w:val="1"/>
      <w:numFmt w:val="bullet"/>
      <w:lvlText w:val=""/>
      <w:lvlJc w:val="left"/>
      <w:pPr>
        <w:tabs>
          <w:tab w:val="num" w:pos="3730"/>
        </w:tabs>
        <w:ind w:left="3730" w:hanging="360"/>
      </w:pPr>
      <w:rPr>
        <w:rFonts w:ascii="Symbol" w:hAnsi="Symbol" w:hint="default"/>
        <w:sz w:val="20"/>
      </w:rPr>
    </w:lvl>
    <w:lvl w:ilvl="4" w:tentative="1">
      <w:start w:val="1"/>
      <w:numFmt w:val="bullet"/>
      <w:lvlText w:val=""/>
      <w:lvlJc w:val="left"/>
      <w:pPr>
        <w:tabs>
          <w:tab w:val="num" w:pos="4450"/>
        </w:tabs>
        <w:ind w:left="4450" w:hanging="360"/>
      </w:pPr>
      <w:rPr>
        <w:rFonts w:ascii="Symbol" w:hAnsi="Symbol" w:hint="default"/>
        <w:sz w:val="20"/>
      </w:rPr>
    </w:lvl>
    <w:lvl w:ilvl="5" w:tentative="1">
      <w:start w:val="1"/>
      <w:numFmt w:val="bullet"/>
      <w:lvlText w:val=""/>
      <w:lvlJc w:val="left"/>
      <w:pPr>
        <w:tabs>
          <w:tab w:val="num" w:pos="5170"/>
        </w:tabs>
        <w:ind w:left="5170" w:hanging="360"/>
      </w:pPr>
      <w:rPr>
        <w:rFonts w:ascii="Symbol" w:hAnsi="Symbol" w:hint="default"/>
        <w:sz w:val="20"/>
      </w:rPr>
    </w:lvl>
    <w:lvl w:ilvl="6" w:tentative="1">
      <w:start w:val="1"/>
      <w:numFmt w:val="bullet"/>
      <w:lvlText w:val=""/>
      <w:lvlJc w:val="left"/>
      <w:pPr>
        <w:tabs>
          <w:tab w:val="num" w:pos="5890"/>
        </w:tabs>
        <w:ind w:left="5890" w:hanging="360"/>
      </w:pPr>
      <w:rPr>
        <w:rFonts w:ascii="Symbol" w:hAnsi="Symbol" w:hint="default"/>
        <w:sz w:val="20"/>
      </w:rPr>
    </w:lvl>
    <w:lvl w:ilvl="7" w:tentative="1">
      <w:start w:val="1"/>
      <w:numFmt w:val="bullet"/>
      <w:lvlText w:val=""/>
      <w:lvlJc w:val="left"/>
      <w:pPr>
        <w:tabs>
          <w:tab w:val="num" w:pos="6610"/>
        </w:tabs>
        <w:ind w:left="6610" w:hanging="360"/>
      </w:pPr>
      <w:rPr>
        <w:rFonts w:ascii="Symbol" w:hAnsi="Symbol" w:hint="default"/>
        <w:sz w:val="20"/>
      </w:rPr>
    </w:lvl>
    <w:lvl w:ilvl="8" w:tentative="1">
      <w:start w:val="1"/>
      <w:numFmt w:val="bullet"/>
      <w:lvlText w:val=""/>
      <w:lvlJc w:val="left"/>
      <w:pPr>
        <w:tabs>
          <w:tab w:val="num" w:pos="7330"/>
        </w:tabs>
        <w:ind w:left="7330" w:hanging="360"/>
      </w:pPr>
      <w:rPr>
        <w:rFonts w:ascii="Symbol" w:hAnsi="Symbol" w:hint="default"/>
        <w:sz w:val="20"/>
      </w:rPr>
    </w:lvl>
  </w:abstractNum>
  <w:num w:numId="1">
    <w:abstractNumId w:val="5"/>
  </w:num>
  <w:num w:numId="2">
    <w:abstractNumId w:val="22"/>
  </w:num>
  <w:num w:numId="3">
    <w:abstractNumId w:val="14"/>
  </w:num>
  <w:num w:numId="4">
    <w:abstractNumId w:val="31"/>
  </w:num>
  <w:num w:numId="5">
    <w:abstractNumId w:val="10"/>
  </w:num>
  <w:num w:numId="6">
    <w:abstractNumId w:val="0"/>
  </w:num>
  <w:num w:numId="7">
    <w:abstractNumId w:val="24"/>
  </w:num>
  <w:num w:numId="8">
    <w:abstractNumId w:val="17"/>
  </w:num>
  <w:num w:numId="9">
    <w:abstractNumId w:val="20"/>
  </w:num>
  <w:num w:numId="10">
    <w:abstractNumId w:val="16"/>
  </w:num>
  <w:num w:numId="11">
    <w:abstractNumId w:val="2"/>
  </w:num>
  <w:num w:numId="12">
    <w:abstractNumId w:val="28"/>
  </w:num>
  <w:num w:numId="13">
    <w:abstractNumId w:val="27"/>
  </w:num>
  <w:num w:numId="14">
    <w:abstractNumId w:val="1"/>
  </w:num>
  <w:num w:numId="15">
    <w:abstractNumId w:val="3"/>
  </w:num>
  <w:num w:numId="16">
    <w:abstractNumId w:val="30"/>
  </w:num>
  <w:num w:numId="17">
    <w:abstractNumId w:val="12"/>
  </w:num>
  <w:num w:numId="18">
    <w:abstractNumId w:val="11"/>
  </w:num>
  <w:num w:numId="19">
    <w:abstractNumId w:val="26"/>
  </w:num>
  <w:num w:numId="20">
    <w:abstractNumId w:val="9"/>
  </w:num>
  <w:num w:numId="21">
    <w:abstractNumId w:val="19"/>
  </w:num>
  <w:num w:numId="22">
    <w:abstractNumId w:val="8"/>
  </w:num>
  <w:num w:numId="23">
    <w:abstractNumId w:val="6"/>
  </w:num>
  <w:num w:numId="24">
    <w:abstractNumId w:val="7"/>
  </w:num>
  <w:num w:numId="25">
    <w:abstractNumId w:val="29"/>
  </w:num>
  <w:num w:numId="26">
    <w:abstractNumId w:val="4"/>
  </w:num>
  <w:num w:numId="27">
    <w:abstractNumId w:val="21"/>
  </w:num>
  <w:num w:numId="28">
    <w:abstractNumId w:val="32"/>
  </w:num>
  <w:num w:numId="29">
    <w:abstractNumId w:val="18"/>
  </w:num>
  <w:num w:numId="30">
    <w:abstractNumId w:val="13"/>
  </w:num>
  <w:num w:numId="31">
    <w:abstractNumId w:val="15"/>
  </w:num>
  <w:num w:numId="32">
    <w:abstractNumId w:val="23"/>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1E4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2FFD"/>
    <w:rsid w:val="000B47B8"/>
    <w:rsid w:val="000B6867"/>
    <w:rsid w:val="000C131D"/>
    <w:rsid w:val="000C6073"/>
    <w:rsid w:val="000C6973"/>
    <w:rsid w:val="000C7EB6"/>
    <w:rsid w:val="000D0EEE"/>
    <w:rsid w:val="000D21AD"/>
    <w:rsid w:val="000D3B21"/>
    <w:rsid w:val="000D44B7"/>
    <w:rsid w:val="000E0B55"/>
    <w:rsid w:val="000E1BB2"/>
    <w:rsid w:val="000E2AA9"/>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27A6"/>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093A"/>
    <w:rsid w:val="0022483E"/>
    <w:rsid w:val="00225C44"/>
    <w:rsid w:val="00227149"/>
    <w:rsid w:val="002324FB"/>
    <w:rsid w:val="00234C96"/>
    <w:rsid w:val="00235ADD"/>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4152"/>
    <w:rsid w:val="002F757B"/>
    <w:rsid w:val="003001C2"/>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1670"/>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3916"/>
    <w:rsid w:val="003E64DA"/>
    <w:rsid w:val="003E69D7"/>
    <w:rsid w:val="003E6AE0"/>
    <w:rsid w:val="003E7617"/>
    <w:rsid w:val="003F266E"/>
    <w:rsid w:val="00401ABA"/>
    <w:rsid w:val="00415035"/>
    <w:rsid w:val="00420C61"/>
    <w:rsid w:val="00421696"/>
    <w:rsid w:val="0042424D"/>
    <w:rsid w:val="00425756"/>
    <w:rsid w:val="00426075"/>
    <w:rsid w:val="00427A82"/>
    <w:rsid w:val="004334E3"/>
    <w:rsid w:val="00433B8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22CE"/>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81E2B"/>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3504"/>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5928"/>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C777F"/>
    <w:rsid w:val="009D6C77"/>
    <w:rsid w:val="009D7745"/>
    <w:rsid w:val="009D7D33"/>
    <w:rsid w:val="009E4FC9"/>
    <w:rsid w:val="009F1C6F"/>
    <w:rsid w:val="009F4E69"/>
    <w:rsid w:val="009F6384"/>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4232"/>
    <w:rsid w:val="00A777AD"/>
    <w:rsid w:val="00A852C4"/>
    <w:rsid w:val="00A863A4"/>
    <w:rsid w:val="00A94065"/>
    <w:rsid w:val="00A9446C"/>
    <w:rsid w:val="00A94C3E"/>
    <w:rsid w:val="00A955E8"/>
    <w:rsid w:val="00A96C52"/>
    <w:rsid w:val="00A97B9B"/>
    <w:rsid w:val="00AA0409"/>
    <w:rsid w:val="00AA4525"/>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1976"/>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27F3A"/>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E7D9F"/>
    <w:rsid w:val="00DF228D"/>
    <w:rsid w:val="00DF5ACE"/>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854CF"/>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15E5"/>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4B5D"/>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2"/>
      </w:numPr>
      <w:tabs>
        <w:tab w:val="left" w:pos="426"/>
        <w:tab w:val="left" w:pos="1701"/>
      </w:tabs>
      <w:spacing w:after="120"/>
      <w:jc w:val="both"/>
    </w:pPr>
  </w:style>
  <w:style w:type="paragraph" w:customStyle="1" w:styleId="slovanPododstavecSmlouvy">
    <w:name w:val="ČíslovanýPododstavecSmlouvy"/>
    <w:basedOn w:val="Zkladntext"/>
    <w:pPr>
      <w:numPr>
        <w:numId w:val="13"/>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5222CE"/>
    <w:rPr>
      <w:sz w:val="24"/>
    </w:rPr>
  </w:style>
  <w:style w:type="paragraph" w:customStyle="1" w:styleId="paragraph">
    <w:name w:val="paragraph"/>
    <w:basedOn w:val="Normln"/>
    <w:rsid w:val="005222CE"/>
    <w:pPr>
      <w:spacing w:before="100" w:beforeAutospacing="1" w:after="100" w:afterAutospacing="1"/>
    </w:pPr>
    <w:rPr>
      <w:szCs w:val="24"/>
    </w:rPr>
  </w:style>
  <w:style w:type="character" w:customStyle="1" w:styleId="normaltextrun">
    <w:name w:val="normaltextrun"/>
    <w:basedOn w:val="Standardnpsmoodstavce"/>
    <w:rsid w:val="005222CE"/>
  </w:style>
  <w:style w:type="character" w:customStyle="1" w:styleId="tabchar">
    <w:name w:val="tabchar"/>
    <w:basedOn w:val="Standardnpsmoodstavce"/>
    <w:rsid w:val="005222CE"/>
  </w:style>
  <w:style w:type="character" w:customStyle="1" w:styleId="eop">
    <w:name w:val="eop"/>
    <w:basedOn w:val="Standardnpsmoodstavce"/>
    <w:rsid w:val="0052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485585306">
      <w:bodyDiv w:val="1"/>
      <w:marLeft w:val="0"/>
      <w:marRight w:val="0"/>
      <w:marTop w:val="0"/>
      <w:marBottom w:val="0"/>
      <w:divBdr>
        <w:top w:val="none" w:sz="0" w:space="0" w:color="auto"/>
        <w:left w:val="none" w:sz="0" w:space="0" w:color="auto"/>
        <w:bottom w:val="none" w:sz="0" w:space="0" w:color="auto"/>
        <w:right w:val="none" w:sz="0" w:space="0" w:color="auto"/>
      </w:divBdr>
      <w:divsChild>
        <w:div w:id="1508904943">
          <w:marLeft w:val="0"/>
          <w:marRight w:val="0"/>
          <w:marTop w:val="0"/>
          <w:marBottom w:val="0"/>
          <w:divBdr>
            <w:top w:val="none" w:sz="0" w:space="0" w:color="auto"/>
            <w:left w:val="none" w:sz="0" w:space="0" w:color="auto"/>
            <w:bottom w:val="none" w:sz="0" w:space="0" w:color="auto"/>
            <w:right w:val="none" w:sz="0" w:space="0" w:color="auto"/>
          </w:divBdr>
        </w:div>
        <w:div w:id="1243755257">
          <w:marLeft w:val="0"/>
          <w:marRight w:val="0"/>
          <w:marTop w:val="0"/>
          <w:marBottom w:val="0"/>
          <w:divBdr>
            <w:top w:val="none" w:sz="0" w:space="0" w:color="auto"/>
            <w:left w:val="none" w:sz="0" w:space="0" w:color="auto"/>
            <w:bottom w:val="none" w:sz="0" w:space="0" w:color="auto"/>
            <w:right w:val="none" w:sz="0" w:space="0" w:color="auto"/>
          </w:divBdr>
        </w:div>
        <w:div w:id="1261379036">
          <w:marLeft w:val="0"/>
          <w:marRight w:val="0"/>
          <w:marTop w:val="0"/>
          <w:marBottom w:val="0"/>
          <w:divBdr>
            <w:top w:val="none" w:sz="0" w:space="0" w:color="auto"/>
            <w:left w:val="none" w:sz="0" w:space="0" w:color="auto"/>
            <w:bottom w:val="none" w:sz="0" w:space="0" w:color="auto"/>
            <w:right w:val="none" w:sz="0" w:space="0" w:color="auto"/>
          </w:divBdr>
        </w:div>
        <w:div w:id="1854606568">
          <w:marLeft w:val="0"/>
          <w:marRight w:val="0"/>
          <w:marTop w:val="0"/>
          <w:marBottom w:val="0"/>
          <w:divBdr>
            <w:top w:val="none" w:sz="0" w:space="0" w:color="auto"/>
            <w:left w:val="none" w:sz="0" w:space="0" w:color="auto"/>
            <w:bottom w:val="none" w:sz="0" w:space="0" w:color="auto"/>
            <w:right w:val="none" w:sz="0" w:space="0" w:color="auto"/>
          </w:divBdr>
        </w:div>
        <w:div w:id="1162356985">
          <w:marLeft w:val="0"/>
          <w:marRight w:val="0"/>
          <w:marTop w:val="0"/>
          <w:marBottom w:val="0"/>
          <w:divBdr>
            <w:top w:val="none" w:sz="0" w:space="0" w:color="auto"/>
            <w:left w:val="none" w:sz="0" w:space="0" w:color="auto"/>
            <w:bottom w:val="none" w:sz="0" w:space="0" w:color="auto"/>
            <w:right w:val="none" w:sz="0" w:space="0" w:color="auto"/>
          </w:divBdr>
        </w:div>
        <w:div w:id="1072503521">
          <w:marLeft w:val="0"/>
          <w:marRight w:val="0"/>
          <w:marTop w:val="0"/>
          <w:marBottom w:val="0"/>
          <w:divBdr>
            <w:top w:val="none" w:sz="0" w:space="0" w:color="auto"/>
            <w:left w:val="none" w:sz="0" w:space="0" w:color="auto"/>
            <w:bottom w:val="none" w:sz="0" w:space="0" w:color="auto"/>
            <w:right w:val="none" w:sz="0" w:space="0" w:color="auto"/>
          </w:divBdr>
        </w:div>
        <w:div w:id="714893677">
          <w:marLeft w:val="0"/>
          <w:marRight w:val="0"/>
          <w:marTop w:val="0"/>
          <w:marBottom w:val="0"/>
          <w:divBdr>
            <w:top w:val="none" w:sz="0" w:space="0" w:color="auto"/>
            <w:left w:val="none" w:sz="0" w:space="0" w:color="auto"/>
            <w:bottom w:val="none" w:sz="0" w:space="0" w:color="auto"/>
            <w:right w:val="none" w:sz="0" w:space="0" w:color="auto"/>
          </w:divBdr>
        </w:div>
        <w:div w:id="1400589737">
          <w:marLeft w:val="0"/>
          <w:marRight w:val="0"/>
          <w:marTop w:val="0"/>
          <w:marBottom w:val="0"/>
          <w:divBdr>
            <w:top w:val="none" w:sz="0" w:space="0" w:color="auto"/>
            <w:left w:val="none" w:sz="0" w:space="0" w:color="auto"/>
            <w:bottom w:val="none" w:sz="0" w:space="0" w:color="auto"/>
            <w:right w:val="none" w:sz="0" w:space="0" w:color="auto"/>
          </w:divBdr>
        </w:div>
        <w:div w:id="1535078281">
          <w:marLeft w:val="0"/>
          <w:marRight w:val="0"/>
          <w:marTop w:val="0"/>
          <w:marBottom w:val="0"/>
          <w:divBdr>
            <w:top w:val="none" w:sz="0" w:space="0" w:color="auto"/>
            <w:left w:val="none" w:sz="0" w:space="0" w:color="auto"/>
            <w:bottom w:val="none" w:sz="0" w:space="0" w:color="auto"/>
            <w:right w:val="none" w:sz="0" w:space="0" w:color="auto"/>
          </w:divBdr>
        </w:div>
        <w:div w:id="1237596906">
          <w:marLeft w:val="0"/>
          <w:marRight w:val="0"/>
          <w:marTop w:val="0"/>
          <w:marBottom w:val="0"/>
          <w:divBdr>
            <w:top w:val="none" w:sz="0" w:space="0" w:color="auto"/>
            <w:left w:val="none" w:sz="0" w:space="0" w:color="auto"/>
            <w:bottom w:val="none" w:sz="0" w:space="0" w:color="auto"/>
            <w:right w:val="none" w:sz="0" w:space="0" w:color="auto"/>
          </w:divBdr>
        </w:div>
        <w:div w:id="1258951750">
          <w:marLeft w:val="0"/>
          <w:marRight w:val="0"/>
          <w:marTop w:val="0"/>
          <w:marBottom w:val="0"/>
          <w:divBdr>
            <w:top w:val="none" w:sz="0" w:space="0" w:color="auto"/>
            <w:left w:val="none" w:sz="0" w:space="0" w:color="auto"/>
            <w:bottom w:val="none" w:sz="0" w:space="0" w:color="auto"/>
            <w:right w:val="none" w:sz="0" w:space="0" w:color="auto"/>
          </w:divBdr>
        </w:div>
        <w:div w:id="81150181">
          <w:marLeft w:val="0"/>
          <w:marRight w:val="0"/>
          <w:marTop w:val="0"/>
          <w:marBottom w:val="0"/>
          <w:divBdr>
            <w:top w:val="none" w:sz="0" w:space="0" w:color="auto"/>
            <w:left w:val="none" w:sz="0" w:space="0" w:color="auto"/>
            <w:bottom w:val="none" w:sz="0" w:space="0" w:color="auto"/>
            <w:right w:val="none" w:sz="0" w:space="0" w:color="auto"/>
          </w:divBdr>
        </w:div>
        <w:div w:id="683243009">
          <w:marLeft w:val="0"/>
          <w:marRight w:val="0"/>
          <w:marTop w:val="0"/>
          <w:marBottom w:val="0"/>
          <w:divBdr>
            <w:top w:val="none" w:sz="0" w:space="0" w:color="auto"/>
            <w:left w:val="none" w:sz="0" w:space="0" w:color="auto"/>
            <w:bottom w:val="none" w:sz="0" w:space="0" w:color="auto"/>
            <w:right w:val="none" w:sz="0" w:space="0" w:color="auto"/>
          </w:divBdr>
        </w:div>
        <w:div w:id="1862939687">
          <w:marLeft w:val="0"/>
          <w:marRight w:val="0"/>
          <w:marTop w:val="0"/>
          <w:marBottom w:val="0"/>
          <w:divBdr>
            <w:top w:val="none" w:sz="0" w:space="0" w:color="auto"/>
            <w:left w:val="none" w:sz="0" w:space="0" w:color="auto"/>
            <w:bottom w:val="none" w:sz="0" w:space="0" w:color="auto"/>
            <w:right w:val="none" w:sz="0" w:space="0" w:color="auto"/>
          </w:divBdr>
        </w:div>
        <w:div w:id="128328377">
          <w:marLeft w:val="0"/>
          <w:marRight w:val="0"/>
          <w:marTop w:val="0"/>
          <w:marBottom w:val="0"/>
          <w:divBdr>
            <w:top w:val="none" w:sz="0" w:space="0" w:color="auto"/>
            <w:left w:val="none" w:sz="0" w:space="0" w:color="auto"/>
            <w:bottom w:val="none" w:sz="0" w:space="0" w:color="auto"/>
            <w:right w:val="none" w:sz="0" w:space="0" w:color="auto"/>
          </w:divBdr>
        </w:div>
      </w:divsChild>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mov-kyjovic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8930-3BB1-4FEA-B431-B2E35BC3D0ED}">
  <ds:schemaRefs>
    <ds:schemaRef ds:uri="http://schemas.microsoft.com/office/2006/documentManagement/types"/>
    <ds:schemaRef ds:uri="http://purl.org/dc/terms/"/>
    <ds:schemaRef ds:uri="94bb808a-9cb8-49f3-97bd-06f68a3035b2"/>
    <ds:schemaRef ds:uri="http://www.w3.org/XML/1998/namespace"/>
    <ds:schemaRef ds:uri="http://schemas.openxmlformats.org/package/2006/metadata/core-properties"/>
    <ds:schemaRef ds:uri="http://schemas.microsoft.com/office/2006/metadata/properties"/>
    <ds:schemaRef ds:uri="ccba48c0-8987-41b7-bbd5-778b5690a622"/>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B753FD4A-A1EB-4062-AC9C-AA690F3A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7B314-5AD1-4732-81F4-19718CDB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4974</Words>
  <Characters>29431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Ing. Iva Martiniková</cp:lastModifiedBy>
  <cp:revision>5</cp:revision>
  <cp:lastPrinted>2011-06-13T14:31:00Z</cp:lastPrinted>
  <dcterms:created xsi:type="dcterms:W3CDTF">2023-10-02T09:37:00Z</dcterms:created>
  <dcterms:modified xsi:type="dcterms:W3CDTF">2023-12-01T08:40:00Z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