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1459865" distL="88900" distR="95250" simplePos="0" relativeHeight="125829378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1718945</wp:posOffset>
                </wp:positionV>
                <wp:extent cx="1642745" cy="2091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2091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„kupující 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700000000000003pt;margin-top:135.34999999999999pt;width:129.34999999999999pt;height:164.65000000000001pt;z-index:-125829375;mso-wrap-distance-left:7.pt;mso-wrap-distance-right:7.5pt;mso-wrap-distance-bottom:114.9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„kupující 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2252345" distB="0" distL="88900" distR="88900" simplePos="0" relativeHeight="125829380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3971290</wp:posOffset>
                </wp:positionV>
                <wp:extent cx="1649095" cy="129857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9095" cy="1298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6.700000000000003pt;margin-top:312.69999999999999pt;width:129.84999999999999pt;height:102.25pt;z-index:-125829373;mso-wrap-distance-left:7.pt;mso-wrap-distance-top:177.34999999999999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8"/>
        </w:rPr>
        <w:t>Illllllllllllllllllllllll</w:t>
      </w:r>
      <w:bookmarkEnd w:id="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3"/>
        </w:rPr>
        <w:t>2023008974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15"/>
          <w:b/>
          <w:bCs/>
        </w:rPr>
        <w:t>KUPNÍ SMLOUVA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312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3"/>
          <w:sz w:val="19"/>
          <w:szCs w:val="19"/>
        </w:rPr>
        <w:t>uzavřená v souladu s ustanovením § 2079 a násl. zákona č. 89/2012 Sb., občanský zákoník,</w:t>
        <w:br/>
        <w:t>mezi níže uvedenými smluvními stranami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</w:rPr>
        <w:t>Kamenice 798/1 d, 625 00 Brno 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674" w:val="left"/>
        </w:tabs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  <w:shd w:val="clear" w:color="auto" w:fill="000000"/>
        </w:rPr>
        <w:t>.......​...........​</w:t>
      </w:r>
      <w:r>
        <w:rPr>
          <w:rStyle w:val="CharStyle3"/>
          <w:spacing w:val="1"/>
          <w:shd w:val="clear" w:color="auto" w:fill="000000"/>
        </w:rPr>
        <w:t>..........</w:t>
      </w:r>
      <w:r>
        <w:rPr>
          <w:rStyle w:val="CharStyle3"/>
          <w:shd w:val="clear" w:color="auto" w:fill="000000"/>
        </w:rPr>
        <w:t>...........</w:t>
      </w:r>
      <w:r>
        <w:rPr>
          <w:rStyle w:val="CharStyle3"/>
          <w:spacing w:val="1"/>
          <w:shd w:val="clear" w:color="auto" w:fill="000000"/>
        </w:rPr>
        <w:t>..............</w:t>
      </w:r>
      <w:r>
        <w:rPr>
          <w:rStyle w:val="CharStyle3"/>
          <w:b/>
          <w:bCs/>
          <w:u w:val="single"/>
          <w:shd w:val="clear" w:color="auto" w:fill="000000"/>
        </w:rPr>
        <w:t>.</w:t>
      </w:r>
      <w:r>
        <w:rPr>
          <w:rStyle w:val="CharStyle3"/>
          <w:b/>
          <w:bCs/>
          <w:spacing w:val="1"/>
          <w:u w:val="single"/>
          <w:shd w:val="clear" w:color="auto" w:fill="000000"/>
        </w:rPr>
        <w:t>..........</w:t>
      </w:r>
      <w:r>
        <w:rPr>
          <w:rStyle w:val="CharStyle3"/>
          <w:b/>
          <w:bCs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6"/>
          <w:shd w:val="clear" w:color="auto" w:fill="000000"/>
        </w:rPr>
        <w:t>..</w:t>
      </w:r>
      <w:r>
        <w:rPr>
          <w:rStyle w:val="CharStyle3"/>
          <w:spacing w:val="7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</w:t>
      </w:r>
      <w:r>
        <w:rPr>
          <w:rStyle w:val="CharStyle3"/>
          <w:spacing w:val="3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.......​.......​.......​......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</w:rPr>
        <w:t>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20" w:line="300" w:lineRule="auto"/>
        <w:ind w:left="0" w:right="0" w:firstLine="0"/>
        <w:jc w:val="left"/>
      </w:pPr>
      <w:r>
        <w:rPr>
          <w:rStyle w:val="CharStyle3"/>
        </w:rPr>
        <w:t>MONETA Money Bank, a.s., č. ú. 117203514/0600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  <w:b/>
          <w:bCs/>
        </w:rPr>
        <w:t>PER4MANCE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</w:rPr>
        <w:t>Fišova 399/3, 602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</w:rPr>
        <w:t>Ing. Petr Maleňák, jednatel společnosti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  <w:shd w:val="clear" w:color="auto" w:fill="000000"/>
        </w:rPr>
        <w:t>.......​</w:t>
      </w:r>
      <w:r>
        <w:rPr>
          <w:rStyle w:val="CharStyle3"/>
          <w:spacing w:val="8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</w:t>
      </w:r>
      <w:r>
        <w:rPr>
          <w:rStyle w:val="CharStyle3"/>
          <w:spacing w:val="1"/>
          <w:shd w:val="clear" w:color="auto" w:fill="000000"/>
        </w:rPr>
        <w:t>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</w:rPr>
        <w:t>60749024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</w:rPr>
        <w:t>OZ60749024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300" w:lineRule="auto"/>
        <w:ind w:left="0" w:right="0" w:firstLine="0"/>
        <w:jc w:val="left"/>
      </w:pPr>
      <w:r>
        <w:rPr>
          <w:rStyle w:val="CharStyle3"/>
        </w:rPr>
        <w:t>Krajský soud v Brně, spis. zn. C19044 7217750277/0100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</w:rPr>
        <w:t>„prodávající 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0" w:line="300" w:lineRule="auto"/>
        <w:ind w:left="0" w:right="0" w:firstLine="0"/>
        <w:jc w:val="left"/>
      </w:pPr>
      <w:r>
        <w:rPr>
          <w:rStyle w:val="CharStyle3"/>
        </w:rPr>
        <w:t>Prodávající je oprávněn na základě svého vlastnického práva nakládat se zbožím v podobě: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0" w:line="300" w:lineRule="auto"/>
        <w:ind w:left="0" w:right="0" w:firstLine="400"/>
        <w:jc w:val="left"/>
      </w:pPr>
      <w:r>
        <w:rPr>
          <w:rStyle w:val="CharStyle3"/>
        </w:rPr>
        <w:t xml:space="preserve">2 ks </w:t>
      </w:r>
      <w:r>
        <w:rPr>
          <w:rStyle w:val="CharStyle3"/>
          <w:b/>
          <w:bCs/>
        </w:rPr>
        <w:t>centrální switch L3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line="300" w:lineRule="auto"/>
        <w:ind w:left="0" w:right="0" w:firstLine="400"/>
        <w:jc w:val="left"/>
      </w:pPr>
      <w:r>
        <w:rPr>
          <w:rStyle w:val="CharStyle3"/>
        </w:rPr>
        <w:t xml:space="preserve">2 ks </w:t>
      </w:r>
      <w:r>
        <w:rPr>
          <w:rStyle w:val="CharStyle3"/>
          <w:b/>
          <w:bCs/>
        </w:rPr>
        <w:t>centrální FireWall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360" w:right="0" w:firstLine="0"/>
        <w:jc w:val="both"/>
      </w:pPr>
      <w:r>
        <w:rPr>
          <w:rStyle w:val="CharStyle3"/>
        </w:rPr>
        <w:t>Podrobná specifikace tohoto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3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jazyce, a v tištěné i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22. 12. 2023 </w:t>
      </w:r>
      <w:r>
        <w:rPr>
          <w:rStyle w:val="CharStyle3"/>
        </w:rPr>
        <w:t>a to v místě splnění tohoto závazku, kterým je sídlo kupujícího v Brně, Kamenice 798/1 d, 625 00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 w:line="307" w:lineRule="auto"/>
        <w:ind w:left="400" w:right="0" w:hanging="400"/>
        <w:jc w:val="both"/>
      </w:pPr>
      <w:r>
        <w:rPr>
          <w:rStyle w:val="CharStyle3"/>
        </w:rPr>
        <w:t xml:space="preserve">Závazek prodávajícího ke splnění jeho závazku k dodání zboží podle čl. 1 této smlouvy se pak považuje za splněný po - faktickém předání a převzetí zboží prostého všech vad, po jeho </w:t>
      </w:r>
      <w:r>
        <w:rPr>
          <w:rStyle w:val="CharStyle3"/>
        </w:rPr>
        <w:t>instalaci a konfiguraci v místě plnění včetně všech firmware na poslední aktuální a stabilní verze a součinnosti při zařazení do stávajícího prostředí -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307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307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1 555 200,-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1 881 792,-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400" w:right="0" w:firstLine="2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 w:line="300" w:lineRule="auto"/>
        <w:ind w:left="400" w:right="0" w:hanging="400"/>
        <w:jc w:val="both"/>
      </w:pPr>
      <w:r>
        <w:rPr>
          <w:rStyle w:val="CharStyle3"/>
        </w:rPr>
        <w:t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elektronicky na email: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10"/>
          <w:u w:val="single"/>
          <w:shd w:val="clear" w:color="auto" w:fill="000000"/>
        </w:rPr>
        <w:t>...</w:t>
      </w:r>
      <w:r>
        <w:rPr>
          <w:rStyle w:val="CharStyle3"/>
          <w:u w:val="single"/>
          <w:shd w:val="clear" w:color="auto" w:fill="000000"/>
        </w:rPr>
        <w:t>..............</w:t>
      </w:r>
      <w:r>
        <w:rPr>
          <w:rStyle w:val="CharStyle3"/>
          <w:spacing w:val="1"/>
          <w:u w:val="single"/>
          <w:shd w:val="clear" w:color="auto" w:fill="000000"/>
        </w:rPr>
        <w:t>.............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  <w:b/>
          <w:bCs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2"/>
          <w:u w:val="single"/>
          <w:shd w:val="clear" w:color="auto" w:fill="000000"/>
        </w:rPr>
        <w:t>.....</w:t>
      </w:r>
      <w:r>
        <w:rPr>
          <w:rStyle w:val="CharStyle3"/>
          <w:spacing w:val="3"/>
          <w:u w:val="single"/>
          <w:shd w:val="clear" w:color="auto" w:fill="000000"/>
        </w:rPr>
        <w:t>..........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5"/>
          <w:u w:val="single"/>
          <w:shd w:val="clear" w:color="auto" w:fill="000000"/>
        </w:rPr>
        <w:t>....</w:t>
      </w:r>
      <w:r>
        <w:rPr>
          <w:rStyle w:val="CharStyle3"/>
          <w:spacing w:val="2"/>
          <w:u w:val="single"/>
          <w:shd w:val="clear" w:color="auto" w:fill="000000"/>
        </w:rPr>
        <w:t>...............</w:t>
      </w:r>
      <w:r>
        <w:rPr>
          <w:rStyle w:val="CharStyle3"/>
          <w:color w:val="8DB7D7"/>
        </w:rPr>
        <w:t xml:space="preserve"> </w:t>
      </w:r>
      <w:r>
        <w:rPr>
          <w:rStyle w:val="CharStyle3"/>
          <w:b/>
          <w:bCs/>
        </w:rPr>
        <w:t xml:space="preserve">a </w:t>
      </w:r>
      <w:r>
        <w:rPr>
          <w:rStyle w:val="CharStyle3"/>
        </w:rPr>
        <w:t xml:space="preserve">musí obsahovat mimo jiné toto číslo veřejné zakázky: </w:t>
      </w:r>
      <w:r>
        <w:rPr>
          <w:rStyle w:val="CharStyle3"/>
          <w:b/>
          <w:bCs/>
        </w:rPr>
        <w:t xml:space="preserve">P23V00003478. </w:t>
      </w:r>
      <w:r>
        <w:rPr>
          <w:rStyle w:val="CharStyle3"/>
        </w:rPr>
        <w:t>Přílohou faktury bude kopie písemného předávacího protokolu podepsaného oběma stranami.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 xml:space="preserve">V případě dodání zboží podle čl. 1 písm. a) této smlouvy je pak s převodem tohoto zboží spojena záruka za jakost v trvání </w:t>
      </w:r>
      <w:r>
        <w:rPr>
          <w:rStyle w:val="CharStyle3"/>
          <w:b/>
          <w:bCs/>
        </w:rPr>
        <w:t xml:space="preserve">60 měsíců </w:t>
      </w:r>
      <w:r>
        <w:rPr>
          <w:rStyle w:val="CharStyle3"/>
        </w:rPr>
        <w:t xml:space="preserve">ode dne splnění závazku prodávajícího k dodání tohoto zboží. V případě dodání zboží podle čl. 1 písm. b) této smlouvy je pak s převodem tohoto zboží spojena záruka za jakost v trvání </w:t>
      </w:r>
      <w:r>
        <w:rPr>
          <w:rStyle w:val="CharStyle3"/>
          <w:b/>
          <w:bCs/>
        </w:rPr>
        <w:t xml:space="preserve">36 měsíců </w:t>
      </w:r>
      <w:r>
        <w:rPr>
          <w:rStyle w:val="CharStyle3"/>
        </w:rPr>
        <w:t>ode dne splnění závazku prodávajícího k dodání tohoto zboží. V rámci těchto záruk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60" w:line="293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či.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 w:line="295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0" w:right="0" w:firstLine="0"/>
        <w:jc w:val="both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/>
        <w:ind w:left="400" w:right="0" w:hanging="40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446" w:right="1261" w:bottom="1496" w:left="1529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97510" distB="8890" distL="0" distR="0" simplePos="0" relativeHeight="125829382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397510</wp:posOffset>
                </wp:positionV>
                <wp:extent cx="640080" cy="1460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2.450000000000003pt;margin-top:31.300000000000001pt;width:50.399999999999999pt;height:11.5pt;z-index:-125829371;mso-wrap-distance-left:0;mso-wrap-distance-top:31.30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0" distB="39370" distL="0" distR="0" simplePos="0" relativeHeight="125829384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254000</wp:posOffset>
                </wp:positionV>
                <wp:extent cx="478790" cy="25908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0" w:name="bookmark0"/>
                            <w:r>
                              <w:rPr>
                                <w:rStyle w:val="CharStyle6"/>
                                <w:i/>
                                <w:iCs/>
                              </w:rPr>
                              <w:t>MM.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8.84999999999999pt;margin-top:20.pt;width:37.700000000000003pt;height:20.400000000000002pt;z-index:-125829369;mso-wrap-distance-left:0;mso-wrap-distance-top:20.pt;mso-wrap-distance-right:0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0" w:name="bookmark0"/>
                      <w:r>
                        <w:rPr>
                          <w:rStyle w:val="CharStyle6"/>
                          <w:i/>
                          <w:iCs/>
                        </w:rPr>
                        <w:t>MM.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3225" distB="0" distL="0" distR="0" simplePos="0" relativeHeight="125829386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403225</wp:posOffset>
                </wp:positionV>
                <wp:extent cx="1298575" cy="1492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85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10/11/2023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5.15000000000003pt;margin-top:31.75pt;width:102.25pt;height:11.75pt;z-index:-125829367;mso-wrap-distance-left:0;mso-wrap-distance-top:31.7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10/11/2023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3" w:right="0" w:bottom="437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1065530</wp:posOffset>
            </wp:positionH>
            <wp:positionV relativeFrom="paragraph">
              <wp:posOffset>155575</wp:posOffset>
            </wp:positionV>
            <wp:extent cx="1743710" cy="579120"/>
            <wp:wrapSquare wrapText="bothSides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4371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63500" distR="63500" simplePos="0" relativeHeight="125829389" behindDoc="0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307975</wp:posOffset>
                </wp:positionV>
                <wp:extent cx="911225" cy="274320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7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7"/>
                                <w:spacing w:val="5"/>
                                <w:shd w:val="clear" w:color="auto" w:fill="000000"/>
                              </w:rPr>
                              <w:t>........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1.40000000000003pt;margin-top:24.25pt;width:71.75pt;height:21.600000000000001pt;z-index:-125829364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7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7"/>
                          <w:spacing w:val="5"/>
                          <w:shd w:val="clear" w:color="auto" w:fill="000000"/>
                        </w:rPr>
                        <w:t>........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822960</wp:posOffset>
                </wp:positionV>
                <wp:extent cx="1143000" cy="51181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Petr Maleňák Jednatel společnosti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5.15000000000003pt;margin-top:64.799999999999997pt;width:90.pt;height:40.300000000000004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Petr Maleňák Jednatel společnosti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166" w:lineRule="auto"/>
        <w:ind w:left="0" w:right="0" w:firstLine="0"/>
        <w:jc w:val="center"/>
        <w:rPr>
          <w:sz w:val="17"/>
          <w:szCs w:val="17"/>
        </w:rPr>
      </w:pPr>
      <w:r>
        <w:rPr>
          <w:rStyle w:val="CharStyle3"/>
          <w:b/>
          <w:bCs/>
          <w:spacing w:val="3"/>
          <w:sz w:val="20"/>
          <w:szCs w:val="20"/>
          <w:shd w:val="clear" w:color="auto" w:fill="000000"/>
        </w:rPr>
        <w:t>....</w:t>
      </w:r>
      <w:r>
        <w:rPr>
          <w:rStyle w:val="CharStyle3"/>
          <w:b/>
          <w:bCs/>
          <w:spacing w:val="4"/>
          <w:sz w:val="20"/>
          <w:szCs w:val="20"/>
          <w:shd w:val="clear" w:color="auto" w:fill="000000"/>
        </w:rPr>
        <w:t>..</w:t>
      </w:r>
      <w:r>
        <w:rPr>
          <w:rStyle w:val="CharStyle3"/>
          <w:b/>
          <w:bCs/>
          <w:sz w:val="20"/>
          <w:szCs w:val="20"/>
          <w:shd w:val="clear" w:color="auto" w:fill="000000"/>
        </w:rPr>
        <w:t>​</w:t>
      </w:r>
      <w:r>
        <w:rPr>
          <w:rStyle w:val="CharStyle3"/>
          <w:b/>
          <w:bCs/>
          <w:spacing w:val="1"/>
          <w:sz w:val="20"/>
          <w:szCs w:val="20"/>
          <w:shd w:val="clear" w:color="auto" w:fill="000000"/>
        </w:rPr>
        <w:t>........</w:t>
      </w:r>
      <w:r>
        <w:rPr>
          <w:rStyle w:val="CharStyle3"/>
          <w:sz w:val="17"/>
          <w:szCs w:val="17"/>
          <w:shd w:val="clear" w:color="auto" w:fill="000000"/>
          <w:vertAlign w:val="superscript"/>
        </w:rPr>
        <w:t>​</w:t>
      </w:r>
      <w:r>
        <w:rPr>
          <w:rStyle w:val="CharStyle3"/>
          <w:spacing w:val="10"/>
          <w:sz w:val="17"/>
          <w:szCs w:val="17"/>
          <w:shd w:val="clear" w:color="auto" w:fill="000000"/>
          <w:vertAlign w:val="superscript"/>
        </w:rPr>
        <w:t>..</w:t>
      </w:r>
      <w:r>
        <w:rPr>
          <w:rStyle w:val="CharStyle3"/>
          <w:spacing w:val="16"/>
          <w:sz w:val="17"/>
          <w:szCs w:val="17"/>
          <w:shd w:val="clear" w:color="auto" w:fill="000000"/>
        </w:rPr>
        <w:t>.</w:t>
      </w:r>
      <w:r>
        <w:rPr>
          <w:rStyle w:val="CharStyle3"/>
          <w:spacing w:val="17"/>
          <w:sz w:val="17"/>
          <w:szCs w:val="17"/>
          <w:shd w:val="clear" w:color="auto" w:fill="000000"/>
        </w:rPr>
        <w:t>.</w:t>
      </w:r>
      <w:r>
        <w:rPr>
          <w:rStyle w:val="CharStyle3"/>
          <w:spacing w:val="2"/>
          <w:sz w:val="17"/>
          <w:szCs w:val="17"/>
          <w:shd w:val="clear" w:color="auto" w:fill="000000"/>
          <w:vertAlign w:val="superscript"/>
        </w:rPr>
        <w:t>..</w:t>
      </w:r>
      <w:r>
        <w:rPr>
          <w:rStyle w:val="CharStyle3"/>
          <w:spacing w:val="3"/>
          <w:sz w:val="17"/>
          <w:szCs w:val="17"/>
          <w:shd w:val="clear" w:color="auto" w:fill="000000"/>
          <w:vertAlign w:val="superscript"/>
        </w:rPr>
        <w:t>......</w:t>
      </w:r>
      <w:r>
        <w:rPr>
          <w:rStyle w:val="CharStyle3"/>
          <w:spacing w:val="9"/>
          <w:sz w:val="17"/>
          <w:szCs w:val="17"/>
          <w:shd w:val="clear" w:color="auto" w:fill="000000"/>
        </w:rPr>
        <w:t>.</w:t>
      </w:r>
      <w:r>
        <w:rPr>
          <w:rStyle w:val="CharStyle3"/>
          <w:spacing w:val="10"/>
          <w:sz w:val="17"/>
          <w:szCs w:val="17"/>
          <w:shd w:val="clear" w:color="auto" w:fill="000000"/>
        </w:rPr>
        <w:t>.</w:t>
      </w:r>
      <w:r>
        <w:rPr>
          <w:rStyle w:val="CharStyle3"/>
          <w:sz w:val="17"/>
          <w:szCs w:val="17"/>
          <w:shd w:val="clear" w:color="auto" w:fill="000000"/>
        </w:rPr>
        <w:t>​</w:t>
      </w:r>
      <w:r>
        <w:rPr>
          <w:rStyle w:val="CharStyle3"/>
          <w:spacing w:val="21"/>
          <w:sz w:val="17"/>
          <w:szCs w:val="17"/>
          <w:shd w:val="clear" w:color="auto" w:fill="000000"/>
        </w:rPr>
        <w:t>.</w:t>
      </w:r>
      <w:r>
        <w:rPr>
          <w:rStyle w:val="CharStyle3"/>
          <w:sz w:val="17"/>
          <w:szCs w:val="17"/>
          <w:shd w:val="clear" w:color="auto" w:fill="000000"/>
          <w:vertAlign w:val="superscript"/>
        </w:rPr>
        <w:t>..</w:t>
      </w:r>
      <w:r>
        <w:rPr>
          <w:rStyle w:val="CharStyle3"/>
          <w:spacing w:val="1"/>
          <w:sz w:val="17"/>
          <w:szCs w:val="17"/>
          <w:shd w:val="clear" w:color="auto" w:fill="000000"/>
          <w:vertAlign w:val="superscript"/>
        </w:rPr>
        <w:t>..</w:t>
      </w:r>
      <w:r>
        <w:rPr>
          <w:rStyle w:val="CharStyle3"/>
          <w:spacing w:val="9"/>
          <w:sz w:val="17"/>
          <w:szCs w:val="17"/>
          <w:shd w:val="clear" w:color="auto" w:fill="000000"/>
        </w:rPr>
        <w:t>.</w:t>
      </w:r>
      <w:r>
        <w:rPr>
          <w:rStyle w:val="CharStyle3"/>
          <w:spacing w:val="10"/>
          <w:sz w:val="17"/>
          <w:szCs w:val="17"/>
          <w:shd w:val="clear" w:color="auto" w:fill="000000"/>
        </w:rPr>
        <w:t>.</w:t>
      </w:r>
      <w:r>
        <w:rPr>
          <w:rStyle w:val="CharStyle3"/>
          <w:spacing w:val="6"/>
          <w:sz w:val="17"/>
          <w:szCs w:val="17"/>
          <w:shd w:val="clear" w:color="auto" w:fill="000000"/>
          <w:vertAlign w:val="superscript"/>
        </w:rPr>
        <w:t>...</w:t>
      </w:r>
      <w:r>
        <w:rPr>
          <w:rStyle w:val="CharStyle3"/>
          <w:spacing w:val="7"/>
          <w:sz w:val="17"/>
          <w:szCs w:val="17"/>
          <w:shd w:val="clear" w:color="auto" w:fill="000000"/>
          <w:vertAlign w:val="superscript"/>
        </w:rPr>
        <w:t>.</w:t>
      </w:r>
      <w:r>
        <w:rPr>
          <w:rStyle w:val="CharStyle3"/>
          <w:sz w:val="17"/>
          <w:szCs w:val="17"/>
          <w:vertAlign w:val="superscript"/>
        </w:rPr>
        <w:br/>
      </w:r>
      <w:r>
        <w:rPr>
          <w:rStyle w:val="CharStyle3"/>
          <w:b/>
          <w:bCs/>
          <w:sz w:val="20"/>
          <w:szCs w:val="20"/>
          <w:shd w:val="clear" w:color="auto" w:fill="000000"/>
        </w:rPr>
        <w:t>​</w:t>
      </w:r>
      <w:r>
        <w:rPr>
          <w:rStyle w:val="CharStyle3"/>
          <w:b/>
          <w:bCs/>
          <w:spacing w:val="4"/>
          <w:sz w:val="20"/>
          <w:szCs w:val="20"/>
          <w:shd w:val="clear" w:color="auto" w:fill="000000"/>
        </w:rPr>
        <w:t>.</w:t>
      </w:r>
      <w:r>
        <w:rPr>
          <w:rStyle w:val="CharStyle3"/>
          <w:b/>
          <w:bCs/>
          <w:spacing w:val="5"/>
          <w:sz w:val="20"/>
          <w:szCs w:val="20"/>
          <w:shd w:val="clear" w:color="auto" w:fill="000000"/>
        </w:rPr>
        <w:t>...</w:t>
      </w:r>
      <w:r>
        <w:rPr>
          <w:rStyle w:val="CharStyle3"/>
          <w:b/>
          <w:bCs/>
          <w:sz w:val="20"/>
          <w:szCs w:val="20"/>
          <w:shd w:val="clear" w:color="auto" w:fill="000000"/>
        </w:rPr>
        <w:t>​</w:t>
      </w:r>
      <w:r>
        <w:rPr>
          <w:rStyle w:val="CharStyle3"/>
          <w:b/>
          <w:bCs/>
          <w:spacing w:val="4"/>
          <w:sz w:val="20"/>
          <w:szCs w:val="20"/>
          <w:shd w:val="clear" w:color="auto" w:fill="000000"/>
        </w:rPr>
        <w:t>.....</w:t>
      </w:r>
      <w:r>
        <w:rPr>
          <w:rStyle w:val="CharStyle3"/>
          <w:b/>
          <w:bCs/>
          <w:spacing w:val="5"/>
          <w:sz w:val="20"/>
          <w:szCs w:val="20"/>
          <w:shd w:val="clear" w:color="auto" w:fill="000000"/>
        </w:rPr>
        <w:t>..</w:t>
      </w:r>
      <w:r>
        <w:rPr>
          <w:rStyle w:val="CharStyle3"/>
          <w:sz w:val="17"/>
          <w:szCs w:val="17"/>
          <w:shd w:val="clear" w:color="auto" w:fill="000000"/>
        </w:rPr>
        <w:t>​</w:t>
      </w:r>
      <w:r>
        <w:rPr>
          <w:rStyle w:val="CharStyle3"/>
          <w:spacing w:val="6"/>
          <w:sz w:val="17"/>
          <w:szCs w:val="17"/>
          <w:shd w:val="clear" w:color="auto" w:fill="000000"/>
        </w:rPr>
        <w:t>..</w:t>
      </w:r>
      <w:r>
        <w:rPr>
          <w:rStyle w:val="CharStyle3"/>
          <w:spacing w:val="7"/>
          <w:sz w:val="17"/>
          <w:szCs w:val="17"/>
          <w:shd w:val="clear" w:color="auto" w:fill="000000"/>
        </w:rPr>
        <w:t>....</w:t>
      </w:r>
      <w:r>
        <w:rPr>
          <w:rStyle w:val="CharStyle3"/>
          <w:sz w:val="17"/>
          <w:szCs w:val="17"/>
          <w:shd w:val="clear" w:color="auto" w:fill="000000"/>
        </w:rPr>
        <w:t>​</w:t>
      </w:r>
      <w:r>
        <w:rPr>
          <w:rStyle w:val="CharStyle3"/>
          <w:spacing w:val="4"/>
          <w:sz w:val="17"/>
          <w:szCs w:val="17"/>
          <w:shd w:val="clear" w:color="auto" w:fill="000000"/>
        </w:rPr>
        <w:t>.....</w:t>
      </w:r>
      <w:r>
        <w:rPr>
          <w:rStyle w:val="CharStyle3"/>
          <w:spacing w:val="5"/>
          <w:sz w:val="17"/>
          <w:szCs w:val="17"/>
          <w:shd w:val="clear" w:color="auto" w:fill="000000"/>
        </w:rPr>
        <w:t>..</w:t>
      </w:r>
      <w:r>
        <w:rPr>
          <w:rStyle w:val="CharStyle3"/>
          <w:sz w:val="17"/>
          <w:szCs w:val="17"/>
          <w:shd w:val="clear" w:color="auto" w:fill="000000"/>
        </w:rPr>
        <w:t>​</w:t>
      </w:r>
      <w:r>
        <w:rPr>
          <w:rStyle w:val="CharStyle3"/>
          <w:spacing w:val="2"/>
          <w:sz w:val="17"/>
          <w:szCs w:val="17"/>
          <w:shd w:val="clear" w:color="auto" w:fill="000000"/>
        </w:rPr>
        <w:t>.....</w:t>
      </w:r>
      <w:r>
        <w:rPr>
          <w:rStyle w:val="CharStyle3"/>
          <w:spacing w:val="3"/>
          <w:sz w:val="17"/>
          <w:szCs w:val="17"/>
          <w:shd w:val="clear" w:color="auto" w:fill="000000"/>
        </w:rPr>
        <w:t>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83" w:lineRule="auto"/>
        <w:ind w:left="0" w:right="0" w:firstLine="0"/>
        <w:jc w:val="left"/>
        <w:rPr>
          <w:sz w:val="17"/>
          <w:szCs w:val="17"/>
        </w:rPr>
      </w:pPr>
      <w:r>
        <w:rPr>
          <w:rStyle w:val="CharStyle3"/>
          <w:spacing w:val="2"/>
          <w:sz w:val="17"/>
          <w:szCs w:val="17"/>
          <w:shd w:val="clear" w:color="auto" w:fill="000000"/>
        </w:rPr>
        <w:t>....</w:t>
      </w:r>
      <w:r>
        <w:rPr>
          <w:rStyle w:val="CharStyle3"/>
          <w:spacing w:val="3"/>
          <w:sz w:val="17"/>
          <w:szCs w:val="17"/>
          <w:shd w:val="clear" w:color="auto" w:fill="000000"/>
        </w:rPr>
        <w:t>........</w:t>
      </w:r>
      <w:r>
        <w:rPr>
          <w:rStyle w:val="CharStyle3"/>
          <w:sz w:val="17"/>
          <w:szCs w:val="17"/>
          <w:shd w:val="clear" w:color="auto" w:fill="000000"/>
        </w:rPr>
        <w:t>​</w:t>
      </w:r>
      <w:r>
        <w:rPr>
          <w:rStyle w:val="CharStyle3"/>
          <w:spacing w:val="2"/>
          <w:sz w:val="17"/>
          <w:szCs w:val="17"/>
          <w:shd w:val="clear" w:color="auto" w:fill="000000"/>
        </w:rPr>
        <w:t>.........</w:t>
      </w:r>
      <w:r>
        <w:rPr>
          <w:rStyle w:val="CharStyle3"/>
          <w:spacing w:val="3"/>
          <w:sz w:val="17"/>
          <w:szCs w:val="17"/>
          <w:shd w:val="clear" w:color="auto" w:fill="000000"/>
        </w:rPr>
        <w:t>........</w:t>
      </w:r>
      <w:r>
        <w:rPr>
          <w:rStyle w:val="CharStyle3"/>
          <w:sz w:val="17"/>
          <w:szCs w:val="17"/>
        </w:rPr>
        <w:t xml:space="preserve"> </w:t>
      </w:r>
      <w:r>
        <w:rPr>
          <w:rStyle w:val="CharStyle3"/>
          <w:sz w:val="17"/>
          <w:szCs w:val="17"/>
          <w:shd w:val="clear" w:color="auto" w:fill="000000"/>
        </w:rPr>
        <w:t>​.........</w:t>
      </w:r>
      <w:r>
        <w:rPr>
          <w:rStyle w:val="CharStyle3"/>
          <w:spacing w:val="1"/>
          <w:sz w:val="17"/>
          <w:szCs w:val="17"/>
          <w:shd w:val="clear" w:color="auto" w:fill="000000"/>
        </w:rPr>
        <w:t>......</w:t>
      </w:r>
      <w:r>
        <w:rPr>
          <w:rStyle w:val="CharStyle3"/>
          <w:sz w:val="17"/>
          <w:szCs w:val="17"/>
          <w:shd w:val="clear" w:color="auto" w:fill="000000"/>
        </w:rPr>
        <w:t>​</w:t>
      </w:r>
      <w:r>
        <w:rPr>
          <w:rStyle w:val="CharStyle3"/>
          <w:spacing w:val="2"/>
          <w:sz w:val="17"/>
          <w:szCs w:val="17"/>
          <w:shd w:val="clear" w:color="auto" w:fill="000000"/>
        </w:rPr>
        <w:t>.......</w:t>
      </w:r>
      <w:r>
        <w:rPr>
          <w:rStyle w:val="CharStyle3"/>
          <w:spacing w:val="3"/>
          <w:sz w:val="17"/>
          <w:szCs w:val="17"/>
          <w:shd w:val="clear" w:color="auto" w:fill="000000"/>
        </w:rPr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3" w:right="1147" w:bottom="4372" w:left="161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 xml:space="preserve">MUDr. Hana Albrechtová ředitelka </w:t>
      </w:r>
      <w:r>
        <w:rPr>
          <w:rStyle w:val="CharStyle3"/>
          <w:b/>
          <w:bCs/>
          <w:i/>
          <w:iCs/>
        </w:rPr>
        <w:t>Kupující</w:t>
      </w:r>
    </w:p>
    <w:p>
      <w:pPr>
        <w:pStyle w:val="Style5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</w:pPr>
      <w:r>
        <w:rPr>
          <w:rStyle w:val="CharStyle60"/>
          <w:b/>
          <w:bCs/>
        </w:rPr>
        <w:t>Příloha č. 1 Technická specifikace</w:t>
      </w:r>
    </w:p>
    <w:p>
      <w:pPr>
        <w:pStyle w:val="Style5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  <w:rPr>
          <w:sz w:val="26"/>
          <w:szCs w:val="26"/>
        </w:rPr>
      </w:pPr>
      <w:r>
        <w:rPr>
          <w:rStyle w:val="CharStyle60"/>
          <w:rFonts w:ascii="Times New Roman" w:eastAsia="Times New Roman" w:hAnsi="Times New Roman" w:cs="Times New Roman"/>
          <w:b/>
          <w:bCs/>
          <w:sz w:val="26"/>
          <w:szCs w:val="26"/>
        </w:rPr>
        <w:t>a) Centrální switch L3</w:t>
      </w:r>
    </w:p>
    <w:tbl>
      <w:tblPr>
        <w:tblOverlap w:val="never"/>
        <w:jc w:val="center"/>
        <w:tblLayout w:type="fixed"/>
      </w:tblPr>
      <w:tblGrid>
        <w:gridCol w:w="754"/>
        <w:gridCol w:w="2078"/>
        <w:gridCol w:w="6298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Kód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položka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C9500-24Y4C-A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Catalyst 9500 24xl/10/25G and 4-port 40/100G, Advantage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CON-SNT-C95024YA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SNTC-8X5XNBD Catalyst 9500 24-port 25/100G only, Adva 60 month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C9500-DNA-L-A-3Y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Cisco Catalyst 9500 DNA Advantage 3 Year License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C9K-PWR-650WAC- R=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650W AC Config 4 Power Supply front to back cooling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QSFP-100G-CU3M=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100GBASE-CR4 Passive Copper Cable, 3m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SFP-10G-SR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10GBASE-SR SFP Module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SFP-25G-SR-S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25GBASE-SR SFP28 Module for MMF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SFP-H10GB-CU3M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10GBASE-CU SFP+ Cable 3 Meter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SFP-10G-T-X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10GBASE-T SFP+ transceiver module for Category 6A cables</w:t>
            </w:r>
          </w:p>
        </w:tc>
      </w:tr>
    </w:tbl>
    <w:p>
      <w:pPr>
        <w:widowControl w:val="0"/>
        <w:spacing w:line="1" w:lineRule="exact"/>
      </w:pPr>
    </w:p>
    <w:p>
      <w:pPr>
        <w:pStyle w:val="Style59"/>
        <w:keepNext w:val="0"/>
        <w:keepLines w:val="0"/>
        <w:widowControl w:val="0"/>
        <w:shd w:val="clear" w:color="auto" w:fill="auto"/>
        <w:bidi w:val="0"/>
        <w:spacing w:before="0" w:after="0"/>
        <w:ind w:left="62" w:right="0" w:firstLine="0"/>
        <w:jc w:val="left"/>
        <w:rPr>
          <w:sz w:val="26"/>
          <w:szCs w:val="26"/>
        </w:rPr>
      </w:pPr>
      <w:r>
        <w:rPr>
          <w:rStyle w:val="CharStyle60"/>
        </w:rPr>
        <w:t xml:space="preserve">(Prod. n.: C9500-24Y4C-A) </w:t>
      </w:r>
      <w:r>
        <w:rPr>
          <w:rStyle w:val="CharStyle60"/>
          <w:rFonts w:ascii="Times New Roman" w:eastAsia="Times New Roman" w:hAnsi="Times New Roman" w:cs="Times New Roman"/>
          <w:b/>
          <w:bCs/>
          <w:sz w:val="26"/>
          <w:szCs w:val="26"/>
        </w:rPr>
        <w:t>b) Centrální FireWall</w:t>
      </w:r>
    </w:p>
    <w:tbl>
      <w:tblPr>
        <w:tblOverlap w:val="never"/>
        <w:jc w:val="center"/>
        <w:tblLayout w:type="fixed"/>
      </w:tblPr>
      <w:tblGrid>
        <w:gridCol w:w="571"/>
        <w:gridCol w:w="1512"/>
        <w:gridCol w:w="6499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4"/>
                <w:b/>
                <w:bCs/>
                <w:sz w:val="20"/>
                <w:szCs w:val="2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4"/>
                <w:b/>
                <w:bCs/>
                <w:sz w:val="20"/>
                <w:szCs w:val="20"/>
              </w:rPr>
              <w:t>Part Name T</w:t>
            </w:r>
            <w:r>
              <w:rPr>
                <w:rStyle w:val="CharStyle64"/>
                <w:b/>
                <w:bCs/>
                <w:sz w:val="20"/>
                <w:szCs w:val="20"/>
                <w:vertAlign w:val="subscript"/>
              </w:rPr>
              <w:t>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tabs>
                <w:tab w:pos="2405" w:val="left"/>
                <w:tab w:pos="601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4"/>
                <w:b/>
                <w:bCs/>
                <w:sz w:val="20"/>
                <w:szCs w:val="20"/>
              </w:rPr>
              <w:t>DešMptiořf</w:t>
              <w:tab/>
            </w:r>
            <w:r>
              <w:rPr>
                <w:rStyle w:val="CharStyle64"/>
                <w:b/>
                <w:bCs/>
                <w:sz w:val="20"/>
                <w:szCs w:val="20"/>
                <w:vertAlign w:val="subscript"/>
              </w:rPr>
              <w:t>L</w:t>
            </w:r>
            <w:r>
              <w:rPr>
                <w:rStyle w:val="CharStyle64"/>
                <w:b/>
                <w:bCs/>
                <w:sz w:val="20"/>
                <w:szCs w:val="20"/>
              </w:rPr>
              <w:tab/>
              <w:t>* /’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PAN-PA-460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Palo Alto Networks PA-460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PAN-PA-460- BND- CORESEC-3YR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PA-460, Core Security Subscription Bundle (Advanced Threat Prevention, Advanced URL Filtering, Advanced Wildfire, DNS Security and SD-WAN ), 3 years (36 months) term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PAN-PWR- CORD-EU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Power cord for Continental Europe with IEC-60320 C13 and CEE 7/7 SCHUKO cord endslOA 250V max 6ft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PAN-SVC- BKLN-460-3YR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PA-460, Partner enabled prémium support, 3 years (36 months), term.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PAN-PA-400- RACKTRAY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Rack mountable tray for up to two PA-400s and 4 power adapters for a 4 post rack mount (PA-440/450/460 models only)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PAN-PWR- 50W-AC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50W AC power adapter for PA-440 PA-450 and PA-460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PAN-PA-460-</w:t>
            </w:r>
          </w:p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GP-3YR-HA2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PA-460, GlobalProtect subscription, for one (1) device in an HA pair, 3 years (36 months), prepaid.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(Proč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64"/>
                <w:sz w:val="19"/>
                <w:szCs w:val="19"/>
              </w:rPr>
              <w:t>L n.: PAN-PA-460)</w:t>
            </w:r>
          </w:p>
        </w:tc>
      </w:tr>
    </w:tbl>
    <w:p>
      <w:pPr>
        <w:pStyle w:val="Style59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43" w:right="0" w:firstLine="0"/>
        <w:jc w:val="left"/>
      </w:pPr>
      <w:r>
        <w:rPr>
          <w:rStyle w:val="CharStyle60"/>
        </w:rPr>
        <w:t>Součástí dodávky musí být instalace a konfigurace na místě včetně aktualizací všech firmware na poslední aktuální a stabilní verze a součinnost při zařazení do stávajícího prostředí.</w:t>
      </w:r>
    </w:p>
    <w:sectPr>
      <w:footerReference w:type="default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1583" w:right="1147" w:bottom="4372" w:left="1613" w:header="115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10201910</wp:posOffset>
              </wp:positionV>
              <wp:extent cx="154813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08_2023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7.400000000000006pt;margin-top:803.30000000000007pt;width:121.90000000000001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8"/>
                        <w:szCs w:val="18"/>
                      </w:rPr>
                      <w:t>08_2023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9924415</wp:posOffset>
              </wp:positionV>
              <wp:extent cx="54610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5.35000000000002pt;margin-top:781.45000000000005pt;width:4.2999999999999998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10183495</wp:posOffset>
              </wp:positionV>
              <wp:extent cx="1548130" cy="11874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08_2023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6.950000000000003pt;margin-top:801.85000000000002pt;width:121.90000000000001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8"/>
                        <w:szCs w:val="18"/>
                      </w:rPr>
                      <w:t>08_2023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10201910</wp:posOffset>
              </wp:positionV>
              <wp:extent cx="1548130" cy="12192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08_2023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7.400000000000006pt;margin-top:803.30000000000007pt;width:121.90000000000001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8"/>
                        <w:szCs w:val="18"/>
                      </w:rPr>
                      <w:t>08_2023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10201910</wp:posOffset>
              </wp:positionV>
              <wp:extent cx="1548130" cy="12192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08_2023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7.400000000000006pt;margin-top:803.30000000000007pt;width:121.90000000000001pt;height:9.5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8"/>
                        <w:szCs w:val="18"/>
                      </w:rPr>
                      <w:t>08_2023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Nadpis #2_"/>
    <w:basedOn w:val="DefaultParagraphFont"/>
    <w:link w:val="Style5"/>
    <w:rPr>
      <w:rFonts w:ascii="Arial" w:eastAsia="Arial" w:hAnsi="Arial" w:cs="Arial"/>
      <w:b w:val="0"/>
      <w:bCs w:val="0"/>
      <w:i/>
      <w:iCs/>
      <w:smallCaps w:val="0"/>
      <w:strike w:val="0"/>
      <w:color w:val="47478F"/>
      <w:sz w:val="34"/>
      <w:szCs w:val="34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Nadpis #3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37">
    <w:name w:val="Základní text (3)_"/>
    <w:basedOn w:val="DefaultParagraphFont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60">
    <w:name w:val="Titulek tabulky_"/>
    <w:basedOn w:val="DefaultParagraphFont"/>
    <w:link w:val="Style5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4">
    <w:name w:val="Jiné_"/>
    <w:basedOn w:val="DefaultParagraphFont"/>
    <w:link w:val="Style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47478F"/>
      <w:sz w:val="34"/>
      <w:szCs w:val="34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10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after="32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auto"/>
      <w:spacing w:after="24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36">
    <w:name w:val="Základní text (3)"/>
    <w:basedOn w:val="Normal"/>
    <w:link w:val="CharStyle37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59">
    <w:name w:val="Titulek tabulky"/>
    <w:basedOn w:val="Normal"/>
    <w:link w:val="CharStyle60"/>
    <w:pPr>
      <w:widowControl w:val="0"/>
      <w:shd w:val="clear" w:color="auto" w:fill="auto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3">
    <w:name w:val="Jiné"/>
    <w:basedOn w:val="Normal"/>
    <w:link w:val="CharStyle64"/>
    <w:pPr>
      <w:widowControl w:val="0"/>
      <w:shd w:val="clear" w:color="auto" w:fill="auto"/>
      <w:spacing w:after="240"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