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9416"/>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211080029416</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4" w:space="0" w:color="auto"/>
              <w:bottom w:val="single" w:sz="4"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5BCF4F06" w:rsidR="008D3EF2" w:rsidRPr="00C75D3B" w:rsidRDefault="00804C4F"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4E8DF222" w:rsidR="008D3EF2" w:rsidRPr="00C75D3B" w:rsidRDefault="00804C4F"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Hlučín, spol. s 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Hlučín, spol. s 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Čs.armády 1263 / 32, 748 01 Hlučín"/>
                  </w:textInput>
                </w:ffData>
              </w:fldChar>
            </w:r>
            <w:r>
              <w:rPr>
                <w:rFonts w:cs="Arial"/>
              </w:rPr>
              <w:instrText xml:space="preserve"> FORMTEXT </w:instrText>
            </w:r>
            <w:r>
              <w:rPr>
                <w:rFonts w:cs="Arial"/>
              </w:rPr>
            </w:r>
            <w:r>
              <w:rPr>
                <w:rFonts w:cs="Arial"/>
              </w:rPr>
              <w:fldChar w:fldCharType="separate"/>
            </w:r>
            <w:r>
              <w:rPr>
                <w:rFonts w:cs="Arial"/>
                <w:noProof/>
              </w:rPr>
              <w:t>Čs.armády 1263 / 32, 748 01 Hlučín</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362747"/>
                  </w:textInput>
                </w:ffData>
              </w:fldChar>
            </w:r>
            <w:r>
              <w:rPr>
                <w:rFonts w:cs="Arial"/>
              </w:rPr>
              <w:instrText xml:space="preserve"> FORMTEXT </w:instrText>
            </w:r>
            <w:r>
              <w:rPr>
                <w:rFonts w:cs="Arial"/>
              </w:rPr>
            </w:r>
            <w:r>
              <w:rPr>
                <w:rFonts w:cs="Arial"/>
              </w:rPr>
              <w:fldChar w:fldCharType="separate"/>
            </w:r>
            <w:r>
              <w:rPr>
                <w:rFonts w:cs="Arial"/>
                <w:noProof/>
              </w:rPr>
              <w:t>25362747</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362747"/>
                  </w:textInput>
                </w:ffData>
              </w:fldChar>
            </w:r>
            <w:r>
              <w:rPr>
                <w:rFonts w:cs="Arial"/>
              </w:rPr>
              <w:instrText xml:space="preserve"> FORMTEXT </w:instrText>
            </w:r>
            <w:r>
              <w:rPr>
                <w:rFonts w:cs="Arial"/>
              </w:rPr>
            </w:r>
            <w:r>
              <w:rPr>
                <w:rFonts w:cs="Arial"/>
              </w:rPr>
              <w:fldChar w:fldCharType="separate"/>
            </w:r>
            <w:r>
              <w:rPr>
                <w:rFonts w:cs="Arial"/>
                <w:noProof/>
              </w:rPr>
              <w:t>CZ25362747</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15145"/>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15145</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19-0730770277/0100"/>
                  </w:textInput>
                </w:ffData>
              </w:fldChar>
            </w:r>
            <w:r>
              <w:rPr>
                <w:rFonts w:cs="Arial"/>
              </w:rPr>
              <w:instrText xml:space="preserve"> FORMTEXT </w:instrText>
            </w:r>
            <w:r>
              <w:rPr>
                <w:rFonts w:cs="Arial"/>
              </w:rPr>
            </w:r>
            <w:r>
              <w:rPr>
                <w:rFonts w:cs="Arial"/>
              </w:rPr>
              <w:fldChar w:fldCharType="separate"/>
            </w:r>
            <w:r>
              <w:rPr>
                <w:rFonts w:cs="Arial"/>
                <w:noProof/>
              </w:rPr>
              <w:t>000019-0730770277/0100</w:t>
            </w:r>
            <w:r>
              <w:rPr>
                <w:rFonts w:cs="Arial"/>
              </w:rPr>
              <w:fldChar w:fldCharType="end"/>
            </w:r>
          </w:p>
        </w:tc>
      </w:tr>
      <w:tr w:rsidR="008D3EF2" w:rsidRPr="00C75D3B" w14:paraId="38311822"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4" w:space="0" w:color="auto"/>
              <w:bottom w:val="single" w:sz="4"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sidR="00804C4F">
              <w:rPr>
                <w:rFonts w:cs="Arial"/>
              </w:rPr>
            </w:r>
            <w:r w:rsidR="00804C4F">
              <w:rPr>
                <w:rFonts w:cs="Arial"/>
              </w:rPr>
              <w:fldChar w:fldCharType="separate"/>
            </w:r>
            <w:r>
              <w:rPr>
                <w:rFonts w:cs="Arial"/>
              </w:rPr>
              <w:fldChar w:fldCharType="end"/>
            </w:r>
          </w:p>
        </w:tc>
        <w:tc>
          <w:tcPr>
            <w:tcW w:w="993" w:type="dxa"/>
            <w:tcBorders>
              <w:top w:val="single" w:sz="4" w:space="0" w:color="auto"/>
              <w:bottom w:val="single" w:sz="4"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4" w:space="0" w:color="auto"/>
              <w:bottom w:val="single" w:sz="4"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ffData>
              </w:fldChar>
            </w:r>
            <w:r>
              <w:rPr>
                <w:rFonts w:cs="Arial"/>
              </w:rPr>
              <w:instrText xml:space="preserve"> FORMTEXT </w:instrText>
            </w:r>
            <w:r w:rsidR="00804C4F">
              <w:rPr>
                <w:rFonts w:cs="Arial"/>
              </w:rPr>
            </w:r>
            <w:r w:rsidR="00804C4F">
              <w:rPr>
                <w:rFonts w:cs="Arial"/>
              </w:rPr>
              <w:fldChar w:fldCharType="separate"/>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Ing. Petr Rončka,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Petr Rončka,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64FECD7C" w14:textId="2480E728" w:rsidR="00C62565" w:rsidRPr="008A05C8" w:rsidRDefault="00804C4F" w:rsidP="00804C4F">
      <w:pPr>
        <w:pStyle w:val="3"/>
        <w:numPr>
          <w:ilvl w:val="0"/>
          <w:numId w:val="2"/>
        </w:numPr>
        <w:tabs>
          <w:tab w:val="clear" w:pos="425"/>
        </w:tabs>
        <w:jc w:val="left"/>
        <w:rPr>
          <w:rFonts w:asciiTheme="minorHAnsi" w:hAnsiTheme="minorHAnsi"/>
          <w:sz w:val="17"/>
          <w:szCs w:val="22"/>
        </w:rPr>
      </w:pPr>
      <w:r>
        <w:rPr>
          <w:rFonts w:asciiTheme="minorHAnsi" w:hAnsiTheme="minorHAnsi"/>
          <w:sz w:val="17"/>
          <w:szCs w:val="22"/>
        </w:rPr>
        <w:t xml:space="preserve"> xxx</w:t>
      </w:r>
    </w:p>
    <w:p w14:paraId="3BC46DA3" w14:textId="47A51A8A"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2"/>
      <w:r w:rsidRPr="00772C49">
        <w:rPr>
          <w:rFonts w:asciiTheme="minorHAnsi" w:hAnsiTheme="minorHAnsi"/>
          <w:sz w:val="17"/>
          <w:szCs w:val="22"/>
        </w:rPr>
        <w:t>.</w:t>
      </w:r>
    </w:p>
    <w:p w14:paraId="23F80404" w14:textId="77777777" w:rsidR="00804C4F" w:rsidRDefault="00804C4F" w:rsidP="00804C4F">
      <w:pPr>
        <w:pStyle w:val="3"/>
        <w:tabs>
          <w:tab w:val="clear" w:pos="425"/>
        </w:tabs>
        <w:spacing w:after="120"/>
        <w:ind w:left="283"/>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5CC589AC" w14:textId="452972DF" w:rsidR="005E118C" w:rsidRPr="007129B4" w:rsidRDefault="00804C4F" w:rsidP="00804C4F">
      <w:pPr>
        <w:pStyle w:val="4"/>
        <w:numPr>
          <w:ilvl w:val="0"/>
          <w:numId w:val="10"/>
        </w:numPr>
        <w:jc w:val="left"/>
        <w:rPr>
          <w:rFonts w:asciiTheme="minorHAnsi" w:hAnsiTheme="minorHAnsi"/>
          <w:sz w:val="17"/>
          <w:szCs w:val="22"/>
        </w:rPr>
      </w:pPr>
      <w:r>
        <w:rPr>
          <w:rFonts w:asciiTheme="minorHAnsi" w:hAnsiTheme="minorHAnsi"/>
          <w:sz w:val="17"/>
          <w:szCs w:val="22"/>
        </w:rPr>
        <w:t>xxx</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387FDAC2" w14:textId="354813A0" w:rsidR="005E118C" w:rsidRPr="00876255" w:rsidRDefault="005E118C" w:rsidP="00E72CAC">
      <w:pPr>
        <w:pStyle w:val="3"/>
        <w:numPr>
          <w:ilvl w:val="0"/>
          <w:numId w:val="10"/>
        </w:numPr>
        <w:tabs>
          <w:tab w:val="clear" w:pos="425"/>
        </w:tabs>
        <w:ind w:left="283" w:hanging="198"/>
        <w:jc w:val="left"/>
        <w:rPr>
          <w:rFonts w:asciiTheme="minorHAnsi" w:hAnsiTheme="minorHAnsi"/>
          <w:sz w:val="17"/>
          <w:szCs w:val="22"/>
        </w:rPr>
      </w:pPr>
      <w:r w:rsidRPr="00876255">
        <w:rPr>
          <w:rFonts w:asciiTheme="minorHAnsi" w:hAnsiTheme="minorHAnsi"/>
          <w:sz w:val="17"/>
          <w:szCs w:val="22"/>
        </w:rPr>
        <w:t xml:space="preserve">Zákazník podpisem této </w:t>
      </w:r>
      <w:r w:rsidR="00086D59">
        <w:rPr>
          <w:rFonts w:asciiTheme="minorHAnsi" w:hAnsiTheme="minorHAnsi"/>
          <w:sz w:val="17"/>
          <w:szCs w:val="22"/>
        </w:rPr>
        <w:t xml:space="preserve">Smlouvy </w:t>
      </w:r>
      <w:r w:rsidRPr="00876255">
        <w:rPr>
          <w:rFonts w:asciiTheme="minorHAnsi" w:hAnsiTheme="minorHAnsi"/>
          <w:sz w:val="17"/>
          <w:szCs w:val="22"/>
        </w:rPr>
        <w:t>potvrzuje, že na OM VOSO, kde není sjednána tolerance odběru:</w:t>
      </w:r>
    </w:p>
    <w:p w14:paraId="1BF81E18" w14:textId="299C55B9" w:rsidR="005E118C" w:rsidRPr="00876255" w:rsidRDefault="005E118C" w:rsidP="00F2032F">
      <w:pPr>
        <w:pStyle w:val="4"/>
        <w:numPr>
          <w:ilvl w:val="0"/>
          <w:numId w:val="31"/>
        </w:numPr>
        <w:ind w:left="454" w:hanging="170"/>
        <w:jc w:val="left"/>
        <w:rPr>
          <w:rFonts w:asciiTheme="minorHAnsi" w:hAnsiTheme="minorHAnsi"/>
          <w:sz w:val="17"/>
          <w:szCs w:val="22"/>
        </w:rPr>
      </w:pPr>
      <w:r w:rsidRPr="00876255">
        <w:rPr>
          <w:rFonts w:asciiTheme="minorHAnsi" w:hAnsiTheme="minorHAnsi"/>
          <w:sz w:val="17"/>
          <w:szCs w:val="22"/>
        </w:rPr>
        <w:t>nevyužívá jiné (alternativní) palivo než zemní plyn</w:t>
      </w:r>
      <w:r w:rsidR="00F2032F">
        <w:rPr>
          <w:rFonts w:asciiTheme="minorHAnsi" w:hAnsiTheme="minorHAnsi"/>
          <w:sz w:val="17"/>
          <w:szCs w:val="22"/>
        </w:rPr>
        <w:t>;</w:t>
      </w:r>
      <w:r w:rsidRPr="00876255">
        <w:rPr>
          <w:rFonts w:asciiTheme="minorHAnsi" w:hAnsiTheme="minorHAnsi"/>
          <w:sz w:val="17"/>
          <w:szCs w:val="22"/>
        </w:rPr>
        <w:t xml:space="preserve"> </w:t>
      </w:r>
    </w:p>
    <w:p w14:paraId="18A73B7D" w14:textId="033B4526" w:rsidR="005E118C" w:rsidRPr="00876255" w:rsidRDefault="005E118C" w:rsidP="00F2032F">
      <w:pPr>
        <w:pStyle w:val="4"/>
        <w:numPr>
          <w:ilvl w:val="0"/>
          <w:numId w:val="31"/>
        </w:numPr>
        <w:ind w:left="454" w:hanging="170"/>
        <w:jc w:val="left"/>
        <w:rPr>
          <w:rFonts w:asciiTheme="minorHAnsi" w:hAnsiTheme="minorHAnsi"/>
          <w:sz w:val="17"/>
          <w:szCs w:val="22"/>
        </w:rPr>
      </w:pPr>
      <w:r w:rsidRPr="00876255">
        <w:rPr>
          <w:rFonts w:asciiTheme="minorHAnsi" w:hAnsiTheme="minorHAnsi"/>
          <w:sz w:val="17"/>
          <w:szCs w:val="22"/>
        </w:rPr>
        <w:t>nemá sjednanou souběžnou dodávku.</w:t>
      </w:r>
    </w:p>
    <w:p w14:paraId="62A1E9CC" w14:textId="30F991B8" w:rsidR="005E118C" w:rsidRPr="00876255" w:rsidRDefault="005E118C" w:rsidP="00F2032F">
      <w:pPr>
        <w:pStyle w:val="3"/>
        <w:tabs>
          <w:tab w:val="clear" w:pos="425"/>
        </w:tabs>
        <w:jc w:val="left"/>
        <w:rPr>
          <w:rFonts w:asciiTheme="minorHAnsi" w:hAnsiTheme="minorHAnsi"/>
          <w:sz w:val="17"/>
          <w:szCs w:val="22"/>
        </w:rPr>
      </w:pPr>
      <w:r w:rsidRPr="00876255">
        <w:rPr>
          <w:rFonts w:asciiTheme="minorHAnsi" w:hAnsiTheme="minorHAnsi"/>
          <w:sz w:val="17"/>
          <w:szCs w:val="22"/>
        </w:rPr>
        <w:t>OM VOSO, uvedená v</w:t>
      </w:r>
      <w:r w:rsidR="00086D59">
        <w:rPr>
          <w:rFonts w:asciiTheme="minorHAnsi" w:hAnsiTheme="minorHAnsi"/>
          <w:sz w:val="17"/>
          <w:szCs w:val="22"/>
        </w:rPr>
        <w:t>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Pr="00876255">
        <w:rPr>
          <w:rFonts w:asciiTheme="minorHAnsi" w:hAnsiTheme="minorHAnsi"/>
          <w:sz w:val="17"/>
          <w:szCs w:val="22"/>
        </w:rPr>
        <w:t xml:space="preserve"> této Smlouvy, u kterých není sjednána tolerance odběru, se pro tyto účely považují za OM VOSO s neomezenou tolerancí (plnou flexibilitou) odběru.</w:t>
      </w:r>
    </w:p>
    <w:p w14:paraId="78932A92" w14:textId="70FFB0CD" w:rsidR="005E118C" w:rsidRPr="00876255" w:rsidRDefault="005E118C" w:rsidP="00E72CAC">
      <w:pPr>
        <w:pStyle w:val="3"/>
        <w:numPr>
          <w:ilvl w:val="0"/>
          <w:numId w:val="10"/>
        </w:numPr>
        <w:tabs>
          <w:tab w:val="clear" w:pos="425"/>
        </w:tabs>
        <w:ind w:left="283" w:hanging="198"/>
        <w:jc w:val="left"/>
        <w:rPr>
          <w:rFonts w:asciiTheme="minorHAnsi" w:hAnsiTheme="minorHAnsi"/>
          <w:sz w:val="17"/>
          <w:szCs w:val="22"/>
        </w:rPr>
      </w:pPr>
      <w:r w:rsidRPr="00876255">
        <w:rPr>
          <w:rFonts w:asciiTheme="minorHAnsi" w:hAnsiTheme="minorHAnsi"/>
          <w:sz w:val="17"/>
          <w:szCs w:val="22"/>
        </w:rPr>
        <w:t xml:space="preserve">V případě, že se prokáže, že nejsou splněny podmínky stanovené v odst. 5.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876255">
        <w:rPr>
          <w:rFonts w:asciiTheme="minorHAnsi" w:hAnsiTheme="minorHAnsi"/>
          <w:sz w:val="17"/>
          <w:szCs w:val="22"/>
        </w:rPr>
        <w:t xml:space="preserve">, je Obchodník oprávněn Zákazníkovi jednostranně přidělit na OM VOSO standardní tolerance odběru. Standardními tolerancemi odběru se rozumí toleranční pásmo ±10% pro odběrná místa s charakterem odběru L a ±15% pro odběrná místa s charakterem odběru Z. </w:t>
      </w:r>
    </w:p>
    <w:p w14:paraId="40D51FB8" w14:textId="77777777" w:rsidR="005E118C" w:rsidRPr="00876255" w:rsidRDefault="005E118C" w:rsidP="005E118C">
      <w:pPr>
        <w:pStyle w:val="3"/>
        <w:tabs>
          <w:tab w:val="clear" w:pos="425"/>
        </w:tabs>
        <w:jc w:val="left"/>
        <w:rPr>
          <w:rFonts w:asciiTheme="minorHAnsi" w:hAnsiTheme="minorHAnsi"/>
          <w:sz w:val="17"/>
          <w:szCs w:val="22"/>
        </w:rPr>
      </w:pPr>
      <w:r w:rsidRPr="00876255">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r w:rsidRPr="00876255">
        <w:rPr>
          <w:rFonts w:asciiTheme="minorHAnsi" w:hAnsiTheme="minorHAnsi"/>
          <w:sz w:val="17"/>
          <w:szCs w:val="22"/>
        </w:rPr>
        <w:tab/>
      </w:r>
    </w:p>
    <w:p w14:paraId="4B2EB946" w14:textId="60B0DBA9" w:rsidR="005E118C" w:rsidRDefault="005E118C" w:rsidP="003862B0">
      <w:pPr>
        <w:pStyle w:val="3"/>
        <w:tabs>
          <w:tab w:val="clear" w:pos="425"/>
        </w:tabs>
        <w:jc w:val="left"/>
        <w:rPr>
          <w:rFonts w:asciiTheme="minorHAnsi" w:hAnsiTheme="minorHAnsi"/>
          <w:sz w:val="17"/>
          <w:szCs w:val="22"/>
        </w:rPr>
      </w:pPr>
      <w:r w:rsidRPr="00876255">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15509164" w14:textId="4253FA47" w:rsidR="00F2032F" w:rsidRPr="007454CA" w:rsidRDefault="007454CA" w:rsidP="007454CA">
      <w:pPr>
        <w:pStyle w:val="3"/>
        <w:tabs>
          <w:tab w:val="clear" w:pos="425"/>
        </w:tabs>
        <w:spacing w:before="0"/>
        <w:jc w:val="left"/>
        <w:rPr>
          <w:rFonts w:asciiTheme="minorHAnsi" w:hAnsiTheme="minorHAnsi"/>
          <w:sz w:val="2"/>
          <w:szCs w:val="2"/>
        </w:rPr>
      </w:pPr>
      <w:r w:rsidRPr="007454CA">
        <w:rPr>
          <w:rFonts w:asciiTheme="minorHAnsi" w:hAnsiTheme="minorHAnsi"/>
          <w:sz w:val="2"/>
          <w:szCs w:val="2"/>
        </w:rPr>
        <w:t xml:space="preserve"> </w:t>
      </w:r>
    </w:p>
    <w:p w14:paraId="4331A2CB" w14:textId="2A02D394" w:rsidR="00EF2917" w:rsidRPr="007454CA" w:rsidRDefault="00EF2917" w:rsidP="007454CA">
      <w:pPr>
        <w:spacing w:before="0"/>
        <w:ind w:left="0"/>
        <w:rPr>
          <w:rFonts w:cs="Arial"/>
          <w:sz w:val="2"/>
          <w:szCs w:val="2"/>
        </w:rPr>
      </w:pPr>
      <w:r w:rsidRPr="007454CA">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604B171A" w:rsidR="0039196B" w:rsidRPr="00E83FBB" w:rsidRDefault="00804C4F" w:rsidP="008861C0">
            <w:pPr>
              <w:pStyle w:val="TextlegendaCalibriBold"/>
              <w:jc w:val="center"/>
              <w:rPr>
                <w:rFonts w:cstheme="majorHAnsi"/>
                <w:b w:val="0"/>
                <w:bCs/>
                <w:color w:val="auto"/>
                <w:szCs w:val="17"/>
              </w:rPr>
            </w:pPr>
            <w:r>
              <w:rPr>
                <w:rFonts w:cstheme="majorHAnsi"/>
                <w:color w:val="auto"/>
                <w:szCs w:val="17"/>
              </w:rPr>
              <w:t>xxx</w:t>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do 630 MWh/rok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1"/>
        <w:gridCol w:w="1470"/>
        <w:gridCol w:w="806"/>
        <w:gridCol w:w="1270"/>
        <w:gridCol w:w="1280"/>
        <w:gridCol w:w="2554"/>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362747"/>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25362747</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Hlučín, spol. s 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Hlučín, spol. s r.o.</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15EFF102"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ekonom@teplohlucin.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ekonom@teplohlucin.cz</w:t>
            </w:r>
            <w:r w:rsidRPr="00B56B97">
              <w:rPr>
                <w:rFonts w:cs="Arial"/>
                <w:b/>
                <w:color w:val="auto"/>
                <w:szCs w:val="17"/>
              </w:rPr>
              <w:fldChar w:fldCharType="end"/>
            </w:r>
            <w:r w:rsidRPr="00B56B97">
              <w:rPr>
                <w:rFonts w:cs="Arial"/>
                <w:color w:val="auto"/>
                <w:szCs w:val="17"/>
              </w:rPr>
              <w:t xml:space="preserve"> </w:t>
            </w:r>
            <w:r w:rsidRPr="0002137D">
              <w:rPr>
                <w:rFonts w:cs="Arial"/>
                <w:color w:val="auto"/>
                <w:szCs w:val="17"/>
                <w:lang w:val="es-ES"/>
              </w:rPr>
              <w:t>[</w:t>
            </w:r>
            <w:r w:rsidRPr="00B56B97">
              <w:rPr>
                <w:rFonts w:cs="Arial"/>
                <w:b/>
                <w:color w:val="auto"/>
                <w:szCs w:val="17"/>
                <w:lang w:val="en-US"/>
              </w:rPr>
              <w:fldChar w:fldCharType="begin">
                <w:ffData>
                  <w:name w:val="Text731"/>
                  <w:enabled/>
                  <w:calcOnExit w:val="0"/>
                  <w:textInput>
                    <w:default w:val="Ing. Iva Téglašová"/>
                  </w:textInput>
                </w:ffData>
              </w:fldChar>
            </w:r>
            <w:r w:rsidRPr="0002137D">
              <w:rPr>
                <w:rFonts w:cs="Arial"/>
                <w:color w:val="auto"/>
                <w:szCs w:val="17"/>
                <w:lang w:val="es-E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02137D">
              <w:rPr>
                <w:rFonts w:cs="Arial"/>
                <w:noProof/>
                <w:color w:val="auto"/>
                <w:szCs w:val="17"/>
                <w:lang w:val="es-ES"/>
              </w:rPr>
              <w:t>Ing. Iva Téglašová</w:t>
            </w:r>
            <w:r w:rsidRPr="00B56B97">
              <w:rPr>
                <w:rFonts w:cs="Arial"/>
                <w:b/>
                <w:color w:val="auto"/>
                <w:szCs w:val="17"/>
                <w:lang w:val="en-US"/>
              </w:rPr>
              <w:fldChar w:fldCharType="end"/>
            </w:r>
            <w:r w:rsidRPr="0002137D">
              <w:rPr>
                <w:rFonts w:cs="Arial"/>
                <w:color w:val="auto"/>
                <w:szCs w:val="17"/>
                <w:lang w:val="es-ES"/>
              </w:rPr>
              <w:t>]</w:t>
            </w: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Čs.armády 1263 / 32"/>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Čs.armády 1263 / 32</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1D9CD171"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info@teplohlucin.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info@teplohlucin.cz</w:t>
            </w:r>
            <w:r w:rsidRPr="00B56B97">
              <w:rPr>
                <w:rFonts w:cs="Arial"/>
                <w:b/>
                <w:color w:val="auto"/>
                <w:szCs w:val="17"/>
              </w:rPr>
              <w:fldChar w:fldCharType="end"/>
            </w:r>
            <w:r w:rsidRPr="00B56B97">
              <w:rPr>
                <w:rFonts w:cs="Arial"/>
                <w:color w:val="auto"/>
                <w:szCs w:val="17"/>
              </w:rPr>
              <w:t xml:space="preserve"> </w:t>
            </w:r>
            <w:r w:rsidRPr="00B56B97">
              <w:rPr>
                <w:rFonts w:cs="Arial"/>
                <w:color w:val="auto"/>
                <w:szCs w:val="17"/>
                <w:lang w:val="en-US"/>
              </w:rPr>
              <w:t>[</w:t>
            </w:r>
            <w:r w:rsidRPr="00B56B97">
              <w:rPr>
                <w:rFonts w:cs="Arial"/>
                <w:b/>
                <w:color w:val="auto"/>
                <w:szCs w:val="17"/>
                <w:lang w:val="en-US"/>
              </w:rPr>
              <w:fldChar w:fldCharType="begin">
                <w:ffData>
                  <w:name w:val="Text731"/>
                  <w:enabled/>
                  <w:calcOnExit w:val="0"/>
                  <w:textInput>
                    <w:default w:val="info"/>
                  </w:textInput>
                </w:ffData>
              </w:fldChar>
            </w:r>
            <w:r w:rsidRPr="00B56B97">
              <w:rPr>
                <w:rFonts w:cs="Arial"/>
                <w:color w:val="auto"/>
                <w:szCs w:val="17"/>
                <w:lang w:val="en-U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B56B97">
              <w:rPr>
                <w:rFonts w:cs="Arial"/>
                <w:noProof/>
                <w:color w:val="auto"/>
                <w:szCs w:val="17"/>
                <w:lang w:val="en-US"/>
              </w:rPr>
              <w:t>info</w:t>
            </w:r>
            <w:r w:rsidRPr="00B56B97">
              <w:rPr>
                <w:rFonts w:cs="Arial"/>
                <w:b/>
                <w:color w:val="auto"/>
                <w:szCs w:val="17"/>
                <w:lang w:val="en-US"/>
              </w:rPr>
              <w:fldChar w:fldCharType="end"/>
            </w:r>
            <w:r w:rsidRPr="00B56B97">
              <w:rPr>
                <w:rFonts w:cs="Arial"/>
                <w:color w:val="auto"/>
                <w:szCs w:val="17"/>
                <w:lang w:val="en-US"/>
              </w:rPr>
              <w:t>]</w:t>
            </w: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48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748 01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Hlučín"/>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Hlučín</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729CF9A9"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37678B" w:rsidRPr="00C75D3B" w14:paraId="14B2BE43"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0"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19-0730770277/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000019-0730770277/0100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804C4F">
              <w:rPr>
                <w:rFonts w:cstheme="minorHAnsi"/>
                <w:szCs w:val="17"/>
              </w:rPr>
            </w:r>
            <w:r w:rsidR="00804C4F">
              <w:rPr>
                <w:rFonts w:cstheme="minorHAnsi"/>
                <w:szCs w:val="17"/>
              </w:rPr>
              <w:fldChar w:fldCharType="separate"/>
            </w:r>
            <w:r w:rsidRPr="007F43F0">
              <w:rPr>
                <w:rFonts w:cstheme="minorHAnsi"/>
                <w:szCs w:val="17"/>
              </w:rPr>
              <w:fldChar w:fldCharType="end"/>
            </w:r>
          </w:p>
        </w:tc>
        <w:tc>
          <w:tcPr>
            <w:tcW w:w="1250"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804C4F">
              <w:rPr>
                <w:rFonts w:cstheme="minorHAnsi"/>
                <w:szCs w:val="17"/>
              </w:rPr>
            </w:r>
            <w:r w:rsidR="00804C4F">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7"/>
        <w:gridCol w:w="1698"/>
        <w:gridCol w:w="425"/>
        <w:gridCol w:w="427"/>
        <w:gridCol w:w="5387"/>
        <w:gridCol w:w="1133"/>
      </w:tblGrid>
      <w:tr w:rsidR="002377C6" w:rsidRPr="005F3978" w14:paraId="5276479E" w14:textId="77777777" w:rsidTr="00AE4D49">
        <w:trPr>
          <w:cantSplit/>
          <w:trHeight w:val="340"/>
          <w:tblHeader/>
        </w:trPr>
        <w:tc>
          <w:tcPr>
            <w:tcW w:w="557" w:type="pct"/>
            <w:tcBorders>
              <w:bottom w:val="single" w:sz="2" w:space="0" w:color="auto"/>
            </w:tcBorders>
            <w:shd w:val="clear" w:color="auto" w:fill="E5E5E5" w:themeFill="accent1"/>
            <w:vAlign w:val="center"/>
          </w:tcPr>
          <w:p w14:paraId="44501BBE"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639" w:type="pct"/>
            <w:tcBorders>
              <w:bottom w:val="single" w:sz="2" w:space="0" w:color="auto"/>
            </w:tcBorders>
            <w:shd w:val="clear" w:color="auto" w:fill="E5E5E5" w:themeFill="accent1"/>
            <w:vAlign w:val="center"/>
          </w:tcPr>
          <w:p w14:paraId="53E6C367" w14:textId="56F69618" w:rsidR="002377C6" w:rsidRPr="005F3978" w:rsidRDefault="002377C6" w:rsidP="002377C6">
            <w:pPr>
              <w:pStyle w:val="TextlegendaCalibriBold"/>
              <w:rPr>
                <w:rFonts w:asciiTheme="minorHAnsi" w:hAnsiTheme="minorHAnsi" w:cstheme="minorHAnsi"/>
                <w:szCs w:val="17"/>
              </w:rPr>
            </w:pPr>
            <w:r w:rsidRPr="002377C6">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2377C6" w:rsidRPr="005F3978" w14:paraId="0EEE7A2C" w14:textId="77777777" w:rsidTr="00AE4D49">
        <w:trPr>
          <w:cantSplit/>
          <w:trHeight w:val="227"/>
        </w:trPr>
        <w:tc>
          <w:tcPr>
            <w:tcW w:w="557" w:type="pct"/>
            <w:tcBorders>
              <w:bottom w:val="single" w:sz="4" w:space="0" w:color="auto"/>
              <w:right w:val="single" w:sz="18" w:space="0" w:color="FFFFFF" w:themeColor="background1"/>
            </w:tcBorders>
            <w:shd w:val="clear" w:color="auto" w:fill="auto"/>
            <w:vAlign w:val="center"/>
          </w:tcPr>
          <w:p w14:paraId="2E8A9B90" w14:textId="77777777" w:rsidR="002377C6" w:rsidRPr="005F3978" w:rsidRDefault="002377C6" w:rsidP="00CF629D">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362747"/>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25362747</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77777777" w:rsidR="002377C6" w:rsidRPr="005F3978" w:rsidRDefault="002377C6" w:rsidP="00CF629D">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6370678"/>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27ZG700Z06370678</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21BA7208" w:rsidR="002377C6" w:rsidRPr="005F3978" w:rsidRDefault="002377C6" w:rsidP="00CF629D">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E50430B" w14:textId="459244E5" w:rsidR="002377C6" w:rsidRPr="005F3978" w:rsidRDefault="002377C6" w:rsidP="00CF629D">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63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3590F4E" w14:textId="1D1C907F" w:rsidR="002377C6" w:rsidRPr="005F3978" w:rsidRDefault="002377C6" w:rsidP="00CF629D">
            <w:pPr>
              <w:pStyle w:val="TexttabulkaCalibriLight"/>
              <w:spacing w:before="40" w:after="40"/>
              <w:rPr>
                <w:rFonts w:cs="Arial"/>
                <w:szCs w:val="17"/>
              </w:rPr>
            </w:pPr>
            <w:r w:rsidRPr="005F3978">
              <w:rPr>
                <w:rFonts w:cs="Arial"/>
                <w:szCs w:val="17"/>
              </w:rPr>
              <w:fldChar w:fldCharType="begin">
                <w:ffData>
                  <w:name w:val="Text527"/>
                  <w:enabled/>
                  <w:calcOnExit w:val="0"/>
                  <w:textInput>
                    <w:default w:val="č. parc. 730, Hlučín, 748 0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č. parc. 730, Hlučín, 748 01</w:t>
            </w:r>
            <w:r w:rsidRPr="005F3978">
              <w:rPr>
                <w:rFonts w:cs="Arial"/>
                <w:szCs w:val="17"/>
              </w:rPr>
              <w:fldChar w:fldCharType="end"/>
            </w:r>
          </w:p>
        </w:tc>
        <w:tc>
          <w:tcPr>
            <w:tcW w:w="555" w:type="pct"/>
            <w:tcBorders>
              <w:left w:val="single" w:sz="18" w:space="0" w:color="FFFFFF" w:themeColor="background1"/>
              <w:bottom w:val="single" w:sz="4" w:space="0" w:color="auto"/>
            </w:tcBorders>
            <w:shd w:val="clear" w:color="auto" w:fill="auto"/>
            <w:vAlign w:val="center"/>
          </w:tcPr>
          <w:p w14:paraId="6AAD2196" w14:textId="2563E6CD" w:rsidR="002377C6" w:rsidRPr="005F3978" w:rsidRDefault="002377C6" w:rsidP="00CF629D">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70"/>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70</w:t>
            </w:r>
            <w:r w:rsidRPr="005F3978">
              <w:rPr>
                <w:rFonts w:cs="Arial"/>
                <w:szCs w:val="17"/>
              </w:rPr>
              <w:fldChar w:fldCharType="end"/>
            </w:r>
          </w:p>
        </w:tc>
      </w:tr>
    </w:tbl>
    <w:p w14:paraId="1188D836" w14:textId="06460B1A"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Pr="0002137D">
        <w:rPr>
          <w:sz w:val="14"/>
          <w:szCs w:val="14"/>
        </w:rPr>
        <w:t>]</w:t>
      </w: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16E68A13"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62251BE" w14:textId="77777777" w:rsidTr="004667BE">
        <w:trPr>
          <w:cantSplit/>
          <w:trHeight w:val="340"/>
          <w:tblHeader/>
        </w:trPr>
        <w:tc>
          <w:tcPr>
            <w:tcW w:w="10206" w:type="dxa"/>
            <w:gridSpan w:val="3"/>
            <w:tcBorders>
              <w:bottom w:val="single" w:sz="4" w:space="0" w:color="auto"/>
            </w:tcBorders>
            <w:shd w:val="clear" w:color="auto" w:fill="E5E5E5"/>
            <w:vAlign w:val="center"/>
          </w:tcPr>
          <w:p w14:paraId="254BC070"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11ADEC5D"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DA6C3A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avel Kulhavý, vedoucí tep. hospodářstv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Pavel Kulhavý, vedoucí tep. hospodářství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748 01</w:t>
            </w:r>
            <w:r w:rsidRPr="00F02435">
              <w:rPr>
                <w:rFonts w:cstheme="minorHAnsi"/>
                <w:szCs w:val="17"/>
              </w:rPr>
              <w:fldChar w:fldCharType="end"/>
            </w:r>
          </w:p>
        </w:tc>
      </w:tr>
      <w:tr w:rsidR="00F02435" w:rsidRPr="00F02435" w14:paraId="273734D5"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85172D1"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+420 602 729 715</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7AE9D42"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vedouci.th@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vedouci.th@teplohlucin.cz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0D3C4F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+420 595 020 504</w:t>
            </w:r>
            <w:r w:rsidRPr="00F02435">
              <w:rPr>
                <w:rFonts w:cstheme="minorHAnsi"/>
                <w:szCs w:val="17"/>
              </w:rPr>
              <w:fldChar w:fldCharType="end"/>
            </w:r>
          </w:p>
        </w:tc>
      </w:tr>
    </w:tbl>
    <w:p w14:paraId="0BF29CB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4722AE1A" w14:textId="77777777" w:rsidTr="004667BE">
        <w:trPr>
          <w:cantSplit/>
          <w:trHeight w:val="340"/>
          <w:tblHeader/>
        </w:trPr>
        <w:tc>
          <w:tcPr>
            <w:tcW w:w="10206" w:type="dxa"/>
            <w:gridSpan w:val="3"/>
            <w:tcBorders>
              <w:bottom w:val="single" w:sz="4" w:space="0" w:color="auto"/>
            </w:tcBorders>
            <w:shd w:val="clear" w:color="auto" w:fill="E5E5E5"/>
            <w:vAlign w:val="center"/>
          </w:tcPr>
          <w:p w14:paraId="7572909C"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339F3E89"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187DF7FC"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Petr Morys, technik měření"/>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Petr Morys, technik měření</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748 01</w:t>
            </w:r>
            <w:r w:rsidRPr="00F02435">
              <w:rPr>
                <w:rFonts w:cstheme="minorHAnsi"/>
                <w:szCs w:val="17"/>
              </w:rPr>
              <w:fldChar w:fldCharType="end"/>
            </w:r>
          </w:p>
        </w:tc>
      </w:tr>
      <w:tr w:rsidR="00F02435" w:rsidRPr="00F02435" w14:paraId="79190E37"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7F2EEC40"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25 743 54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+420 725 743 543</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62A5553"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reni@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mereni@teplohlucin.cz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6118379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5"/>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+420 595 020 505</w:t>
            </w:r>
            <w:r w:rsidRPr="00F02435">
              <w:rPr>
                <w:rFonts w:cstheme="minorHAnsi"/>
                <w:szCs w:val="17"/>
              </w:rPr>
              <w:fldChar w:fldCharType="end"/>
            </w:r>
          </w:p>
        </w:tc>
      </w:tr>
    </w:tbl>
    <w:p w14:paraId="514351EF"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6ABCFEE" w14:textId="77777777" w:rsidTr="004667BE">
        <w:trPr>
          <w:cantSplit/>
          <w:trHeight w:val="340"/>
          <w:tblHeader/>
        </w:trPr>
        <w:tc>
          <w:tcPr>
            <w:tcW w:w="10206" w:type="dxa"/>
            <w:gridSpan w:val="3"/>
            <w:tcBorders>
              <w:bottom w:val="single" w:sz="4" w:space="0" w:color="auto"/>
            </w:tcBorders>
            <w:shd w:val="clear" w:color="auto" w:fill="E5E5E5"/>
            <w:vAlign w:val="center"/>
          </w:tcPr>
          <w:p w14:paraId="1EAB24B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50FE0533"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28549C54"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Iva Téglašová, ekonom"/>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Iva Téglašová, ekonom</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armády 1263 / 32, PSČ: 74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Čs.armády 1263 / 32, PSČ: 748 01</w:t>
            </w:r>
            <w:r w:rsidRPr="00F02435">
              <w:rPr>
                <w:rFonts w:cstheme="minorHAnsi"/>
                <w:szCs w:val="17"/>
              </w:rPr>
              <w:fldChar w:fldCharType="end"/>
            </w:r>
          </w:p>
        </w:tc>
      </w:tr>
      <w:tr w:rsidR="00F02435" w:rsidRPr="00F02435" w14:paraId="3DEE1CF9"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C1A68B1"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24 352 87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+420 724 352 874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C2F2F1B"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ekonom@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ekonom@teplohlucin.cz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92F12BA"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20 50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+420 595 020 504</w:t>
            </w:r>
            <w:r w:rsidRPr="00F02435">
              <w:rPr>
                <w:rFonts w:cstheme="minorHAnsi"/>
                <w:szCs w:val="17"/>
              </w:rPr>
              <w:fldChar w:fldCharType="end"/>
            </w:r>
          </w:p>
        </w:tc>
      </w:tr>
    </w:tbl>
    <w:p w14:paraId="72DA4728"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01CDCA3" w14:textId="77777777" w:rsidTr="004667BE">
        <w:trPr>
          <w:cantSplit/>
          <w:trHeight w:val="340"/>
          <w:tblHeader/>
        </w:trPr>
        <w:tc>
          <w:tcPr>
            <w:tcW w:w="10206" w:type="dxa"/>
            <w:gridSpan w:val="3"/>
            <w:tcBorders>
              <w:bottom w:val="single" w:sz="4" w:space="0" w:color="auto"/>
            </w:tcBorders>
            <w:shd w:val="clear" w:color="auto" w:fill="E5E5E5"/>
            <w:vAlign w:val="center"/>
          </w:tcPr>
          <w:p w14:paraId="3AE8CD68"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11E36636"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E49022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5D49D70F"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5BD4DE43"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105F9678"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E1C432C"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74CC3FC0"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A0F8653" w14:textId="77777777" w:rsidTr="004667BE">
        <w:trPr>
          <w:cantSplit/>
          <w:trHeight w:val="340"/>
          <w:tblHeader/>
        </w:trPr>
        <w:tc>
          <w:tcPr>
            <w:tcW w:w="10206" w:type="dxa"/>
            <w:gridSpan w:val="3"/>
            <w:tcBorders>
              <w:bottom w:val="single" w:sz="4" w:space="0" w:color="auto"/>
            </w:tcBorders>
            <w:shd w:val="clear" w:color="auto" w:fill="E5E5E5"/>
            <w:vAlign w:val="center"/>
          </w:tcPr>
          <w:p w14:paraId="5AB698C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26BBE676"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A0DFF1"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Rončka,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Rončka,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lučín, Čs. armády 1263/32, PSČ: 000 0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Hlučín, Čs. armády 1263/32, PSČ: 000 00</w:t>
            </w:r>
            <w:r w:rsidRPr="00F02435">
              <w:rPr>
                <w:rFonts w:cstheme="minorHAnsi"/>
                <w:szCs w:val="17"/>
              </w:rPr>
              <w:fldChar w:fldCharType="end"/>
            </w:r>
          </w:p>
        </w:tc>
      </w:tr>
      <w:tr w:rsidR="00F02435" w:rsidRPr="00F02435" w14:paraId="5CEA2E2F"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1850267"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602 729 71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+420 602 729 714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6B9F279"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reditel@teplohlucin.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reditel@teplohlucin.cz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1697E99F"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595 041 017"/>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+420 595 041 017</w:t>
            </w:r>
            <w:r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4"/>
        <w:gridCol w:w="2551"/>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765DA248" w:rsidR="00A467B8" w:rsidRPr="000A107E" w:rsidRDefault="00804C4F" w:rsidP="00BE69A4">
            <w:pPr>
              <w:pStyle w:val="TexttabulkaCalibriLight"/>
              <w:rPr>
                <w:rFonts w:cstheme="minorHAnsi"/>
                <w:szCs w:val="17"/>
              </w:rPr>
            </w:pPr>
            <w:r>
              <w:rPr>
                <w:rFonts w:cs="Arial"/>
                <w:b/>
                <w:bCs/>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5BA6E66C"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804C4F">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58F74EF1" w:rsidR="00A467B8" w:rsidRPr="000A107E" w:rsidRDefault="00A467B8" w:rsidP="00BE69A4">
            <w:pPr>
              <w:pStyle w:val="TexttabulkaCalibriLight"/>
              <w:rPr>
                <w:rFonts w:cstheme="minorHAnsi"/>
                <w:szCs w:val="17"/>
              </w:rPr>
            </w:pPr>
            <w:r w:rsidRPr="000A107E">
              <w:rPr>
                <w:rFonts w:cstheme="minorHAnsi"/>
                <w:szCs w:val="17"/>
              </w:rPr>
              <w:t xml:space="preserve">E-mail: </w:t>
            </w:r>
            <w:r w:rsidR="00804C4F">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0F2E3C49" w:rsidR="00A467B8" w:rsidRPr="000A107E" w:rsidRDefault="00804C4F"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 Moravská Ostrava, 702 7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 Moravská Ostrava, 702 72</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13DDA682"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804C4F">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1D7A8177"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804C4F">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692552">
        <w:trPr>
          <w:cantSplit/>
          <w:trHeight w:val="283"/>
          <w:tblHeader/>
        </w:trPr>
        <w:tc>
          <w:tcPr>
            <w:tcW w:w="7655"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2551" w:type="dxa"/>
            <w:tcBorders>
              <w:top w:val="single" w:sz="4" w:space="0" w:color="auto"/>
              <w:bottom w:val="single" w:sz="4" w:space="0" w:color="auto"/>
            </w:tcBorders>
            <w:shd w:val="clear" w:color="auto" w:fill="auto"/>
            <w:vAlign w:val="center"/>
          </w:tcPr>
          <w:p w14:paraId="236F74C4" w14:textId="2E78EBEE" w:rsidR="00A467B8" w:rsidRPr="000A107E" w:rsidRDefault="00A467B8" w:rsidP="00BE69A4">
            <w:pPr>
              <w:pStyle w:val="TexttabulkaCalibriLight"/>
              <w:rPr>
                <w:rFonts w:ascii="Calibri Light" w:hAnsi="Calibri Light" w:cs="Calibri Light"/>
                <w:szCs w:val="17"/>
              </w:rPr>
            </w:pP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056D2D9D" w:rsidR="00B35A62" w:rsidRDefault="00B35A62" w:rsidP="00804C4F">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804C4F">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3"/>
    <w:p w14:paraId="4AE18CDB" w14:textId="124620B2" w:rsidR="0050232B" w:rsidRPr="000067F6" w:rsidRDefault="0050232B" w:rsidP="00E72CAC">
      <w:pPr>
        <w:pStyle w:val="3"/>
        <w:numPr>
          <w:ilvl w:val="0"/>
          <w:numId w:val="18"/>
        </w:numPr>
        <w:tabs>
          <w:tab w:val="clear" w:pos="425"/>
        </w:tabs>
        <w:ind w:left="283" w:hanging="198"/>
        <w:jc w:val="left"/>
        <w:rPr>
          <w:rFonts w:asciiTheme="minorHAnsi" w:hAnsiTheme="minorHAnsi"/>
          <w:sz w:val="17"/>
          <w:szCs w:val="22"/>
        </w:rPr>
      </w:pPr>
      <w:r>
        <w:rPr>
          <w:rFonts w:asciiTheme="minorHAnsi" w:hAnsiTheme="minorHAnsi"/>
          <w:sz w:val="17"/>
          <w:szCs w:val="22"/>
        </w:rPr>
        <w:t>S</w:t>
      </w:r>
      <w:r w:rsidRPr="000067F6">
        <w:rPr>
          <w:rFonts w:asciiTheme="minorHAnsi" w:hAnsiTheme="minorHAnsi"/>
          <w:sz w:val="17"/>
          <w:szCs w:val="22"/>
        </w:rPr>
        <w:t xml:space="preserve">mluvní strany se dohodly, že měsíční fakturace odběrných míst s měřením typu </w:t>
      </w:r>
      <w:r w:rsidRPr="000067F6">
        <w:rPr>
          <w:rFonts w:asciiTheme="minorHAnsi" w:hAnsiTheme="minorHAnsi" w:cstheme="minorHAnsi"/>
          <w:sz w:val="17"/>
          <w:szCs w:val="17"/>
        </w:rPr>
        <w:t xml:space="preserve">„C“ </w:t>
      </w:r>
      <w:r w:rsidRPr="000067F6">
        <w:rPr>
          <w:rFonts w:asciiTheme="minorHAnsi" w:hAnsiTheme="minorHAnsi"/>
          <w:sz w:val="17"/>
          <w:szCs w:val="22"/>
        </w:rPr>
        <w:t>uvedených v Části C Smlouvy probíhá na základě samoodečtů poskytovaných Zákazníkem, přičemž platí následující podmínky.</w:t>
      </w:r>
    </w:p>
    <w:p w14:paraId="49E59868" w14:textId="77777777" w:rsidR="0050232B" w:rsidRDefault="0050232B" w:rsidP="00E72CAC">
      <w:pPr>
        <w:pStyle w:val="3"/>
        <w:numPr>
          <w:ilvl w:val="0"/>
          <w:numId w:val="19"/>
        </w:numPr>
        <w:tabs>
          <w:tab w:val="clear" w:pos="425"/>
        </w:tabs>
        <w:ind w:left="567" w:hanging="283"/>
        <w:jc w:val="left"/>
        <w:rPr>
          <w:rFonts w:asciiTheme="minorHAnsi" w:hAnsiTheme="minorHAnsi"/>
          <w:sz w:val="17"/>
          <w:szCs w:val="22"/>
        </w:rPr>
      </w:pPr>
      <w:r w:rsidRPr="002D3BA9">
        <w:rPr>
          <w:rFonts w:asciiTheme="minorHAnsi" w:hAnsiTheme="minorHAnsi"/>
          <w:sz w:val="17"/>
          <w:szCs w:val="22"/>
        </w:rPr>
        <w:t xml:space="preserve">Podkladem pro vyhodnocování dodávek plynu pro fakturační účely budou odečty měřicího zařízení, a to odečty stavu měřicího zařízení k poslednímu kalendářnímu dni kalendářního měsíce. </w:t>
      </w:r>
    </w:p>
    <w:p w14:paraId="0814A860" w14:textId="05A1DCC4"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 xml:space="preserve">Zákazník oznamuje odečet měřicího zařízení prostřednictvím webového portálu innogy24 dostupného na adrese </w:t>
      </w:r>
      <w:hyperlink r:id="rId8" w:history="1">
        <w:r w:rsidR="008659E0" w:rsidRPr="00345567">
          <w:rPr>
            <w:rStyle w:val="Hypertextovodkaz"/>
            <w:rFonts w:asciiTheme="minorHAnsi" w:hAnsiTheme="minorHAnsi"/>
            <w:sz w:val="17"/>
            <w:szCs w:val="22"/>
          </w:rPr>
          <w:t>www.innogy24.cz</w:t>
        </w:r>
      </w:hyperlink>
      <w:r w:rsidRPr="00283046">
        <w:rPr>
          <w:rFonts w:asciiTheme="minorHAnsi" w:hAnsiTheme="minorHAnsi"/>
          <w:sz w:val="17"/>
          <w:szCs w:val="22"/>
        </w:rPr>
        <w:t>.</w:t>
      </w:r>
    </w:p>
    <w:p w14:paraId="1B8C0F25" w14:textId="2E13B746"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Zákazník k datu počátku účinnosti t</w:t>
      </w:r>
      <w:r w:rsidR="001B325F">
        <w:rPr>
          <w:rFonts w:asciiTheme="minorHAnsi" w:hAnsiTheme="minorHAnsi"/>
          <w:sz w:val="17"/>
          <w:szCs w:val="22"/>
        </w:rPr>
        <w:t>éto</w:t>
      </w:r>
      <w:r w:rsidRPr="00283046">
        <w:rPr>
          <w:rFonts w:asciiTheme="minorHAnsi" w:hAnsiTheme="minorHAnsi"/>
          <w:sz w:val="17"/>
          <w:szCs w:val="22"/>
        </w:rPr>
        <w:t xml:space="preserve"> </w:t>
      </w:r>
      <w:r w:rsidR="001B325F">
        <w:rPr>
          <w:rFonts w:asciiTheme="minorHAnsi" w:hAnsiTheme="minorHAnsi"/>
          <w:sz w:val="17"/>
          <w:szCs w:val="22"/>
        </w:rPr>
        <w:t>Smlouvy</w:t>
      </w:r>
      <w:r w:rsidRPr="00283046">
        <w:rPr>
          <w:rFonts w:asciiTheme="minorHAnsi" w:hAnsiTheme="minorHAnsi"/>
          <w:sz w:val="17"/>
          <w:szCs w:val="22"/>
        </w:rPr>
        <w:t xml:space="preserve"> oznámí u odběrných míst sériové číslo a počáteční stav plynoměru. Následně zákazník hlásí pouze jednotlivé stavy plynoměru k poslednímu dni každého fakturačního období. </w:t>
      </w:r>
    </w:p>
    <w:p w14:paraId="672DAE9E" w14:textId="77777777"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Výměnu měřícího zařízení je zákazník povinen neprodleně nahlásit obchodníkovi. Zákazník v takovémto případě nahlásí konečný stav původního měřidla a zároveň sériové číslo a počáteční stav nového měřidla k datu výměny měřícího zařízení.</w:t>
      </w:r>
    </w:p>
    <w:p w14:paraId="5E90DBBB" w14:textId="77777777" w:rsidR="0050232B" w:rsidRPr="002D3BA9" w:rsidRDefault="0050232B" w:rsidP="0050232B">
      <w:pPr>
        <w:pStyle w:val="3"/>
        <w:tabs>
          <w:tab w:val="clear" w:pos="425"/>
        </w:tabs>
        <w:ind w:left="567"/>
        <w:jc w:val="left"/>
        <w:rPr>
          <w:rFonts w:asciiTheme="minorHAnsi" w:hAnsiTheme="minorHAnsi"/>
          <w:sz w:val="17"/>
          <w:szCs w:val="22"/>
        </w:rPr>
      </w:pPr>
      <w:r w:rsidRPr="00283046">
        <w:rPr>
          <w:rFonts w:asciiTheme="minorHAnsi" w:hAnsiTheme="minorHAnsi"/>
          <w:sz w:val="17"/>
          <w:szCs w:val="22"/>
        </w:rPr>
        <w:t xml:space="preserve">Oznámení čísla a výše stavu měřidla se Zákazník zavazuje zasílat v termínech definovaných </w:t>
      </w:r>
      <w:r>
        <w:rPr>
          <w:rFonts w:asciiTheme="minorHAnsi" w:hAnsiTheme="minorHAnsi"/>
          <w:sz w:val="17"/>
          <w:szCs w:val="22"/>
        </w:rPr>
        <w:t>pod písm. c) tohoto odstavce</w:t>
      </w:r>
      <w:r w:rsidRPr="00283046">
        <w:rPr>
          <w:rFonts w:asciiTheme="minorHAnsi" w:hAnsiTheme="minorHAnsi"/>
          <w:sz w:val="17"/>
          <w:szCs w:val="22"/>
        </w:rPr>
        <w:t>, přičemž platí, že počáteční stav plynoměru je zasílán pouze pro první fakturační období.</w:t>
      </w:r>
    </w:p>
    <w:p w14:paraId="764A8A32" w14:textId="77777777"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 xml:space="preserve">V případě mimořádné nedostupnosti portálu innogy24 využije Zákazník k nahlášení odečtů náhradní variantu prostřednictvím zaslání Excel souboru s odečty na emailovou adresu </w:t>
      </w:r>
      <w:hyperlink r:id="rId9" w:history="1">
        <w:r w:rsidRPr="007F634F">
          <w:rPr>
            <w:rStyle w:val="Hypertextovodkaz"/>
            <w:rFonts w:asciiTheme="minorHAnsi" w:hAnsiTheme="minorHAnsi" w:cstheme="minorHAnsi"/>
            <w:sz w:val="17"/>
            <w:szCs w:val="17"/>
          </w:rPr>
          <w:t>sasu@innogy.cz</w:t>
        </w:r>
      </w:hyperlink>
      <w:r w:rsidRPr="003A2BEF">
        <w:rPr>
          <w:rFonts w:asciiTheme="minorHAnsi" w:hAnsiTheme="minorHAnsi" w:cstheme="minorHAnsi"/>
          <w:sz w:val="17"/>
          <w:szCs w:val="17"/>
        </w:rPr>
        <w:t>. Formát a struktura Excel souboru jsou shodné jako při nahrávání na portál innogy24.</w:t>
      </w:r>
    </w:p>
    <w:p w14:paraId="24A48445" w14:textId="77777777"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Zákazník je povinen oznamovat počáteční stav plynoměru a jednotlivé samoodečty za daný kalendářní měsíc nejdříve poslední pracovní den měsíce, za který stav měřidla hlásí a nejpozději do třetího pracovního dne následujícího měsíce včetně. Smluvní strany se dohodly, že pokud Zákazník oznámí Obchodníkovi samoodečty v poslední možný den, učiní tak nejpozději do 23:30 hodin z důvodu následného zpracování dat.</w:t>
      </w:r>
    </w:p>
    <w:p w14:paraId="56731851" w14:textId="1E792188"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 xml:space="preserve">Obchodník si vyhrazuje právo jednostranně měnit formát způsobu oznamování odečtů měřicího zařízení písemným oznámením Zákazníkovi nebo jiným vhodným způsobem, a to minimálně 30 dní přede dnem nabytí účinnosti změny.  V případě, že Zákazník nebude souhlasit s navrženou změnou způsobu oznamování odečtů měřidla, je oprávněn do data účinnosti změny od </w:t>
      </w:r>
      <w:r w:rsidR="001B325F">
        <w:rPr>
          <w:rFonts w:asciiTheme="minorHAnsi" w:hAnsiTheme="minorHAnsi" w:cstheme="minorHAnsi"/>
          <w:sz w:val="17"/>
          <w:szCs w:val="17"/>
        </w:rPr>
        <w:t>ujednání tohoto odstavce</w:t>
      </w:r>
      <w:r w:rsidRPr="003A2BEF">
        <w:rPr>
          <w:rFonts w:asciiTheme="minorHAnsi" w:hAnsiTheme="minorHAnsi" w:cstheme="minorHAnsi"/>
          <w:sz w:val="17"/>
          <w:szCs w:val="17"/>
        </w:rPr>
        <w:t xml:space="preserve"> odstoupit. V opačném případě se má za to, že s navrženou změnou souhlasil.</w:t>
      </w:r>
    </w:p>
    <w:p w14:paraId="1878BFAF" w14:textId="77777777"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Oznamování odečtů měřicího zařízení Zákazníkem nenahrazuje pravidelný odečet zajišťovaný provozovatelem distribuční soustavy podle příslušného právního předpisu. Na základě tohoto odečtu může být Zákazníkovi vystavena 13. faktura.  V měsíci, kdy je odečet pořízen provozovatelem distribuční soustavy, je Zákazníkovi vystavena faktura až po dodání tohoto odečtu.</w:t>
      </w:r>
    </w:p>
    <w:p w14:paraId="6B5E5165" w14:textId="77777777" w:rsidR="0050232B"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 xml:space="preserve">Pokud Zákazník opakovaně neoznámí ve výše uvedeném termínu odečet měřidla, vystaví Obchodník fakturu na základě výpočtu spotřeby dle normalizovaného typového diagramu dodávky (tzv. TDD) vydaného Operátorem trhu pro třídu diagramu přiřazenou provozovatelem distribuční soustavy jednotlivým odběrným místům Zákazníka. </w:t>
      </w:r>
    </w:p>
    <w:p w14:paraId="1C659212" w14:textId="77777777" w:rsidR="0050232B"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570E1C">
        <w:rPr>
          <w:rFonts w:asciiTheme="minorHAnsi" w:hAnsiTheme="minorHAnsi" w:cstheme="minorHAnsi"/>
          <w:sz w:val="17"/>
          <w:szCs w:val="17"/>
        </w:rPr>
        <w:t>Obchodník se zavazuje vystavit daňový doklad s náležitostmi dle příslušných právních předpisů na základě dodaného odečtu měřidla Zákazníkem, příp. výpočtu spotřeby, a to vždy v měsíční periodě.</w:t>
      </w:r>
    </w:p>
    <w:p w14:paraId="7FA1721C" w14:textId="3B7178C3" w:rsidR="0050232B" w:rsidRPr="003A2BEF" w:rsidRDefault="001B325F" w:rsidP="00E72CAC">
      <w:pPr>
        <w:pStyle w:val="3"/>
        <w:numPr>
          <w:ilvl w:val="0"/>
          <w:numId w:val="19"/>
        </w:numPr>
        <w:tabs>
          <w:tab w:val="clear" w:pos="425"/>
        </w:tabs>
        <w:ind w:left="567" w:hanging="283"/>
        <w:jc w:val="left"/>
        <w:rPr>
          <w:rFonts w:asciiTheme="minorHAnsi" w:hAnsiTheme="minorHAnsi" w:cstheme="minorHAnsi"/>
          <w:sz w:val="17"/>
          <w:szCs w:val="17"/>
        </w:rPr>
      </w:pPr>
      <w:r w:rsidRPr="001B325F">
        <w:rPr>
          <w:rFonts w:asciiTheme="minorHAnsi" w:hAnsiTheme="minorHAnsi" w:cstheme="minorHAnsi"/>
          <w:sz w:val="17"/>
          <w:szCs w:val="17"/>
        </w:rPr>
        <w:t xml:space="preserve">V případě odstoupení od ujednání toho odstavce dle písm. d) nebo v </w:t>
      </w:r>
      <w:r w:rsidR="0050232B" w:rsidRPr="003A2BEF">
        <w:rPr>
          <w:rFonts w:asciiTheme="minorHAnsi" w:hAnsiTheme="minorHAnsi" w:cstheme="minorHAnsi"/>
          <w:sz w:val="17"/>
          <w:szCs w:val="17"/>
        </w:rPr>
        <w:t xml:space="preserve">případě hrubého porušení podmínek stanovených tímto </w:t>
      </w:r>
      <w:r w:rsidR="0050232B">
        <w:rPr>
          <w:rFonts w:asciiTheme="minorHAnsi" w:hAnsiTheme="minorHAnsi" w:cstheme="minorHAnsi"/>
          <w:sz w:val="17"/>
          <w:szCs w:val="17"/>
        </w:rPr>
        <w:t>odstavcem</w:t>
      </w:r>
      <w:r w:rsidR="0050232B" w:rsidRPr="003A2BEF">
        <w:rPr>
          <w:rFonts w:asciiTheme="minorHAnsi" w:hAnsiTheme="minorHAnsi" w:cstheme="minorHAnsi"/>
          <w:sz w:val="17"/>
          <w:szCs w:val="17"/>
        </w:rPr>
        <w:t xml:space="preserve"> ze strany Zákazníka si Obchodník vyhrazuje právo </w:t>
      </w:r>
      <w:r w:rsidR="0050232B" w:rsidRPr="00E51E8B">
        <w:rPr>
          <w:rFonts w:asciiTheme="minorHAnsi" w:hAnsiTheme="minorHAnsi"/>
          <w:sz w:val="17"/>
          <w:szCs w:val="22"/>
        </w:rPr>
        <w:t xml:space="preserve">jednostranně vyzvat Zákazníka k placení standardních zálohových plateb na všech jeho </w:t>
      </w:r>
      <w:r w:rsidR="0050232B">
        <w:rPr>
          <w:rFonts w:asciiTheme="minorHAnsi" w:hAnsiTheme="minorHAnsi"/>
          <w:sz w:val="17"/>
          <w:szCs w:val="22"/>
        </w:rPr>
        <w:t xml:space="preserve">odběrných místech </w:t>
      </w:r>
      <w:r w:rsidR="0050232B" w:rsidRPr="003A2BEF">
        <w:rPr>
          <w:rFonts w:asciiTheme="minorHAnsi" w:hAnsiTheme="minorHAnsi" w:cstheme="minorHAnsi"/>
          <w:sz w:val="17"/>
          <w:szCs w:val="17"/>
        </w:rPr>
        <w:t xml:space="preserve">s měřením typu </w:t>
      </w:r>
      <w:r w:rsidR="0050232B">
        <w:rPr>
          <w:rFonts w:asciiTheme="minorHAnsi" w:hAnsiTheme="minorHAnsi" w:cstheme="minorHAnsi"/>
          <w:sz w:val="17"/>
          <w:szCs w:val="17"/>
        </w:rPr>
        <w:t>„</w:t>
      </w:r>
      <w:r w:rsidR="0050232B" w:rsidRPr="003A2BEF">
        <w:rPr>
          <w:rFonts w:asciiTheme="minorHAnsi" w:hAnsiTheme="minorHAnsi" w:cstheme="minorHAnsi"/>
          <w:sz w:val="17"/>
          <w:szCs w:val="17"/>
        </w:rPr>
        <w:t>C</w:t>
      </w:r>
      <w:r w:rsidR="0050232B">
        <w:rPr>
          <w:rFonts w:asciiTheme="minorHAnsi" w:hAnsiTheme="minorHAnsi" w:cstheme="minorHAnsi"/>
          <w:sz w:val="17"/>
          <w:szCs w:val="17"/>
        </w:rPr>
        <w:t>“</w:t>
      </w:r>
      <w:r w:rsidR="0050232B" w:rsidRPr="003A2BEF">
        <w:rPr>
          <w:rFonts w:asciiTheme="minorHAnsi" w:hAnsiTheme="minorHAnsi" w:cstheme="minorHAnsi"/>
          <w:sz w:val="17"/>
          <w:szCs w:val="17"/>
        </w:rPr>
        <w:t xml:space="preserve"> </w:t>
      </w:r>
      <w:r w:rsidR="0050232B" w:rsidRPr="00930B27">
        <w:rPr>
          <w:rFonts w:asciiTheme="minorHAnsi" w:hAnsiTheme="minorHAnsi"/>
          <w:sz w:val="17"/>
          <w:szCs w:val="22"/>
        </w:rPr>
        <w:t>uvedených v </w:t>
      </w:r>
      <w:r w:rsidR="0050232B">
        <w:rPr>
          <w:rFonts w:asciiTheme="minorHAnsi" w:hAnsiTheme="minorHAnsi"/>
          <w:sz w:val="17"/>
          <w:szCs w:val="22"/>
        </w:rPr>
        <w:t>Č</w:t>
      </w:r>
      <w:r w:rsidR="0050232B" w:rsidRPr="00930B27">
        <w:rPr>
          <w:rFonts w:asciiTheme="minorHAnsi" w:hAnsiTheme="minorHAnsi"/>
          <w:sz w:val="17"/>
          <w:szCs w:val="22"/>
        </w:rPr>
        <w:t xml:space="preserve">ásti </w:t>
      </w:r>
      <w:r w:rsidR="0050232B">
        <w:rPr>
          <w:rFonts w:asciiTheme="minorHAnsi" w:hAnsiTheme="minorHAnsi"/>
          <w:sz w:val="17"/>
          <w:szCs w:val="22"/>
        </w:rPr>
        <w:t>C</w:t>
      </w:r>
      <w:r w:rsidR="0050232B" w:rsidRPr="00930B27">
        <w:rPr>
          <w:rFonts w:asciiTheme="minorHAnsi" w:hAnsiTheme="minorHAnsi"/>
          <w:sz w:val="17"/>
          <w:szCs w:val="22"/>
        </w:rPr>
        <w:t xml:space="preserve"> Smlouvy</w:t>
      </w:r>
      <w:r w:rsidR="0050232B" w:rsidRPr="00E51E8B">
        <w:rPr>
          <w:rFonts w:asciiTheme="minorHAnsi" w:hAnsiTheme="minorHAnsi"/>
          <w:sz w:val="17"/>
          <w:szCs w:val="22"/>
        </w:rPr>
        <w:t xml:space="preserve">, čímž se rozumí sjednání zálohy v celkové výši 100% ceny sjednané měsíční dodávky včetně DPH. Zálohy jsou splatné v měsíční periodě. Periodicita zúčtovacího období je roční. Ve výzvě bude uveden důvod změny zálohových plateb a rozpis záloh, který se stanoví </w:t>
      </w:r>
      <w:r w:rsidR="0050232B" w:rsidRPr="00834282">
        <w:rPr>
          <w:rFonts w:asciiTheme="minorHAnsi" w:hAnsiTheme="minorHAnsi"/>
          <w:sz w:val="17"/>
          <w:szCs w:val="22"/>
        </w:rPr>
        <w:t>podle pravidelného odečtového cyklu na celé období dodávky od druhého měsíce následujícího po měsíci odečtu, a to i zpětně</w:t>
      </w:r>
      <w:r w:rsidR="0050232B" w:rsidRPr="003A2BEF">
        <w:rPr>
          <w:rFonts w:asciiTheme="minorHAnsi" w:hAnsiTheme="minorHAnsi" w:cstheme="minorHAnsi"/>
          <w:sz w:val="17"/>
          <w:szCs w:val="17"/>
        </w:rPr>
        <w:t>.</w:t>
      </w:r>
    </w:p>
    <w:p w14:paraId="1C3B3612" w14:textId="514C1F14" w:rsidR="0044074A" w:rsidRDefault="0050232B" w:rsidP="00E72CAC">
      <w:pPr>
        <w:pStyle w:val="3"/>
        <w:numPr>
          <w:ilvl w:val="0"/>
          <w:numId w:val="19"/>
        </w:numPr>
        <w:tabs>
          <w:tab w:val="clear" w:pos="425"/>
        </w:tabs>
        <w:ind w:left="567" w:hanging="283"/>
        <w:jc w:val="left"/>
        <w:rPr>
          <w:rFonts w:asciiTheme="minorHAnsi" w:hAnsiTheme="minorHAnsi"/>
          <w:sz w:val="17"/>
          <w:szCs w:val="22"/>
        </w:rPr>
      </w:pPr>
      <w:r w:rsidRPr="003A2BEF">
        <w:rPr>
          <w:rFonts w:asciiTheme="minorHAnsi" w:hAnsiTheme="minorHAnsi" w:cstheme="minorHAnsi"/>
          <w:sz w:val="17"/>
          <w:szCs w:val="17"/>
        </w:rPr>
        <w:t xml:space="preserve">Za hrubé porušení podmínek tohoto </w:t>
      </w:r>
      <w:r w:rsidR="00447850">
        <w:rPr>
          <w:rFonts w:asciiTheme="minorHAnsi" w:hAnsiTheme="minorHAnsi" w:cstheme="minorHAnsi"/>
          <w:sz w:val="17"/>
          <w:szCs w:val="17"/>
        </w:rPr>
        <w:t>odstavce</w:t>
      </w:r>
      <w:r w:rsidRPr="003A2BEF">
        <w:rPr>
          <w:rFonts w:asciiTheme="minorHAnsi" w:hAnsiTheme="minorHAnsi" w:cstheme="minorHAnsi"/>
          <w:sz w:val="17"/>
          <w:szCs w:val="17"/>
        </w:rPr>
        <w:t xml:space="preserve"> ze strany Zákazníka se považuje zejména opakované poskytování nesprávných samoodečtů</w:t>
      </w:r>
      <w:r w:rsidR="0044074A" w:rsidRPr="00834282">
        <w:rPr>
          <w:rFonts w:asciiTheme="minorHAnsi" w:hAnsiTheme="minorHAnsi"/>
          <w:sz w:val="17"/>
          <w:szCs w:val="22"/>
        </w:rPr>
        <w:t>.</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w:t>
      </w:r>
      <w:r w:rsidRPr="001A314A">
        <w:rPr>
          <w:rFonts w:asciiTheme="minorHAnsi" w:hAnsiTheme="minorHAnsi"/>
          <w:sz w:val="17"/>
          <w:szCs w:val="22"/>
        </w:rPr>
        <w:lastRenderedPageBreak/>
        <w:t xml:space="preserve">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0C835E43"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804C4F">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3EE61987"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02137D">
              <w:rPr>
                <w:rFonts w:asciiTheme="minorHAnsi" w:hAnsiTheme="minorHAnsi"/>
                <w:b w:val="0"/>
                <w:color w:val="auto"/>
              </w:rPr>
              <w:t>10.10.2023</w:t>
            </w:r>
          </w:p>
        </w:tc>
        <w:tc>
          <w:tcPr>
            <w:tcW w:w="5103" w:type="dxa"/>
            <w:gridSpan w:val="2"/>
            <w:shd w:val="clear" w:color="auto" w:fill="auto"/>
            <w:vAlign w:val="center"/>
          </w:tcPr>
          <w:p w14:paraId="20A841D0" w14:textId="4BAF9818"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Hlučín"/>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Hlučín</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02137D">
              <w:rPr>
                <w:rFonts w:asciiTheme="minorHAnsi" w:hAnsiTheme="minorHAnsi"/>
                <w:b w:val="0"/>
                <w:color w:val="auto"/>
              </w:rPr>
              <w:t>10.10.2023</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70EE1753" w:rsidR="00240573" w:rsidRPr="00FA32A6" w:rsidRDefault="00804C4F"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Petr Rončka"/>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Petr Rončka</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6A4ADC5B" w:rsidR="00240573" w:rsidRPr="00FA32A6" w:rsidRDefault="00804C4F" w:rsidP="00240573">
            <w:pPr>
              <w:pStyle w:val="TexttabulkaCalibriLight"/>
              <w:spacing w:before="240" w:after="80"/>
              <w:rPr>
                <w:rFonts w:cstheme="minorHAnsi"/>
                <w:color w:val="auto"/>
                <w:szCs w:val="17"/>
              </w:rPr>
            </w:pPr>
            <w:r>
              <w:t>xxx</w:t>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10"/>
          <w:footerReference w:type="default" r:id="rId11"/>
          <w:headerReference w:type="first" r:id="rId12"/>
          <w:footerReference w:type="first" r:id="rId13"/>
          <w:pgSz w:w="11906" w:h="16838" w:code="9"/>
          <w:pgMar w:top="851" w:right="567" w:bottom="851" w:left="1134" w:header="0" w:footer="567" w:gutter="0"/>
          <w:pgNumType w:start="1"/>
          <w:cols w:space="708"/>
          <w:titlePg/>
          <w:docGrid w:linePitch="360"/>
        </w:sectPr>
      </w:pPr>
    </w:p>
    <w:p w14:paraId="60B8D994" w14:textId="1A843EDE"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4"/>
          <w:footerReference w:type="default" r:id="rId15"/>
          <w:headerReference w:type="first" r:id="rId16"/>
          <w:footerReference w:type="first" r:id="rId17"/>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804C4F">
      <w:pPr>
        <w:pStyle w:val="Nazev2CalibriBold"/>
        <w:spacing w:after="0"/>
        <w:rPr>
          <w:rFonts w:asciiTheme="minorHAnsi" w:hAnsiTheme="minorHAnsi"/>
          <w:sz w:val="2"/>
          <w:szCs w:val="2"/>
        </w:rPr>
      </w:pPr>
    </w:p>
    <w:sectPr w:rsidR="000C115E" w:rsidRPr="008216C9" w:rsidSect="0076267D">
      <w:headerReference w:type="default" r:id="rId18"/>
      <w:footerReference w:type="default" r:id="rId19"/>
      <w:headerReference w:type="first" r:id="rId20"/>
      <w:footerReference w:type="first" r:id="rId21"/>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7F34" w14:textId="77777777" w:rsidR="00680244" w:rsidRDefault="00680244" w:rsidP="00055080">
      <w:r>
        <w:separator/>
      </w:r>
    </w:p>
    <w:p w14:paraId="2203D4D8" w14:textId="77777777" w:rsidR="00680244" w:rsidRDefault="00680244"/>
  </w:endnote>
  <w:endnote w:type="continuationSeparator" w:id="0">
    <w:p w14:paraId="62E8D090" w14:textId="77777777" w:rsidR="00680244" w:rsidRDefault="00680244" w:rsidP="00055080">
      <w:r>
        <w:continuationSeparator/>
      </w:r>
    </w:p>
    <w:p w14:paraId="18960DBD" w14:textId="77777777" w:rsidR="00680244" w:rsidRDefault="0068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2D80C382"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804C4F">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2D65DFB7"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804C4F">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804C4F"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69FF" w14:textId="77777777" w:rsidR="00680244" w:rsidRDefault="00680244" w:rsidP="00055080">
      <w:r>
        <w:separator/>
      </w:r>
    </w:p>
    <w:p w14:paraId="03D51244" w14:textId="77777777" w:rsidR="00680244" w:rsidRDefault="00680244"/>
  </w:footnote>
  <w:footnote w:type="continuationSeparator" w:id="0">
    <w:p w14:paraId="16E8AB5A" w14:textId="77777777" w:rsidR="00680244" w:rsidRDefault="00680244" w:rsidP="00055080">
      <w:r>
        <w:continuationSeparator/>
      </w:r>
    </w:p>
    <w:p w14:paraId="7702541D" w14:textId="77777777" w:rsidR="00680244" w:rsidRDefault="00680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BC3E1EDE"/>
    <w:lvl w:ilvl="0" w:tplc="49F46B36">
      <w:start w:val="1"/>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9"/>
  </w:num>
  <w:num w:numId="3" w16cid:durableId="182865272">
    <w:abstractNumId w:val="0"/>
  </w:num>
  <w:num w:numId="4" w16cid:durableId="1743529862">
    <w:abstractNumId w:val="5"/>
  </w:num>
  <w:num w:numId="5" w16cid:durableId="1600528640">
    <w:abstractNumId w:val="21"/>
  </w:num>
  <w:num w:numId="6" w16cid:durableId="1521046902">
    <w:abstractNumId w:val="31"/>
  </w:num>
  <w:num w:numId="7" w16cid:durableId="1426882125">
    <w:abstractNumId w:val="24"/>
  </w:num>
  <w:num w:numId="8" w16cid:durableId="391927220">
    <w:abstractNumId w:val="20"/>
  </w:num>
  <w:num w:numId="9" w16cid:durableId="142625229">
    <w:abstractNumId w:val="27"/>
  </w:num>
  <w:num w:numId="10" w16cid:durableId="1930844248">
    <w:abstractNumId w:val="8"/>
  </w:num>
  <w:num w:numId="11" w16cid:durableId="984091876">
    <w:abstractNumId w:val="10"/>
  </w:num>
  <w:num w:numId="12" w16cid:durableId="194393975">
    <w:abstractNumId w:val="23"/>
  </w:num>
  <w:num w:numId="13" w16cid:durableId="602689775">
    <w:abstractNumId w:val="19"/>
  </w:num>
  <w:num w:numId="14" w16cid:durableId="1465736471">
    <w:abstractNumId w:val="25"/>
  </w:num>
  <w:num w:numId="15" w16cid:durableId="163479234">
    <w:abstractNumId w:val="16"/>
  </w:num>
  <w:num w:numId="16" w16cid:durableId="1612392146">
    <w:abstractNumId w:val="7"/>
  </w:num>
  <w:num w:numId="17" w16cid:durableId="807355471">
    <w:abstractNumId w:val="17"/>
  </w:num>
  <w:num w:numId="18" w16cid:durableId="1318151368">
    <w:abstractNumId w:val="11"/>
  </w:num>
  <w:num w:numId="19" w16cid:durableId="1021973786">
    <w:abstractNumId w:val="26"/>
  </w:num>
  <w:num w:numId="20" w16cid:durableId="1514490820">
    <w:abstractNumId w:val="4"/>
  </w:num>
  <w:num w:numId="21" w16cid:durableId="1753819113">
    <w:abstractNumId w:val="9"/>
  </w:num>
  <w:num w:numId="22" w16cid:durableId="643584198">
    <w:abstractNumId w:val="22"/>
  </w:num>
  <w:num w:numId="23" w16cid:durableId="131868026">
    <w:abstractNumId w:val="30"/>
  </w:num>
  <w:num w:numId="24" w16cid:durableId="1502232210">
    <w:abstractNumId w:val="6"/>
  </w:num>
  <w:num w:numId="25" w16cid:durableId="1303925967">
    <w:abstractNumId w:val="14"/>
  </w:num>
  <w:num w:numId="26" w16cid:durableId="435251145">
    <w:abstractNumId w:val="3"/>
  </w:num>
  <w:num w:numId="27" w16cid:durableId="2040932362">
    <w:abstractNumId w:val="28"/>
  </w:num>
  <w:num w:numId="28" w16cid:durableId="1876575791">
    <w:abstractNumId w:val="1"/>
  </w:num>
  <w:num w:numId="29" w16cid:durableId="1682589656">
    <w:abstractNumId w:val="12"/>
  </w:num>
  <w:num w:numId="30" w16cid:durableId="893077576">
    <w:abstractNumId w:val="15"/>
  </w:num>
  <w:num w:numId="31" w16cid:durableId="1830365204">
    <w:abstractNumId w:val="18"/>
  </w:num>
  <w:num w:numId="32" w16cid:durableId="136112735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37D"/>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3917"/>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32B"/>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471"/>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244"/>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C4F"/>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4F7E"/>
    <w:rsid w:val="008C66FA"/>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gy24.cz/"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asu@innogy.cz"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3164</Words>
  <Characters>18672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2023-11-29T09:24:00Z</dcterms:created>
  <dcterms:modified xsi:type="dcterms:W3CDTF">2023-11-29T09:24:00Z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