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242D" w14:textId="77777777" w:rsidR="000D7DD9" w:rsidRDefault="000D7DD9"/>
    <w:p w14:paraId="705A242E" w14:textId="77777777" w:rsidR="000D7DD9" w:rsidRDefault="008C1AB2">
      <w:r>
        <w:br/>
      </w:r>
      <w:r>
        <w:br/>
      </w:r>
      <w:r>
        <w:br/>
      </w:r>
      <w:r>
        <w:br/>
      </w:r>
      <w:r>
        <w:br/>
      </w:r>
      <w:r>
        <w:br/>
      </w:r>
    </w:p>
    <w:p w14:paraId="705A242F" w14:textId="77777777" w:rsidR="000D7DD9" w:rsidRDefault="000D7DD9"/>
    <w:p w14:paraId="705A2430" w14:textId="77777777" w:rsidR="000D7DD9" w:rsidRDefault="00000000">
      <w:pPr>
        <w:pStyle w:val="Nzev"/>
        <w:spacing w:before="200" w:after="200"/>
        <w:ind w:left="0"/>
        <w:rPr>
          <w:vertAlign w:val="superscript"/>
        </w:rPr>
      </w:pPr>
      <w:bookmarkStart w:id="0" w:name="_rln0bno6ayer" w:colFirst="0" w:colLast="0"/>
      <w:bookmarkEnd w:id="0"/>
      <w:r>
        <w:pict w14:anchorId="705A2512">
          <v:rect id="_x0000_i1025" style="width:0;height:1.5pt" o:hralign="center" o:hrstd="t" o:hr="t" fillcolor="#a0a0a0" stroked="f"/>
        </w:pict>
      </w:r>
      <w:proofErr w:type="gramStart"/>
      <w:r w:rsidR="008C1AB2">
        <w:t>Hardwarová  smlouva</w:t>
      </w:r>
      <w:proofErr w:type="gramEnd"/>
      <w:r w:rsidR="008C1AB2">
        <w:rPr>
          <w:noProof/>
        </w:rPr>
        <w:drawing>
          <wp:anchor distT="0" distB="0" distL="0" distR="0" simplePos="0" relativeHeight="251658240" behindDoc="0" locked="0" layoutInCell="1" hidden="0" allowOverlap="1" wp14:anchorId="705A2513" wp14:editId="705A2514">
            <wp:simplePos x="0" y="0"/>
            <wp:positionH relativeFrom="column">
              <wp:posOffset>19050</wp:posOffset>
            </wp:positionH>
            <wp:positionV relativeFrom="paragraph">
              <wp:posOffset>90010</wp:posOffset>
            </wp:positionV>
            <wp:extent cx="1999388" cy="833915"/>
            <wp:effectExtent l="0" t="0" r="0" b="0"/>
            <wp:wrapTopAndBottom distT="0" distB="0"/>
            <wp:docPr id="2" name="Obrázek 2" descr="PR_Logo_cerna_oranz_RGB.png"/>
            <wp:cNvGraphicFramePr/>
            <a:graphic xmlns:a="http://schemas.openxmlformats.org/drawingml/2006/main">
              <a:graphicData uri="http://schemas.openxmlformats.org/drawingml/2006/picture">
                <pic:pic xmlns:pic="http://schemas.openxmlformats.org/drawingml/2006/picture">
                  <pic:nvPicPr>
                    <pic:cNvPr id="0" name="image1.png" descr="PR_Logo_cerna_oranz_RGB.png"/>
                    <pic:cNvPicPr preferRelativeResize="0"/>
                  </pic:nvPicPr>
                  <pic:blipFill>
                    <a:blip r:embed="rId9"/>
                    <a:srcRect/>
                    <a:stretch>
                      <a:fillRect/>
                    </a:stretch>
                  </pic:blipFill>
                  <pic:spPr>
                    <a:xfrm>
                      <a:off x="0" y="0"/>
                      <a:ext cx="1999388" cy="833915"/>
                    </a:xfrm>
                    <a:prstGeom prst="rect">
                      <a:avLst/>
                    </a:prstGeom>
                    <a:ln/>
                  </pic:spPr>
                </pic:pic>
              </a:graphicData>
            </a:graphic>
          </wp:anchor>
        </w:drawing>
      </w:r>
    </w:p>
    <w:p w14:paraId="705A2431" w14:textId="77777777" w:rsidR="000D7DD9" w:rsidRDefault="008C1AB2">
      <w:pPr>
        <w:spacing w:before="200"/>
      </w:pPr>
      <w:r>
        <w:br w:type="page"/>
      </w:r>
    </w:p>
    <w:p w14:paraId="705A2432" w14:textId="52BB05D5" w:rsidR="000D7DD9" w:rsidRPr="001547AC" w:rsidRDefault="001547AC" w:rsidP="00411F61">
      <w:pPr>
        <w:jc w:val="center"/>
      </w:pPr>
      <w:r w:rsidRPr="001547AC">
        <w:lastRenderedPageBreak/>
        <w:t>MUZ/259/2023</w:t>
      </w:r>
    </w:p>
    <w:p w14:paraId="705A2433" w14:textId="77777777" w:rsidR="000D7DD9" w:rsidRDefault="008C1AB2">
      <w:pPr>
        <w:pStyle w:val="Nadpis2"/>
        <w:numPr>
          <w:ilvl w:val="0"/>
          <w:numId w:val="2"/>
        </w:numPr>
      </w:pPr>
      <w:bookmarkStart w:id="1" w:name="_gc3lo366r3sl" w:colFirst="0" w:colLast="0"/>
      <w:bookmarkEnd w:id="1"/>
      <w:r>
        <w:t>Smluvní strany</w:t>
      </w:r>
    </w:p>
    <w:tbl>
      <w:tblPr>
        <w:tblW w:w="9633" w:type="dxa"/>
        <w:tblLayout w:type="fixed"/>
        <w:tblCellMar>
          <w:top w:w="100" w:type="dxa"/>
          <w:left w:w="100" w:type="dxa"/>
          <w:bottom w:w="100" w:type="dxa"/>
          <w:right w:w="100" w:type="dxa"/>
        </w:tblCellMar>
        <w:tblLook w:val="0600" w:firstRow="0" w:lastRow="0" w:firstColumn="0" w:lastColumn="0" w:noHBand="1" w:noVBand="1"/>
      </w:tblPr>
      <w:tblGrid>
        <w:gridCol w:w="4816"/>
        <w:gridCol w:w="4817"/>
      </w:tblGrid>
      <w:tr w:rsidR="000D7DD9" w14:paraId="705A2436" w14:textId="77777777">
        <w:tc>
          <w:tcPr>
            <w:tcW w:w="4816" w:type="dxa"/>
            <w:shd w:val="clear" w:color="auto" w:fill="auto"/>
            <w:tcMar>
              <w:top w:w="100" w:type="dxa"/>
              <w:left w:w="100" w:type="dxa"/>
              <w:bottom w:w="100" w:type="dxa"/>
              <w:right w:w="100" w:type="dxa"/>
            </w:tcMar>
          </w:tcPr>
          <w:p w14:paraId="705A2434" w14:textId="77777777" w:rsidR="000D7DD9" w:rsidRDefault="008C1AB2">
            <w:pPr>
              <w:pStyle w:val="Nadpis3"/>
              <w:widowControl w:val="0"/>
            </w:pPr>
            <w:bookmarkStart w:id="2" w:name="_g032tktb54ym" w:colFirst="0" w:colLast="0"/>
            <w:bookmarkEnd w:id="2"/>
            <w:r>
              <w:t>Zákazník</w:t>
            </w:r>
          </w:p>
        </w:tc>
        <w:tc>
          <w:tcPr>
            <w:tcW w:w="4816" w:type="dxa"/>
            <w:shd w:val="clear" w:color="auto" w:fill="auto"/>
            <w:tcMar>
              <w:top w:w="100" w:type="dxa"/>
              <w:left w:w="100" w:type="dxa"/>
              <w:bottom w:w="100" w:type="dxa"/>
              <w:right w:w="100" w:type="dxa"/>
            </w:tcMar>
          </w:tcPr>
          <w:p w14:paraId="705A2435" w14:textId="77777777" w:rsidR="000D7DD9" w:rsidRDefault="008C1AB2">
            <w:pPr>
              <w:pStyle w:val="Nadpis3"/>
              <w:widowControl w:val="0"/>
            </w:pPr>
            <w:bookmarkStart w:id="3" w:name="_rqme4if3dz47" w:colFirst="0" w:colLast="0"/>
            <w:bookmarkEnd w:id="3"/>
            <w:r>
              <w:t>Dodavatel</w:t>
            </w:r>
          </w:p>
        </w:tc>
      </w:tr>
      <w:tr w:rsidR="000D7DD9" w14:paraId="705A2439" w14:textId="77777777">
        <w:tc>
          <w:tcPr>
            <w:tcW w:w="4816" w:type="dxa"/>
            <w:shd w:val="clear" w:color="auto" w:fill="auto"/>
            <w:tcMar>
              <w:top w:w="100" w:type="dxa"/>
              <w:left w:w="100" w:type="dxa"/>
              <w:bottom w:w="100" w:type="dxa"/>
              <w:right w:w="100" w:type="dxa"/>
            </w:tcMar>
          </w:tcPr>
          <w:p w14:paraId="705A2437" w14:textId="496FAEDE" w:rsidR="000D7DD9" w:rsidRDefault="005813C5">
            <w:pPr>
              <w:rPr>
                <w:rFonts w:ascii="Georgia" w:eastAsia="Georgia" w:hAnsi="Georgia" w:cs="Georgia"/>
                <w:i/>
                <w:sz w:val="20"/>
                <w:szCs w:val="20"/>
              </w:rPr>
            </w:pPr>
            <w:r w:rsidRPr="0067637B">
              <w:rPr>
                <w:highlight w:val="none"/>
              </w:rPr>
              <w:t xml:space="preserve">Muzeum hlavního města Prahy </w:t>
            </w:r>
          </w:p>
        </w:tc>
        <w:tc>
          <w:tcPr>
            <w:tcW w:w="4816" w:type="dxa"/>
            <w:shd w:val="clear" w:color="auto" w:fill="auto"/>
            <w:tcMar>
              <w:top w:w="100" w:type="dxa"/>
              <w:left w:w="100" w:type="dxa"/>
              <w:bottom w:w="100" w:type="dxa"/>
              <w:right w:w="100" w:type="dxa"/>
            </w:tcMar>
          </w:tcPr>
          <w:p w14:paraId="705A2438" w14:textId="77777777" w:rsidR="000D7DD9" w:rsidRDefault="008C1AB2">
            <w:pPr>
              <w:spacing w:after="0" w:line="240" w:lineRule="auto"/>
            </w:pPr>
            <w:proofErr w:type="spellStart"/>
            <w:r>
              <w:t>improtech</w:t>
            </w:r>
            <w:proofErr w:type="spellEnd"/>
            <w:r>
              <w:t xml:space="preserve"> s.r.o.</w:t>
            </w:r>
          </w:p>
        </w:tc>
      </w:tr>
      <w:tr w:rsidR="000D7DD9" w14:paraId="705A243C" w14:textId="77777777">
        <w:tc>
          <w:tcPr>
            <w:tcW w:w="4816" w:type="dxa"/>
            <w:shd w:val="clear" w:color="auto" w:fill="auto"/>
            <w:tcMar>
              <w:top w:w="100" w:type="dxa"/>
              <w:left w:w="100" w:type="dxa"/>
              <w:bottom w:w="100" w:type="dxa"/>
              <w:right w:w="100" w:type="dxa"/>
            </w:tcMar>
          </w:tcPr>
          <w:p w14:paraId="705A243A" w14:textId="13F8A3BF" w:rsidR="000D7DD9" w:rsidRDefault="00930448" w:rsidP="00930448">
            <w:pPr>
              <w:rPr>
                <w:rFonts w:ascii="Georgia" w:eastAsia="Georgia" w:hAnsi="Georgia" w:cs="Georgia"/>
                <w:i/>
                <w:sz w:val="20"/>
                <w:szCs w:val="20"/>
              </w:rPr>
            </w:pPr>
            <w:r>
              <w:t>Kožná 475/ 1</w:t>
            </w:r>
          </w:p>
        </w:tc>
        <w:tc>
          <w:tcPr>
            <w:tcW w:w="4816" w:type="dxa"/>
            <w:shd w:val="clear" w:color="auto" w:fill="auto"/>
            <w:tcMar>
              <w:top w:w="100" w:type="dxa"/>
              <w:left w:w="100" w:type="dxa"/>
              <w:bottom w:w="100" w:type="dxa"/>
              <w:right w:w="100" w:type="dxa"/>
            </w:tcMar>
          </w:tcPr>
          <w:p w14:paraId="705A243B" w14:textId="77777777" w:rsidR="000D7DD9" w:rsidRDefault="008C1AB2">
            <w:pPr>
              <w:spacing w:after="0" w:line="240" w:lineRule="auto"/>
            </w:pPr>
            <w:r>
              <w:t>U vysočanského pivovaru 701/3</w:t>
            </w:r>
          </w:p>
        </w:tc>
      </w:tr>
      <w:tr w:rsidR="000D7DD9" w14:paraId="705A243F" w14:textId="77777777">
        <w:tc>
          <w:tcPr>
            <w:tcW w:w="4816" w:type="dxa"/>
            <w:shd w:val="clear" w:color="auto" w:fill="auto"/>
            <w:tcMar>
              <w:top w:w="100" w:type="dxa"/>
              <w:left w:w="100" w:type="dxa"/>
              <w:bottom w:w="100" w:type="dxa"/>
              <w:right w:w="100" w:type="dxa"/>
            </w:tcMar>
          </w:tcPr>
          <w:p w14:paraId="705A243D" w14:textId="37030EE2" w:rsidR="000D7DD9" w:rsidRDefault="00930448">
            <w:pPr>
              <w:rPr>
                <w:rFonts w:ascii="Georgia" w:eastAsia="Georgia" w:hAnsi="Georgia" w:cs="Georgia"/>
                <w:i/>
                <w:sz w:val="20"/>
                <w:szCs w:val="20"/>
              </w:rPr>
            </w:pPr>
            <w:r>
              <w:t>110 01, Praha 1</w:t>
            </w:r>
          </w:p>
        </w:tc>
        <w:tc>
          <w:tcPr>
            <w:tcW w:w="4816" w:type="dxa"/>
            <w:shd w:val="clear" w:color="auto" w:fill="auto"/>
            <w:tcMar>
              <w:top w:w="100" w:type="dxa"/>
              <w:left w:w="100" w:type="dxa"/>
              <w:bottom w:w="100" w:type="dxa"/>
              <w:right w:w="100" w:type="dxa"/>
            </w:tcMar>
          </w:tcPr>
          <w:p w14:paraId="705A243E" w14:textId="77777777" w:rsidR="000D7DD9" w:rsidRDefault="008C1AB2">
            <w:pPr>
              <w:spacing w:after="0" w:line="240" w:lineRule="auto"/>
            </w:pPr>
            <w:r>
              <w:t>190 00, Praha 9, Vysočany</w:t>
            </w:r>
          </w:p>
        </w:tc>
      </w:tr>
      <w:tr w:rsidR="000D7DD9" w14:paraId="705A2442" w14:textId="77777777">
        <w:tc>
          <w:tcPr>
            <w:tcW w:w="4816" w:type="dxa"/>
            <w:shd w:val="clear" w:color="auto" w:fill="auto"/>
            <w:tcMar>
              <w:top w:w="100" w:type="dxa"/>
              <w:left w:w="100" w:type="dxa"/>
              <w:bottom w:w="100" w:type="dxa"/>
              <w:right w:w="100" w:type="dxa"/>
            </w:tcMar>
          </w:tcPr>
          <w:p w14:paraId="705A2440" w14:textId="38BA44ED" w:rsidR="000D7DD9" w:rsidRDefault="00930448">
            <w:r>
              <w:t>Česká republika</w:t>
            </w:r>
          </w:p>
        </w:tc>
        <w:tc>
          <w:tcPr>
            <w:tcW w:w="4816" w:type="dxa"/>
            <w:shd w:val="clear" w:color="auto" w:fill="auto"/>
            <w:tcMar>
              <w:top w:w="100" w:type="dxa"/>
              <w:left w:w="100" w:type="dxa"/>
              <w:bottom w:w="100" w:type="dxa"/>
              <w:right w:w="100" w:type="dxa"/>
            </w:tcMar>
          </w:tcPr>
          <w:p w14:paraId="705A2441" w14:textId="77777777" w:rsidR="000D7DD9" w:rsidRDefault="008C1AB2">
            <w:pPr>
              <w:spacing w:after="0" w:line="240" w:lineRule="auto"/>
            </w:pPr>
            <w:r>
              <w:t>Česká republika</w:t>
            </w:r>
          </w:p>
        </w:tc>
      </w:tr>
      <w:tr w:rsidR="000D7DD9" w14:paraId="705A2446" w14:textId="77777777">
        <w:tc>
          <w:tcPr>
            <w:tcW w:w="4816" w:type="dxa"/>
            <w:shd w:val="clear" w:color="auto" w:fill="auto"/>
            <w:tcMar>
              <w:top w:w="100" w:type="dxa"/>
              <w:left w:w="100" w:type="dxa"/>
              <w:bottom w:w="100" w:type="dxa"/>
              <w:right w:w="100" w:type="dxa"/>
            </w:tcMar>
          </w:tcPr>
          <w:p w14:paraId="71212FC4" w14:textId="46C5CAE6" w:rsidR="000D7DD9" w:rsidRDefault="008C1AB2" w:rsidP="0067637B">
            <w:pPr>
              <w:spacing w:after="0" w:line="240" w:lineRule="auto"/>
            </w:pPr>
            <w:r>
              <w:t>IČ</w:t>
            </w:r>
            <w:r w:rsidR="00930448">
              <w:t xml:space="preserve"> 00064432</w:t>
            </w:r>
            <w:r>
              <w:t xml:space="preserve"> </w:t>
            </w:r>
          </w:p>
          <w:p w14:paraId="472237E9" w14:textId="5E0C121E" w:rsidR="00770DD9" w:rsidRDefault="00A31A64" w:rsidP="0067637B">
            <w:pPr>
              <w:spacing w:after="0" w:line="240" w:lineRule="auto"/>
            </w:pPr>
            <w:r>
              <w:t>P</w:t>
            </w:r>
            <w:r w:rsidRPr="00A31A64">
              <w:t>říspěvková organizace zřízená hlavním městem Prahou</w:t>
            </w:r>
            <w:r>
              <w:t>, zastoupená ředitelem RNDr. Ing. Ivem Mackem</w:t>
            </w:r>
          </w:p>
          <w:p w14:paraId="705A2443" w14:textId="2FE229A4" w:rsidR="00930448" w:rsidRDefault="00930448"/>
        </w:tc>
        <w:tc>
          <w:tcPr>
            <w:tcW w:w="4816" w:type="dxa"/>
            <w:shd w:val="clear" w:color="auto" w:fill="auto"/>
            <w:tcMar>
              <w:top w:w="100" w:type="dxa"/>
              <w:left w:w="100" w:type="dxa"/>
              <w:bottom w:w="100" w:type="dxa"/>
              <w:right w:w="100" w:type="dxa"/>
            </w:tcMar>
          </w:tcPr>
          <w:p w14:paraId="705A2444" w14:textId="77777777" w:rsidR="000D7DD9" w:rsidRDefault="008C1AB2">
            <w:pPr>
              <w:spacing w:after="0" w:line="240" w:lineRule="auto"/>
            </w:pPr>
            <w:r>
              <w:t>IČ 27367762</w:t>
            </w:r>
          </w:p>
          <w:p w14:paraId="705A2445" w14:textId="77777777" w:rsidR="000D7DD9" w:rsidRDefault="008C1AB2">
            <w:pPr>
              <w:spacing w:after="0" w:line="240" w:lineRule="auto"/>
            </w:pPr>
            <w:r>
              <w:t>Společnost zastoupená jednatelem,</w:t>
            </w:r>
            <w:r>
              <w:br/>
              <w:t xml:space="preserve">Kamilem Hrbáčkem, zapsaná v obchodním rejstříku vedeném Městským soudem v Praze pod </w:t>
            </w:r>
            <w:proofErr w:type="spellStart"/>
            <w:r>
              <w:t>sp</w:t>
            </w:r>
            <w:proofErr w:type="spellEnd"/>
            <w:r>
              <w:t>. zn. C 108825</w:t>
            </w:r>
          </w:p>
        </w:tc>
      </w:tr>
    </w:tbl>
    <w:p w14:paraId="705A2447" w14:textId="77777777" w:rsidR="000D7DD9" w:rsidRDefault="000D7DD9"/>
    <w:p w14:paraId="705A2448" w14:textId="77777777" w:rsidR="000D7DD9" w:rsidRDefault="000D7DD9"/>
    <w:p w14:paraId="705A2449" w14:textId="77777777" w:rsidR="000D7DD9" w:rsidRDefault="008C1AB2">
      <w:pPr>
        <w:pStyle w:val="Nadpis2"/>
        <w:numPr>
          <w:ilvl w:val="0"/>
          <w:numId w:val="2"/>
        </w:numPr>
        <w:pBdr>
          <w:top w:val="nil"/>
          <w:left w:val="nil"/>
          <w:bottom w:val="nil"/>
          <w:right w:val="nil"/>
          <w:between w:val="nil"/>
        </w:pBdr>
      </w:pPr>
      <w:bookmarkStart w:id="4" w:name="_oh84qorfrva8" w:colFirst="0" w:colLast="0"/>
      <w:bookmarkEnd w:id="4"/>
      <w:r>
        <w:t>Předmět smlouvy</w:t>
      </w:r>
    </w:p>
    <w:p w14:paraId="705A244A" w14:textId="74D1905E" w:rsidR="000D7DD9" w:rsidRDefault="008C1AB2">
      <w:pPr>
        <w:pBdr>
          <w:top w:val="nil"/>
          <w:left w:val="nil"/>
          <w:bottom w:val="nil"/>
          <w:right w:val="nil"/>
          <w:between w:val="nil"/>
        </w:pBdr>
        <w:jc w:val="both"/>
      </w:pPr>
      <w:r>
        <w:t xml:space="preserve">Předmětem této smlouvy (dále jako Smlouva) je dodávka zařízení (dále jako Zařízení) definovaného v příloze A Smlouvy. Dodavatel se zavazuje za podmínek stanovených touto Smlouvou dodat Zákazníkovi Zařízení, a umožnit mu nabýt vlastnické právo ke všem jeho movitým částem. Zařízení </w:t>
      </w:r>
      <w:proofErr w:type="gramStart"/>
      <w:r>
        <w:t>doručí</w:t>
      </w:r>
      <w:proofErr w:type="gramEnd"/>
      <w:r>
        <w:t xml:space="preserve"> Dodavatel v termínu do pracovních 3 dnů od podpisu této </w:t>
      </w:r>
      <w:r w:rsidR="003B59A2">
        <w:t>S</w:t>
      </w:r>
      <w:r>
        <w:t>mlouvy, pokud se smluvní strany nedomluví jinak.</w:t>
      </w:r>
    </w:p>
    <w:p w14:paraId="705A244B" w14:textId="1689FA51" w:rsidR="000D7DD9" w:rsidRDefault="008C1AB2">
      <w:pPr>
        <w:pBdr>
          <w:top w:val="nil"/>
          <w:left w:val="nil"/>
          <w:bottom w:val="nil"/>
          <w:right w:val="nil"/>
          <w:between w:val="nil"/>
        </w:pBdr>
        <w:jc w:val="both"/>
      </w:pPr>
      <w:r>
        <w:t xml:space="preserve">Příloha A je nedílnou součástí této </w:t>
      </w:r>
      <w:r w:rsidR="003B59A2">
        <w:t>S</w:t>
      </w:r>
      <w:r>
        <w:t>mlouvy.</w:t>
      </w:r>
    </w:p>
    <w:p w14:paraId="705A244C" w14:textId="77777777" w:rsidR="000D7DD9" w:rsidRDefault="008C1AB2">
      <w:pPr>
        <w:pBdr>
          <w:top w:val="nil"/>
          <w:left w:val="nil"/>
          <w:bottom w:val="nil"/>
          <w:right w:val="nil"/>
          <w:between w:val="nil"/>
        </w:pBdr>
        <w:jc w:val="both"/>
      </w:pPr>
      <w:r>
        <w:t>Zákazník se zavazuje za podmínek stanovených touto Smlouvou řádně Zařízení od Dodavatele převzít a zaplatit mu za něj kupní cenu sjednanou v kapitole 3. této Smlouvy.</w:t>
      </w:r>
    </w:p>
    <w:p w14:paraId="705A244D" w14:textId="77777777" w:rsidR="000D7DD9" w:rsidRDefault="000D7DD9"/>
    <w:p w14:paraId="705A244E" w14:textId="77777777" w:rsidR="000D7DD9" w:rsidRDefault="008C1AB2">
      <w:pPr>
        <w:pStyle w:val="Nadpis2"/>
        <w:numPr>
          <w:ilvl w:val="0"/>
          <w:numId w:val="2"/>
        </w:numPr>
        <w:pBdr>
          <w:top w:val="nil"/>
          <w:left w:val="nil"/>
          <w:bottom w:val="nil"/>
          <w:right w:val="nil"/>
          <w:between w:val="nil"/>
        </w:pBdr>
      </w:pPr>
      <w:bookmarkStart w:id="5" w:name="_64uj7752mm94" w:colFirst="0" w:colLast="0"/>
      <w:bookmarkEnd w:id="5"/>
      <w:r>
        <w:lastRenderedPageBreak/>
        <w:t>Kupní cena</w:t>
      </w:r>
    </w:p>
    <w:p w14:paraId="705A244F" w14:textId="6039D976" w:rsidR="000D7DD9" w:rsidRDefault="008C1AB2">
      <w:pPr>
        <w:jc w:val="both"/>
      </w:pPr>
      <w:r>
        <w:t xml:space="preserve">Kupní cena je dohodou smluvních stran stanovena ve výši 165.850,- Kč bez DPH, resp. </w:t>
      </w:r>
      <w:proofErr w:type="gramStart"/>
      <w:r>
        <w:t>200.679,-</w:t>
      </w:r>
      <w:proofErr w:type="gramEnd"/>
      <w:r w:rsidR="00B60F9B">
        <w:t> </w:t>
      </w:r>
      <w:r>
        <w:t>Kč s DPH.</w:t>
      </w:r>
    </w:p>
    <w:p w14:paraId="0FB5C69A" w14:textId="61B65EC0" w:rsidR="00622290" w:rsidRDefault="00622290">
      <w:pPr>
        <w:jc w:val="both"/>
      </w:pPr>
      <w:r>
        <w:t xml:space="preserve">Kupní cena je konečná a zahrnuje </w:t>
      </w:r>
      <w:r w:rsidR="00F35991">
        <w:t xml:space="preserve">veškeré náklady </w:t>
      </w:r>
      <w:r w:rsidR="000A7433">
        <w:t>spojené s dodávkou Zařízení</w:t>
      </w:r>
      <w:r w:rsidR="00A813FA">
        <w:t xml:space="preserve">, </w:t>
      </w:r>
      <w:r w:rsidR="00A813FA" w:rsidRPr="00A813FA">
        <w:t xml:space="preserve">tj. </w:t>
      </w:r>
      <w:r w:rsidR="005B44CF" w:rsidRPr="00A813FA">
        <w:t>celní poplatky</w:t>
      </w:r>
      <w:r w:rsidR="005B44CF">
        <w:t>,</w:t>
      </w:r>
      <w:r w:rsidR="005B44CF" w:rsidRPr="00A813FA">
        <w:t xml:space="preserve"> </w:t>
      </w:r>
      <w:r w:rsidR="00A813FA" w:rsidRPr="00A813FA">
        <w:t>dopravu</w:t>
      </w:r>
      <w:r w:rsidR="005B44CF">
        <w:t xml:space="preserve"> na místo </w:t>
      </w:r>
      <w:r w:rsidR="008C1AB2">
        <w:t>dodání</w:t>
      </w:r>
      <w:r w:rsidR="00A813FA" w:rsidRPr="00A813FA">
        <w:t>, pojištění</w:t>
      </w:r>
      <w:r w:rsidR="005B44CF">
        <w:t>,</w:t>
      </w:r>
      <w:r w:rsidR="00A813FA" w:rsidRPr="00A813FA">
        <w:t xml:space="preserve"> </w:t>
      </w:r>
      <w:r w:rsidR="005B44CF" w:rsidRPr="00A813FA">
        <w:t>licence</w:t>
      </w:r>
      <w:r w:rsidR="005B44CF">
        <w:t xml:space="preserve"> </w:t>
      </w:r>
      <w:r w:rsidR="00A813FA" w:rsidRPr="00A813FA">
        <w:t xml:space="preserve">a přiměřený zisk </w:t>
      </w:r>
      <w:r w:rsidR="00A813FA">
        <w:t>D</w:t>
      </w:r>
      <w:r w:rsidR="00A813FA" w:rsidRPr="00A813FA">
        <w:t>odavatele</w:t>
      </w:r>
      <w:r w:rsidR="00A813FA">
        <w:t>.</w:t>
      </w:r>
    </w:p>
    <w:p w14:paraId="705A2450" w14:textId="763C881E" w:rsidR="000D7DD9" w:rsidRDefault="008C1AB2">
      <w:pPr>
        <w:jc w:val="both"/>
      </w:pPr>
      <w:r>
        <w:t>Platba kupní ceny bude realizována formou jedné plat</w:t>
      </w:r>
      <w:r w:rsidR="0081712E">
        <w:t>by</w:t>
      </w:r>
      <w:r>
        <w:t xml:space="preserve"> na základě faktury vystaven</w:t>
      </w:r>
      <w:r w:rsidR="00317809">
        <w:t>é</w:t>
      </w:r>
      <w:r>
        <w:t xml:space="preserve"> Dodavatelem ve výši </w:t>
      </w:r>
      <w:proofErr w:type="gramStart"/>
      <w:r>
        <w:t>200.679,-</w:t>
      </w:r>
      <w:proofErr w:type="gramEnd"/>
      <w:r>
        <w:t xml:space="preserve"> Kč do 10 dnů po předání Zařízení Dodavatelem Zákazníkovi na základě předávacího protokolu či dodacího listu, a to na bankovní účet 2132000028/5500, vedený na společnost </w:t>
      </w:r>
      <w:proofErr w:type="spellStart"/>
      <w:r>
        <w:t>improtech</w:t>
      </w:r>
      <w:proofErr w:type="spellEnd"/>
      <w:r>
        <w:t xml:space="preserve"> s.r.o. </w:t>
      </w:r>
    </w:p>
    <w:p w14:paraId="64A4A63F" w14:textId="13037A38" w:rsidR="00FD5381" w:rsidRDefault="00FD5381" w:rsidP="00FD5381">
      <w:pPr>
        <w:jc w:val="both"/>
      </w:pPr>
      <w:r>
        <w:t xml:space="preserve">Faktura vystavená Dodavatelem dle této </w:t>
      </w:r>
      <w:r w:rsidR="00FE4FF4">
        <w:t>S</w:t>
      </w:r>
      <w:r>
        <w:t>mlouvy musí obsahovat všechny náležitosti řádného účetního a daňového dokladu ve smyslu příslušných právních předpisů, zejména zákona č.</w:t>
      </w:r>
      <w:r w:rsidR="00B60F9B">
        <w:t> </w:t>
      </w:r>
      <w:r>
        <w:t xml:space="preserve">563/1991 Sb., o účetnictví, ve znění pozdějších předpisů, a zákona č. 235/2004 Sb., o dani z přidané hodnoty, ve znění pozdějších předpisů, dále podrobný rozpis a specifikaci předmětu </w:t>
      </w:r>
      <w:r w:rsidR="00722D9E">
        <w:t>dodávky</w:t>
      </w:r>
      <w:r>
        <w:t xml:space="preserve"> tak, aby bylo možné zjistit účel fakturovaných částek (nebo jejich jednotlivých složek) a její přílohu bude kopie oboustranně podepsaného</w:t>
      </w:r>
      <w:r w:rsidR="00722D9E">
        <w:t xml:space="preserve"> předávacího protokolu nebo</w:t>
      </w:r>
      <w:r>
        <w:t xml:space="preserve"> </w:t>
      </w:r>
      <w:r w:rsidR="00722D9E">
        <w:t>d</w:t>
      </w:r>
      <w:r>
        <w:t>odacího listu.</w:t>
      </w:r>
    </w:p>
    <w:p w14:paraId="1B8AAFA8" w14:textId="42E16ABC" w:rsidR="00FD5381" w:rsidRDefault="00FD5381" w:rsidP="00FD5381">
      <w:pPr>
        <w:jc w:val="both"/>
      </w:pPr>
      <w:r>
        <w:t xml:space="preserve">Bude-li faktura vystavena v souladu s touto </w:t>
      </w:r>
      <w:r w:rsidR="00FE4FF4">
        <w:t>S</w:t>
      </w:r>
      <w:r>
        <w:t xml:space="preserve">mlouvou, uhradí ji </w:t>
      </w:r>
      <w:r w:rsidR="00722D9E">
        <w:t>Zákazník</w:t>
      </w:r>
      <w:r>
        <w:t xml:space="preserve"> ve lhůtě splatnosti třicet (30) dnů od doručení. V případě, že faktura vystavená Dodavatelem bude obsahovat věcné či formální nesprávnosti, nebo nebude mít odpovídající náležitosti vyžadované touto </w:t>
      </w:r>
      <w:r w:rsidR="00FE4FF4">
        <w:t>S</w:t>
      </w:r>
      <w:r>
        <w:t xml:space="preserve">mlouvou nebo právními předpisy, je </w:t>
      </w:r>
      <w:r w:rsidR="00722D9E">
        <w:t>Zákazník</w:t>
      </w:r>
      <w:r>
        <w:t xml:space="preserve"> oprávněn ji vrátit ve lhůtě splatnosti zpět Dodavateli k doplnění, aniž se tak dostane do prodlení se splatností. Lhůta splatnosti počíná běžet znovu od opětovného doručení náležitě doplněné či opravené faktury </w:t>
      </w:r>
      <w:r w:rsidR="00722D9E">
        <w:t>Zákazníkovi</w:t>
      </w:r>
      <w:r>
        <w:t>.</w:t>
      </w:r>
    </w:p>
    <w:p w14:paraId="21143CA5" w14:textId="37CEBA34" w:rsidR="00167088" w:rsidRDefault="00FD5381" w:rsidP="00FD5381">
      <w:pPr>
        <w:jc w:val="both"/>
      </w:pPr>
      <w:r>
        <w:t xml:space="preserve">Pokud se po dobu účinnosti této </w:t>
      </w:r>
      <w:r w:rsidR="00FE4FF4">
        <w:t>S</w:t>
      </w:r>
      <w:r>
        <w:t xml:space="preserve">mlouvy Dodavatel stane nespolehlivým plátcem ve smyslu ustanovení § 109 odst. 3 zákona č. 235/2004 Sb., o dani z přidané hodnoty, ve znění pozdějších předpisů, smluvní strany se dohodly, že </w:t>
      </w:r>
      <w:r w:rsidR="005C155D">
        <w:t>Zákazník</w:t>
      </w:r>
      <w:r>
        <w:t xml:space="preserve"> má právo uhradit DPH za zdanitelné plnění přímo příslušnému správci daně. </w:t>
      </w:r>
      <w:r w:rsidR="005C155D">
        <w:t>Zákazníkem</w:t>
      </w:r>
      <w:r>
        <w:t xml:space="preserve"> takto provedená úhrada bude považována za uhrazení příslušné části kupní ceny rovnající se výši DPH fakturované Dodavatelem.</w:t>
      </w:r>
    </w:p>
    <w:p w14:paraId="705A2451" w14:textId="77777777" w:rsidR="000D7DD9" w:rsidRDefault="000D7DD9"/>
    <w:p w14:paraId="705A2452" w14:textId="77777777" w:rsidR="000D7DD9" w:rsidRDefault="008C1AB2">
      <w:pPr>
        <w:pStyle w:val="Nadpis2"/>
        <w:numPr>
          <w:ilvl w:val="0"/>
          <w:numId w:val="2"/>
        </w:numPr>
        <w:pBdr>
          <w:top w:val="nil"/>
          <w:left w:val="nil"/>
          <w:bottom w:val="nil"/>
          <w:right w:val="nil"/>
          <w:between w:val="nil"/>
        </w:pBdr>
      </w:pPr>
      <w:bookmarkStart w:id="6" w:name="_hplxgl25wss6" w:colFirst="0" w:colLast="0"/>
      <w:bookmarkEnd w:id="6"/>
      <w:r>
        <w:t>Dodání a přeprava</w:t>
      </w:r>
    </w:p>
    <w:p w14:paraId="705A2453" w14:textId="1B7536BA" w:rsidR="000D7DD9" w:rsidRDefault="008C1AB2" w:rsidP="00B10036">
      <w:pPr>
        <w:jc w:val="both"/>
      </w:pPr>
      <w:r>
        <w:t xml:space="preserve">Zařízení, které je specifikováno v Příloze </w:t>
      </w:r>
      <w:r w:rsidR="000D27DE">
        <w:t>A</w:t>
      </w:r>
      <w:r>
        <w:t xml:space="preserve"> této Smlouvy, bude předáno dle mezinárodně platných podmínek </w:t>
      </w:r>
      <w:proofErr w:type="spellStart"/>
      <w:r>
        <w:t>Incoterms</w:t>
      </w:r>
      <w:proofErr w:type="spellEnd"/>
      <w:r>
        <w:t xml:space="preserve"> (2020) s použitím doložky DAP (</w:t>
      </w:r>
      <w:proofErr w:type="spellStart"/>
      <w:r>
        <w:t>Delivered</w:t>
      </w:r>
      <w:proofErr w:type="spellEnd"/>
      <w:r>
        <w:t xml:space="preserve"> At Place). </w:t>
      </w:r>
      <w:r w:rsidR="00B345C8">
        <w:t xml:space="preserve">Místem dodání je </w:t>
      </w:r>
      <w:r w:rsidR="00B10036">
        <w:t>pracoviště digitalizace</w:t>
      </w:r>
      <w:r w:rsidR="00392C5C">
        <w:t xml:space="preserve"> Zákazníka na adrese</w:t>
      </w:r>
    </w:p>
    <w:p w14:paraId="705A2454" w14:textId="77777777" w:rsidR="000D7DD9" w:rsidRDefault="008C1AB2">
      <w:pPr>
        <w:jc w:val="both"/>
      </w:pPr>
      <w:r>
        <w:lastRenderedPageBreak/>
        <w:t>Prodávající si vyhrazuje k Zařízení vlastnické právo a Zákazník nabývá vlastnického práva ke všem movitým částem Zařízení až úplným zaplacením kupní ceny. Nebezpečí škody na zboží přechází na Zákazníka již jeho dodáním ze strany Dodavatele.</w:t>
      </w:r>
    </w:p>
    <w:p w14:paraId="705A2455" w14:textId="77777777" w:rsidR="000D7DD9" w:rsidRDefault="008C1AB2">
      <w:pPr>
        <w:jc w:val="both"/>
      </w:pPr>
      <w:r>
        <w:t>Zákazník je povinen Dodavatele neprodleně písemně informovat, stane-li se Zařízení, na které se vztahuje výhrada vlastnictví, předmětem výkonu rozhodnutí či exekuce, nebo bude-li zahrnuto do majetkové podstaty v rámci insolvenčního řízení, popř. dojde-li k jinému omezení vlastnického práva Dodavatele ke zboží ze strany třetí osoby nebo takové omezení bude hrozit.</w:t>
      </w:r>
    </w:p>
    <w:p w14:paraId="705A2456" w14:textId="77777777" w:rsidR="000D7DD9" w:rsidRDefault="000D7DD9"/>
    <w:p w14:paraId="705A2457" w14:textId="77777777" w:rsidR="000D7DD9" w:rsidRDefault="008C1AB2">
      <w:pPr>
        <w:pStyle w:val="Nadpis2"/>
        <w:numPr>
          <w:ilvl w:val="0"/>
          <w:numId w:val="2"/>
        </w:numPr>
        <w:pBdr>
          <w:top w:val="nil"/>
          <w:left w:val="nil"/>
          <w:bottom w:val="nil"/>
          <w:right w:val="nil"/>
          <w:between w:val="nil"/>
        </w:pBdr>
      </w:pPr>
      <w:bookmarkStart w:id="7" w:name="_e3tflw5angfl" w:colFirst="0" w:colLast="0"/>
      <w:bookmarkEnd w:id="7"/>
      <w:r>
        <w:t>Termín dodání</w:t>
      </w:r>
    </w:p>
    <w:p w14:paraId="705A2458" w14:textId="33B35C3A" w:rsidR="000D7DD9" w:rsidRDefault="008C1AB2" w:rsidP="00CE49B1">
      <w:pPr>
        <w:pBdr>
          <w:top w:val="nil"/>
          <w:left w:val="nil"/>
          <w:bottom w:val="nil"/>
          <w:right w:val="nil"/>
          <w:between w:val="nil"/>
        </w:pBdr>
        <w:jc w:val="both"/>
      </w:pPr>
      <w:r>
        <w:t xml:space="preserve">Expedice Zařízení k Zákazníkovi bude započata do </w:t>
      </w:r>
      <w:r w:rsidR="00B60F9B">
        <w:t>tří (3)</w:t>
      </w:r>
      <w:r>
        <w:t xml:space="preserve"> pracovních dnů po dni od podpisu této </w:t>
      </w:r>
      <w:r w:rsidR="00CE49B1">
        <w:t>S</w:t>
      </w:r>
      <w:r>
        <w:t>mlouvy.</w:t>
      </w:r>
    </w:p>
    <w:p w14:paraId="705A2459" w14:textId="77777777" w:rsidR="000D7DD9" w:rsidRDefault="000D7DD9">
      <w:pPr>
        <w:rPr>
          <w:rFonts w:ascii="Roboto" w:eastAsia="Roboto" w:hAnsi="Roboto" w:cs="Roboto"/>
          <w:color w:val="212529"/>
          <w:sz w:val="24"/>
          <w:szCs w:val="24"/>
        </w:rPr>
      </w:pPr>
    </w:p>
    <w:p w14:paraId="705A245A" w14:textId="77777777" w:rsidR="000D7DD9" w:rsidRDefault="008C1AB2">
      <w:pPr>
        <w:pStyle w:val="Nadpis2"/>
        <w:numPr>
          <w:ilvl w:val="0"/>
          <w:numId w:val="2"/>
        </w:numPr>
        <w:pBdr>
          <w:top w:val="nil"/>
          <w:left w:val="nil"/>
          <w:bottom w:val="nil"/>
          <w:right w:val="nil"/>
          <w:between w:val="nil"/>
        </w:pBdr>
      </w:pPr>
      <w:bookmarkStart w:id="8" w:name="_g0xh7hdko7uy" w:colFirst="0" w:colLast="0"/>
      <w:bookmarkEnd w:id="8"/>
      <w:r>
        <w:t>Odpovědnost za vady, duševní vlastnictví, záruka</w:t>
      </w:r>
    </w:p>
    <w:p w14:paraId="705A245B" w14:textId="77777777" w:rsidR="000D7DD9" w:rsidRDefault="008C1AB2">
      <w:pPr>
        <w:jc w:val="both"/>
      </w:pPr>
      <w:r>
        <w:t>Zákazník prohlašuje, že je ve smyslu § 420 občanského zákoníku podnikatelem a zboží kupuje za účelem podnikání. Odpovědnost Dodavatele za vady zboží se řídí příslušnými zákonnými ustanoveními.</w:t>
      </w:r>
    </w:p>
    <w:p w14:paraId="705A245C" w14:textId="77777777" w:rsidR="000D7DD9" w:rsidRDefault="008C1AB2">
      <w:pPr>
        <w:jc w:val="both"/>
      </w:pPr>
      <w:r>
        <w:t>Zákazník uznává a bere na vědomí, že uzavřením Smlouvy a její následnou realizací (zejména užíváním Zařízení pro jím sledované účely) nezískává žádná vlastnická práva k jakémukoli patentu, ochranné známce, obchodnímu jménu (firmě) ani jakémukoli jinému duševnímu nebo průmyslovému vlastnictví, které se vztahuje k Zařízení, může jej však nerušeně užívat.</w:t>
      </w:r>
    </w:p>
    <w:p w14:paraId="705A245D" w14:textId="47A0E9DF" w:rsidR="000D7DD9" w:rsidRDefault="008C1AB2">
      <w:pPr>
        <w:jc w:val="both"/>
      </w:pPr>
      <w:r>
        <w:t>Dodavatel tímto poskytuje Zákazníkovi na dodané Zařízení záruku na plnou funkčnost zařízení v</w:t>
      </w:r>
      <w:r w:rsidR="00B60F9B">
        <w:t> </w:t>
      </w:r>
      <w:r>
        <w:t>době trvání 12 měsíců od data dodání Zařízení.</w:t>
      </w:r>
      <w:r w:rsidR="00615B4A">
        <w:t xml:space="preserve"> </w:t>
      </w:r>
      <w:r w:rsidR="00615B4A" w:rsidRPr="00615B4A">
        <w:t xml:space="preserve">Dodavatel odpovídá za to, že </w:t>
      </w:r>
      <w:r w:rsidR="00124014">
        <w:t xml:space="preserve">dodávané </w:t>
      </w:r>
      <w:r w:rsidR="00615B4A">
        <w:t xml:space="preserve">Zařízení </w:t>
      </w:r>
      <w:r w:rsidR="00124014">
        <w:t>bud</w:t>
      </w:r>
      <w:r w:rsidR="00615B4A" w:rsidRPr="00615B4A">
        <w:t>e způsobil</w:t>
      </w:r>
      <w:r w:rsidR="00615B4A">
        <w:t>é</w:t>
      </w:r>
      <w:r w:rsidR="00615B4A" w:rsidRPr="00615B4A">
        <w:t xml:space="preserve"> k užívání a bude mít po dobu běhu záruční doby vlastnosti stanovené touto </w:t>
      </w:r>
      <w:r w:rsidR="00124014">
        <w:t>S</w:t>
      </w:r>
      <w:r w:rsidR="00615B4A" w:rsidRPr="00615B4A">
        <w:t xml:space="preserve">mlouvou, obecně závaznými předpisy, závaznými ustanoveními příslušných technických norem, popřípadě vlastnosti obvyklé, dále za to, že </w:t>
      </w:r>
      <w:r w:rsidR="00124014">
        <w:t>Zařízení bude</w:t>
      </w:r>
      <w:r w:rsidR="00615B4A" w:rsidRPr="00615B4A">
        <w:t xml:space="preserve"> </w:t>
      </w:r>
      <w:r w:rsidR="00124014">
        <w:t xml:space="preserve">dodáno jako </w:t>
      </w:r>
      <w:r w:rsidR="004576DB" w:rsidRPr="00615B4A">
        <w:t>kompletní</w:t>
      </w:r>
      <w:r w:rsidR="004576DB">
        <w:t xml:space="preserve">, </w:t>
      </w:r>
      <w:r w:rsidR="00124014">
        <w:t>nové, nerepasované</w:t>
      </w:r>
      <w:r w:rsidR="004576DB">
        <w:t>,</w:t>
      </w:r>
      <w:r w:rsidR="00124014">
        <w:t xml:space="preserve"> </w:t>
      </w:r>
      <w:r w:rsidR="004576DB">
        <w:t>splňující</w:t>
      </w:r>
      <w:r w:rsidR="00615B4A" w:rsidRPr="00615B4A">
        <w:t xml:space="preserve"> požadavk</w:t>
      </w:r>
      <w:r w:rsidR="004576DB">
        <w:t>y</w:t>
      </w:r>
      <w:r w:rsidR="00615B4A" w:rsidRPr="00615B4A">
        <w:t xml:space="preserve"> sjednan</w:t>
      </w:r>
      <w:r w:rsidR="004576DB">
        <w:t>é v této S</w:t>
      </w:r>
      <w:r w:rsidR="00615B4A" w:rsidRPr="00615B4A">
        <w:t xml:space="preserve">mlouvě, a </w:t>
      </w:r>
      <w:r w:rsidR="004576DB">
        <w:t>že bude</w:t>
      </w:r>
      <w:r w:rsidR="008A097E">
        <w:t xml:space="preserve"> </w:t>
      </w:r>
      <w:r w:rsidR="004576DB">
        <w:t>prosté právních vad</w:t>
      </w:r>
      <w:r w:rsidR="00615B4A" w:rsidRPr="00615B4A">
        <w:t>.</w:t>
      </w:r>
    </w:p>
    <w:p w14:paraId="4D207D19" w14:textId="6E41FAA1" w:rsidR="004269D2" w:rsidRDefault="004269D2" w:rsidP="004269D2">
      <w:pPr>
        <w:jc w:val="both"/>
      </w:pPr>
      <w:r>
        <w:t>Vyskytne-</w:t>
      </w:r>
      <w:proofErr w:type="spellStart"/>
      <w:r>
        <w:t>Ii</w:t>
      </w:r>
      <w:proofErr w:type="spellEnd"/>
      <w:r>
        <w:t xml:space="preserve"> se v záruční době na Zařízení vada, na kterou se vztahuje záruka, Dodavatel se zavazuje ji bezplatně odstranit „NBD on </w:t>
      </w:r>
      <w:proofErr w:type="spellStart"/>
      <w:r>
        <w:t>site</w:t>
      </w:r>
      <w:proofErr w:type="spellEnd"/>
      <w:r>
        <w:t>“</w:t>
      </w:r>
      <w:r w:rsidR="00337720">
        <w:t>, čímž se rozumí</w:t>
      </w:r>
      <w:r>
        <w:t xml:space="preserve"> následující pracovní den po nahlášení vady s</w:t>
      </w:r>
      <w:r w:rsidR="00C15811">
        <w:t> </w:t>
      </w:r>
      <w:r>
        <w:t>dodávkou na místo plnění u Objednatele.</w:t>
      </w:r>
    </w:p>
    <w:p w14:paraId="726C18FF" w14:textId="30B78A8C" w:rsidR="004269D2" w:rsidRDefault="004269D2" w:rsidP="004269D2">
      <w:pPr>
        <w:jc w:val="both"/>
      </w:pPr>
      <w:r>
        <w:t xml:space="preserve">Vyskytne-li se vada opakovaně, náleží </w:t>
      </w:r>
      <w:r w:rsidR="00337720">
        <w:t>O</w:t>
      </w:r>
      <w:r>
        <w:t xml:space="preserve">bjednateli právo vybrat si způsob uplatnění vad a právo volby mezi nároky z vad dodaného plnění, přičemž je oprávněn po </w:t>
      </w:r>
      <w:r w:rsidR="00337720">
        <w:t>D</w:t>
      </w:r>
      <w:r>
        <w:t>odavateli:</w:t>
      </w:r>
    </w:p>
    <w:p w14:paraId="3807E493" w14:textId="0376D17E" w:rsidR="004269D2" w:rsidRDefault="004269D2" w:rsidP="00CE49B1">
      <w:pPr>
        <w:pStyle w:val="Odstavecseseznamem"/>
        <w:numPr>
          <w:ilvl w:val="0"/>
          <w:numId w:val="4"/>
        </w:numPr>
        <w:jc w:val="both"/>
      </w:pPr>
      <w:r>
        <w:lastRenderedPageBreak/>
        <w:t>nárokovat bezplatné odstranění vad opravou,</w:t>
      </w:r>
    </w:p>
    <w:p w14:paraId="21D8B1A6" w14:textId="59243E62" w:rsidR="004269D2" w:rsidRDefault="004269D2" w:rsidP="00CE49B1">
      <w:pPr>
        <w:pStyle w:val="Odstavecseseznamem"/>
        <w:numPr>
          <w:ilvl w:val="0"/>
          <w:numId w:val="4"/>
        </w:numPr>
        <w:jc w:val="both"/>
      </w:pPr>
      <w:r>
        <w:t>nárokovat dodání nové bezvadné věci za vadné plnění,</w:t>
      </w:r>
    </w:p>
    <w:p w14:paraId="1123E368" w14:textId="21D8F0C7" w:rsidR="004269D2" w:rsidRDefault="004269D2" w:rsidP="00CE49B1">
      <w:pPr>
        <w:pStyle w:val="Odstavecseseznamem"/>
        <w:numPr>
          <w:ilvl w:val="0"/>
          <w:numId w:val="4"/>
        </w:numPr>
        <w:jc w:val="both"/>
      </w:pPr>
      <w:r>
        <w:t>nárokovat slevu z kupní ceny v rozsahu ceny vadného či nedodaného plnění,</w:t>
      </w:r>
    </w:p>
    <w:p w14:paraId="28D7C5CE" w14:textId="46B52D57" w:rsidR="004269D2" w:rsidRDefault="004269D2" w:rsidP="00CE49B1">
      <w:pPr>
        <w:pStyle w:val="Odstavecseseznamem"/>
        <w:numPr>
          <w:ilvl w:val="0"/>
          <w:numId w:val="4"/>
        </w:numPr>
        <w:jc w:val="both"/>
      </w:pPr>
      <w:r>
        <w:t xml:space="preserve">odstoupit od této </w:t>
      </w:r>
      <w:r w:rsidR="00337720">
        <w:t>S</w:t>
      </w:r>
      <w:r>
        <w:t>mlouvy, bude-li se jednat o vadu takového charakteru, že jde o podstatné porušení smlouvy.</w:t>
      </w:r>
    </w:p>
    <w:p w14:paraId="78CC2C13" w14:textId="66C6D94E" w:rsidR="004269D2" w:rsidRDefault="004269D2" w:rsidP="004269D2">
      <w:pPr>
        <w:jc w:val="both"/>
      </w:pPr>
      <w:r>
        <w:t xml:space="preserve">Dodavatel je povinen nejpozději následující pracovní den ode dne doručení reklamace vadu prověřit, a navrhnout způsob jejího odstranění. Dodavatel je povinen oprávněně reklamovanou vadu odstranit neprodleně s přihlédnutím k povaze vady a vhodnosti provádění prací, nejpozději však ve lhůtě dohodnuté písemně s </w:t>
      </w:r>
      <w:r w:rsidR="00337720">
        <w:t>O</w:t>
      </w:r>
      <w:r>
        <w:t>bjednatelem, a není-li takováto lhůta výslovně dohodnuta, pak ve lhůtě dvacet (20) dnů od oznámení vady.</w:t>
      </w:r>
    </w:p>
    <w:p w14:paraId="01E7B583" w14:textId="14B8A3BD" w:rsidR="008A097E" w:rsidRDefault="004269D2" w:rsidP="004269D2">
      <w:pPr>
        <w:jc w:val="both"/>
      </w:pPr>
      <w:r>
        <w:t xml:space="preserve">Oprávněnou reklamaci vady je </w:t>
      </w:r>
      <w:r w:rsidR="00337720">
        <w:t>D</w:t>
      </w:r>
      <w:r>
        <w:t>odavatel povinen vypořádat bezplatně a na vlastní náklady a</w:t>
      </w:r>
      <w:r w:rsidR="00B60F9B">
        <w:t> </w:t>
      </w:r>
      <w:r>
        <w:t xml:space="preserve">odpovědnost. Neodstraní-li </w:t>
      </w:r>
      <w:r w:rsidR="00C15811">
        <w:t>D</w:t>
      </w:r>
      <w:r>
        <w:t xml:space="preserve">odavatel vady předmětu koupě v souladu s touto </w:t>
      </w:r>
      <w:r w:rsidR="00C15811">
        <w:t>S</w:t>
      </w:r>
      <w:r>
        <w:t>mlouvou řádně a</w:t>
      </w:r>
      <w:r w:rsidR="00B60F9B">
        <w:t> </w:t>
      </w:r>
      <w:r>
        <w:t xml:space="preserve">včas, a to ani v dodatečné přiměřené lhůtě poskytnuté mu k tomu </w:t>
      </w:r>
      <w:r w:rsidR="00C15811">
        <w:t>O</w:t>
      </w:r>
      <w:r>
        <w:t xml:space="preserve">bjednatelem, je </w:t>
      </w:r>
      <w:r w:rsidR="00C15811">
        <w:t>O</w:t>
      </w:r>
      <w:r>
        <w:t xml:space="preserve">bjednatel oprávněn nechat odstranit vady </w:t>
      </w:r>
      <w:r w:rsidR="00C15811">
        <w:t xml:space="preserve">kvalifikovanou </w:t>
      </w:r>
      <w:r>
        <w:t xml:space="preserve">třetí osobou. Dodavatel se pak zavazuje nahradit </w:t>
      </w:r>
      <w:r w:rsidR="00C15811">
        <w:t>O</w:t>
      </w:r>
      <w:r>
        <w:t>bjednateli veškeré účelně vynaložené a prokázané náklady na odstranění vad třetí osobou</w:t>
      </w:r>
      <w:r w:rsidR="00C15811">
        <w:t>.</w:t>
      </w:r>
    </w:p>
    <w:p w14:paraId="705A245E" w14:textId="77777777" w:rsidR="000D7DD9" w:rsidRDefault="000D7DD9">
      <w:pPr>
        <w:jc w:val="both"/>
      </w:pPr>
    </w:p>
    <w:p w14:paraId="705A245F" w14:textId="77777777" w:rsidR="000D7DD9" w:rsidRDefault="008C1AB2">
      <w:pPr>
        <w:pStyle w:val="Nadpis2"/>
        <w:numPr>
          <w:ilvl w:val="0"/>
          <w:numId w:val="2"/>
        </w:numPr>
        <w:pBdr>
          <w:top w:val="nil"/>
          <w:left w:val="nil"/>
          <w:bottom w:val="nil"/>
          <w:right w:val="nil"/>
          <w:between w:val="nil"/>
        </w:pBdr>
        <w:spacing w:after="0"/>
      </w:pPr>
      <w:bookmarkStart w:id="9" w:name="_muhzlwltyjdz" w:colFirst="0" w:colLast="0"/>
      <w:bookmarkEnd w:id="9"/>
      <w:r>
        <w:t>Obecná ustanovení</w:t>
      </w:r>
    </w:p>
    <w:p w14:paraId="705A2460" w14:textId="0130CFBE" w:rsidR="000D7DD9" w:rsidRDefault="008C1AB2">
      <w:pPr>
        <w:numPr>
          <w:ilvl w:val="0"/>
          <w:numId w:val="3"/>
        </w:numPr>
        <w:spacing w:after="0"/>
        <w:jc w:val="both"/>
      </w:pPr>
      <w:r>
        <w:t>Tato Smlouva nabývá platnosti dnem podpisu oběma smluvními stranami a je sepsána ve dvou vyhotoveních, z nichž jedno převzal Dodavatel a druhé Zákazník.</w:t>
      </w:r>
      <w:r w:rsidR="002476A8">
        <w:t xml:space="preserve"> </w:t>
      </w:r>
      <w:r w:rsidR="00FB7FAF" w:rsidRPr="00FB7FAF">
        <w:t xml:space="preserve">Smluvní strany berou na vědomí, že tato </w:t>
      </w:r>
      <w:r w:rsidR="00FB7FAF">
        <w:t>S</w:t>
      </w:r>
      <w:r w:rsidR="00FB7FAF" w:rsidRPr="00FB7FAF">
        <w:t xml:space="preserve">mlouva a její dodatky budou uveřejněny prostřednictvím registru smluv dle zákona č. 340/2015 Sb., o zvláštních podmínkách účinnosti některých smluv, uveřejňování těchto smluv a o registru smluv (zákon o registru smluv). Tato </w:t>
      </w:r>
      <w:r w:rsidR="00FB7FAF">
        <w:t>S</w:t>
      </w:r>
      <w:r w:rsidR="00FB7FAF" w:rsidRPr="00FB7FAF">
        <w:t>mlouva a její dodatky se stanou účinnými nejdříve dnem jejich uveřejnění ve smyslu § 5 zákona o registru smluv.</w:t>
      </w:r>
    </w:p>
    <w:p w14:paraId="705A2461" w14:textId="77777777" w:rsidR="000D7DD9" w:rsidRDefault="008C1AB2">
      <w:pPr>
        <w:numPr>
          <w:ilvl w:val="0"/>
          <w:numId w:val="3"/>
        </w:numPr>
        <w:spacing w:after="0"/>
        <w:jc w:val="both"/>
      </w:pPr>
      <w:r>
        <w:t>Jakékoliv změny nebo doplňky této Smlouvy mohou být činěny pouze formou písemného dodatku, podepsaného oběma smluvními stranami, přičemž k přijetí návrhu takového dodatku je nutný souhlas druhé smluvní strany s celým textem dodatku, bez jakýchkoliv změn a doplňků, a to i pokud podstatně nemění podmínky navrhovaného textu.</w:t>
      </w:r>
    </w:p>
    <w:p w14:paraId="705A2462" w14:textId="77777777" w:rsidR="000D7DD9" w:rsidRDefault="008C1AB2">
      <w:pPr>
        <w:numPr>
          <w:ilvl w:val="0"/>
          <w:numId w:val="3"/>
        </w:numPr>
        <w:spacing w:after="0"/>
        <w:jc w:val="both"/>
      </w:pPr>
      <w:r>
        <w:t>Tato Smlouva jakož i práva a povinnosti vzniklé na základě této Smlouvy nebo v souvislosti s ní se řídí zejména zákonem č. 89/2012 Sb., občanský zákoník.</w:t>
      </w:r>
    </w:p>
    <w:p w14:paraId="705A2463" w14:textId="77777777" w:rsidR="000D7DD9" w:rsidRDefault="008C1AB2">
      <w:pPr>
        <w:numPr>
          <w:ilvl w:val="0"/>
          <w:numId w:val="3"/>
        </w:numPr>
        <w:spacing w:after="0"/>
        <w:jc w:val="both"/>
      </w:pPr>
      <w:r>
        <w:t>Smluvní strany se dohodly, že spory vzniklé na základě této Smlouvy nebo v souvislosti s ní budou projednány a rozhodnuty obecnými soudy, přičemž příslušnost soudu bude určena dle sídla Dodavatele.</w:t>
      </w:r>
    </w:p>
    <w:p w14:paraId="705A2464" w14:textId="77777777" w:rsidR="000D7DD9" w:rsidRDefault="008C1AB2">
      <w:pPr>
        <w:numPr>
          <w:ilvl w:val="0"/>
          <w:numId w:val="3"/>
        </w:numPr>
        <w:spacing w:after="0"/>
        <w:jc w:val="both"/>
      </w:pPr>
      <w:r>
        <w:lastRenderedPageBreak/>
        <w:t>Smluvní strany prohlašují, že tato Smlouva vyjadřuje jejich pravou vůli. Dále prohlašují, že tato Smlouva nebyla uzavřena pod nátlakem, v tísni či za nápadně nevýhodných podmínek. Na důkaz své pravé a svobodné vůle smluvní strany připojují k této Smlouvě své podpisy.</w:t>
      </w:r>
    </w:p>
    <w:p w14:paraId="705A2465" w14:textId="78A24043" w:rsidR="000D7DD9" w:rsidRDefault="008C1AB2">
      <w:pPr>
        <w:numPr>
          <w:ilvl w:val="0"/>
          <w:numId w:val="3"/>
        </w:numPr>
        <w:spacing w:after="0"/>
        <w:jc w:val="both"/>
      </w:pPr>
      <w:r>
        <w:t>Tato Smlouva obsahuje úplné ujednání o předmětu Smlouvy a všech náležitostech, které smluvní strany měly a chtěly v této Smlouvě ujednat a které považují za důležité pro závaznost této Smlouvy. Žádný projev smluvních stran učiněný před nebo při jednání o této Smlouvě ani projev učiněný po uzavření této Smlouvy nesmí být vykládán v rozporu s</w:t>
      </w:r>
      <w:r w:rsidR="00B60F9B">
        <w:t> </w:t>
      </w:r>
      <w:r>
        <w:t>výslovnými ustanoveními této Smlouvy a nezakládá žádný závazek žádné ze smluvních stran.</w:t>
      </w:r>
    </w:p>
    <w:p w14:paraId="705A2466" w14:textId="55ADCE06" w:rsidR="000D7DD9" w:rsidRDefault="008C1AB2">
      <w:pPr>
        <w:numPr>
          <w:ilvl w:val="0"/>
          <w:numId w:val="3"/>
        </w:numPr>
        <w:spacing w:after="0"/>
        <w:jc w:val="both"/>
      </w:pPr>
      <w:r>
        <w:t xml:space="preserve">Zjistí-li se, že některé ustanovení této Smlouvy je zcela nebo částečně neplatné, neúčinné či nevymahatelné nebo se neplatným, neúčinným či nevymahatelným stane, platnost, účinnost či vymahatelnost ostatních ustanovení této </w:t>
      </w:r>
      <w:r w:rsidR="00CE49B1">
        <w:t>S</w:t>
      </w:r>
      <w:r>
        <w:t>mlouvy od něj oddělitelných tím nebude dotčena. Smluvní strany se bezodkladně po zjištění uvedené neplatnosti, neúčinnosti či nevymahatelnosti ustanovení této Smlouvy (nejpozději však do 30 dnů ode dne právní moci rozhodnutí soudu, kterým byla neplatnost, neúčinnost či nevymahatelnost konstatována) zavazují nahradit toto neplatné, neúčinné či nevymahatelné ustanovení ustanovením novým, které bude platné, účinné a vymahatelné, a které bude svým významem nejblíže odpovídat významu ustanovení původního.</w:t>
      </w:r>
    </w:p>
    <w:p w14:paraId="705A2467" w14:textId="6255783C" w:rsidR="000D7DD9" w:rsidRDefault="008C1AB2">
      <w:pPr>
        <w:numPr>
          <w:ilvl w:val="0"/>
          <w:numId w:val="3"/>
        </w:numPr>
        <w:spacing w:after="0"/>
        <w:jc w:val="both"/>
      </w:pPr>
      <w:r>
        <w:t xml:space="preserve">Smluvní strany tímto prohlašují, že podpisem této Smlouvy na sebe berou nebezpečí změny okolností a žádná ze smluvních stran tedy není oprávněna domáhat se po druhé smluvní straně mimosoudně či soudně obnovení jednání o této Smlouvě z toho důvodu, že došlo ke změně okolnosti tak podstatné, že tato změna založila v právech a povinnostech stran zvlášť hrubý nepoměr znevýhodněním jedné z nich buď neúměrným zvýšením nákladů plnění, </w:t>
      </w:r>
      <w:proofErr w:type="gramStart"/>
      <w:r>
        <w:t>a</w:t>
      </w:r>
      <w:r w:rsidR="00B60F9B">
        <w:t> </w:t>
      </w:r>
      <w:r>
        <w:t>nebo</w:t>
      </w:r>
      <w:proofErr w:type="gramEnd"/>
      <w:r>
        <w:t xml:space="preserve"> neúměrným snížením hodnoty předmětu plnění.</w:t>
      </w:r>
    </w:p>
    <w:p w14:paraId="705A2468" w14:textId="77777777" w:rsidR="000D7DD9" w:rsidRDefault="008C1AB2">
      <w:pPr>
        <w:numPr>
          <w:ilvl w:val="0"/>
          <w:numId w:val="3"/>
        </w:numPr>
        <w:spacing w:after="0"/>
        <w:jc w:val="both"/>
      </w:pPr>
      <w:r>
        <w:t>Písemnost určená kterékoliv smluvní straně se považuje za doručenou, není-li prokázán opak, okamžikem jejího převzetí touto smluvní stranou nebo okamžikem odmítnutí jejího převzetí, v ostatních případech (např. když smluvní strana nepřebírá písemnost uloženou jí na poště) pak pátým pracovním dnem po odeslání písemnosti prostřednictvím přepravce pověřeného doručením zásilky či provozovatelem poštovních služeb. Písemnost se bude zasílat na adresu sídla smluvní strany uvedenou v záhlaví této Smlouvy, pokud nebyl odesílatel v mezidobí prokazatelně informován druhou smluvní stranou o změně této adresy.</w:t>
      </w:r>
    </w:p>
    <w:p w14:paraId="705A2469" w14:textId="028286C8" w:rsidR="000D7DD9" w:rsidRDefault="008C1AB2">
      <w:pPr>
        <w:numPr>
          <w:ilvl w:val="0"/>
          <w:numId w:val="3"/>
        </w:numPr>
        <w:spacing w:after="0"/>
        <w:jc w:val="both"/>
      </w:pPr>
      <w:r>
        <w:t>Smluvní strany se dohodly, že Zákazník není oprávněn postoupit jakákoli svá práva a</w:t>
      </w:r>
      <w:r w:rsidR="00B60F9B">
        <w:t> </w:t>
      </w:r>
      <w:r>
        <w:t>převádět jakékoli povinnosti z této Smlouvy nebo z její části, ani postoupit tuto Smlouvu jako celek, na třetí osobu bez předchozího písemného souhlasu Dodavatele. Totéž pravidlo se analogicky vztahuje na Dodavatele.</w:t>
      </w:r>
    </w:p>
    <w:p w14:paraId="705A246A" w14:textId="77777777" w:rsidR="000D7DD9" w:rsidRDefault="008C1AB2">
      <w:pPr>
        <w:numPr>
          <w:ilvl w:val="0"/>
          <w:numId w:val="3"/>
        </w:numPr>
        <w:spacing w:after="0"/>
        <w:jc w:val="both"/>
      </w:pPr>
      <w:r>
        <w:t xml:space="preserve">Smluvní strany se dohodly, že Zákazník není oprávněn jednostranně započíst jakékoli své pohledávky za Dodavatelem proti pohledávkám Dodavatele za Zákazníkem z této Smlouvy </w:t>
      </w:r>
      <w:r>
        <w:lastRenderedPageBreak/>
        <w:t xml:space="preserve">nebo pohledávkám souvisejících se vztahem založených touto Smlouvou (např. pohledávkám z titulu náhrady škody, bezdůvodného obohacení apod.). Totéž pravidlo se analogicky vztahuje na Dodavatele. </w:t>
      </w:r>
    </w:p>
    <w:p w14:paraId="705A246B" w14:textId="77777777" w:rsidR="000D7DD9" w:rsidRDefault="008C1AB2">
      <w:pPr>
        <w:numPr>
          <w:ilvl w:val="0"/>
          <w:numId w:val="3"/>
        </w:numPr>
        <w:spacing w:after="0"/>
        <w:jc w:val="both"/>
      </w:pPr>
      <w:r>
        <w:t>Smluvní strany se vzájemně zavazují písemně si oznamovat veškeré změny svých adres, jakož i změny jiných údajů obsažených v této Smlouvě nebo určených pro plnění nezbytných úkonů, které s ní přímo souvisejí, a to bezodkladně poté, co nastanou. Totéž platí i pro oznamování jiných skutečností významných pro tuto Smlouvu včetně skutečností bránících řádnému plnění této Smlouvy.</w:t>
      </w:r>
    </w:p>
    <w:p w14:paraId="705A246C" w14:textId="4713F939" w:rsidR="000D7DD9" w:rsidRDefault="008C1AB2">
      <w:pPr>
        <w:numPr>
          <w:ilvl w:val="0"/>
          <w:numId w:val="3"/>
        </w:numPr>
        <w:jc w:val="both"/>
      </w:pPr>
      <w:r>
        <w:t>Zákazník podpisem této Smlouvy v souladu s platnou legislativou o ochraně osobních údajů uděluje na dobu neurčitou až do odvolání svůj souhlas s tím, aby Dodavatel jakožto správce zpracovával veškeré osobní údaje Zákazníka uvedené v této Smlouvě, a to za účelem zanesení Zákazníka do evidence zákazníků Dodavatele a nabízení obchodu, služeb či zákaznických výhod Zákazníkovi. Zákazník prohlašuje, že byl Dodavatelem poučen o</w:t>
      </w:r>
      <w:r w:rsidR="00B60F9B">
        <w:t> </w:t>
      </w:r>
      <w:r>
        <w:t>oprávnění odmítnout poskytnutí svého souhlasu v případech, kdy jeho souhlas není pro plnění ujednání z této Smlouvy nezbytný.</w:t>
      </w:r>
    </w:p>
    <w:p w14:paraId="705A246D" w14:textId="77777777" w:rsidR="000D7DD9" w:rsidRDefault="000D7DD9"/>
    <w:p w14:paraId="705A246E" w14:textId="77777777" w:rsidR="000D7DD9" w:rsidRDefault="008C1AB2">
      <w:r>
        <w:t>Přílohy:</w:t>
      </w:r>
    </w:p>
    <w:p w14:paraId="705A246F" w14:textId="77777777" w:rsidR="000D7DD9" w:rsidRDefault="008C1AB2">
      <w:pPr>
        <w:numPr>
          <w:ilvl w:val="0"/>
          <w:numId w:val="1"/>
        </w:numPr>
      </w:pPr>
      <w:r>
        <w:t>Příloha A (specifikace Zařízení)</w:t>
      </w:r>
    </w:p>
    <w:p w14:paraId="705A2475" w14:textId="02F669A4" w:rsidR="000D7DD9" w:rsidRDefault="008C1AB2">
      <w:r>
        <w:t>Smluvní strany svými podpisy stvrzují obsah této Smlouvy.</w:t>
      </w:r>
    </w:p>
    <w:tbl>
      <w:tblPr>
        <w:tblW w:w="9633" w:type="dxa"/>
        <w:tblLayout w:type="fixed"/>
        <w:tblCellMar>
          <w:top w:w="100" w:type="dxa"/>
          <w:left w:w="100" w:type="dxa"/>
          <w:bottom w:w="100" w:type="dxa"/>
          <w:right w:w="100" w:type="dxa"/>
        </w:tblCellMar>
        <w:tblLook w:val="0600" w:firstRow="0" w:lastRow="0" w:firstColumn="0" w:lastColumn="0" w:noHBand="1" w:noVBand="1"/>
      </w:tblPr>
      <w:tblGrid>
        <w:gridCol w:w="4816"/>
        <w:gridCol w:w="4817"/>
      </w:tblGrid>
      <w:tr w:rsidR="000D7DD9" w14:paraId="705A2478" w14:textId="77777777">
        <w:tc>
          <w:tcPr>
            <w:tcW w:w="4816" w:type="dxa"/>
            <w:shd w:val="clear" w:color="auto" w:fill="auto"/>
            <w:tcMar>
              <w:top w:w="100" w:type="dxa"/>
              <w:left w:w="100" w:type="dxa"/>
              <w:bottom w:w="100" w:type="dxa"/>
              <w:right w:w="100" w:type="dxa"/>
            </w:tcMar>
          </w:tcPr>
          <w:p w14:paraId="705A2476" w14:textId="77777777" w:rsidR="000D7DD9" w:rsidRPr="00CE49B1" w:rsidRDefault="008C1AB2">
            <w:pPr>
              <w:widowControl w:val="0"/>
              <w:spacing w:after="0" w:line="240" w:lineRule="auto"/>
              <w:rPr>
                <w:i/>
                <w:highlight w:val="none"/>
              </w:rPr>
            </w:pPr>
            <w:r w:rsidRPr="00CE49B1">
              <w:rPr>
                <w:i/>
                <w:highlight w:val="none"/>
              </w:rPr>
              <w:t>Za:</w:t>
            </w:r>
          </w:p>
        </w:tc>
        <w:tc>
          <w:tcPr>
            <w:tcW w:w="4816" w:type="dxa"/>
            <w:shd w:val="clear" w:color="auto" w:fill="auto"/>
            <w:tcMar>
              <w:top w:w="100" w:type="dxa"/>
              <w:left w:w="100" w:type="dxa"/>
              <w:bottom w:w="100" w:type="dxa"/>
              <w:right w:w="100" w:type="dxa"/>
            </w:tcMar>
          </w:tcPr>
          <w:p w14:paraId="705A2477" w14:textId="77777777" w:rsidR="000D7DD9" w:rsidRDefault="008C1AB2">
            <w:pPr>
              <w:widowControl w:val="0"/>
              <w:spacing w:after="0" w:line="240" w:lineRule="auto"/>
              <w:rPr>
                <w:i/>
              </w:rPr>
            </w:pPr>
            <w:r>
              <w:rPr>
                <w:i/>
              </w:rPr>
              <w:t>Za:</w:t>
            </w:r>
          </w:p>
        </w:tc>
      </w:tr>
      <w:tr w:rsidR="000D7DD9" w14:paraId="705A247B" w14:textId="77777777" w:rsidTr="00CE49B1">
        <w:trPr>
          <w:trHeight w:val="442"/>
        </w:trPr>
        <w:tc>
          <w:tcPr>
            <w:tcW w:w="4816" w:type="dxa"/>
            <w:shd w:val="clear" w:color="auto" w:fill="auto"/>
            <w:tcMar>
              <w:top w:w="100" w:type="dxa"/>
              <w:left w:w="100" w:type="dxa"/>
              <w:bottom w:w="100" w:type="dxa"/>
              <w:right w:w="100" w:type="dxa"/>
            </w:tcMar>
          </w:tcPr>
          <w:p w14:paraId="705A2479" w14:textId="2AF70FC7" w:rsidR="000D7DD9" w:rsidRPr="00CE49B1" w:rsidRDefault="003E1874">
            <w:pPr>
              <w:rPr>
                <w:highlight w:val="none"/>
              </w:rPr>
            </w:pPr>
            <w:r w:rsidRPr="00CE49B1">
              <w:rPr>
                <w:highlight w:val="none"/>
              </w:rPr>
              <w:t>Muzeum hlavního města</w:t>
            </w:r>
            <w:r w:rsidR="004A1D7E" w:rsidRPr="00CE49B1">
              <w:rPr>
                <w:highlight w:val="none"/>
              </w:rPr>
              <w:t xml:space="preserve"> Prahy</w:t>
            </w:r>
          </w:p>
        </w:tc>
        <w:tc>
          <w:tcPr>
            <w:tcW w:w="4816" w:type="dxa"/>
            <w:shd w:val="clear" w:color="auto" w:fill="auto"/>
            <w:tcMar>
              <w:top w:w="100" w:type="dxa"/>
              <w:left w:w="100" w:type="dxa"/>
              <w:bottom w:w="100" w:type="dxa"/>
              <w:right w:w="100" w:type="dxa"/>
            </w:tcMar>
          </w:tcPr>
          <w:p w14:paraId="705A247A" w14:textId="77777777" w:rsidR="000D7DD9" w:rsidRDefault="008C1AB2">
            <w:pPr>
              <w:spacing w:after="0" w:line="240" w:lineRule="auto"/>
            </w:pPr>
            <w:proofErr w:type="spellStart"/>
            <w:r>
              <w:t>improtech</w:t>
            </w:r>
            <w:proofErr w:type="spellEnd"/>
            <w:r>
              <w:t xml:space="preserve"> s.r.o.</w:t>
            </w:r>
          </w:p>
        </w:tc>
      </w:tr>
      <w:tr w:rsidR="000D7DD9" w14:paraId="705A247E" w14:textId="77777777">
        <w:tc>
          <w:tcPr>
            <w:tcW w:w="4816" w:type="dxa"/>
            <w:shd w:val="clear" w:color="auto" w:fill="auto"/>
            <w:tcMar>
              <w:top w:w="100" w:type="dxa"/>
              <w:left w:w="100" w:type="dxa"/>
              <w:bottom w:w="100" w:type="dxa"/>
              <w:right w:w="100" w:type="dxa"/>
            </w:tcMar>
          </w:tcPr>
          <w:p w14:paraId="705A247C" w14:textId="2C0A70C7" w:rsidR="000D7DD9" w:rsidRPr="00CE49B1" w:rsidRDefault="008C1AB2">
            <w:pPr>
              <w:widowControl w:val="0"/>
              <w:spacing w:after="0" w:line="240" w:lineRule="auto"/>
              <w:rPr>
                <w:highlight w:val="none"/>
              </w:rPr>
            </w:pPr>
            <w:r w:rsidRPr="00CE49B1">
              <w:rPr>
                <w:i/>
                <w:highlight w:val="none"/>
              </w:rPr>
              <w:t>Jméno:</w:t>
            </w:r>
            <w:r w:rsidR="00723479">
              <w:rPr>
                <w:i/>
                <w:highlight w:val="none"/>
              </w:rPr>
              <w:t xml:space="preserve"> </w:t>
            </w:r>
            <w:r w:rsidR="00723479" w:rsidRPr="00CE49B1">
              <w:rPr>
                <w:iCs/>
                <w:highlight w:val="none"/>
              </w:rPr>
              <w:t>RNDr. Ing. Ivo Macek</w:t>
            </w:r>
            <w:r w:rsidRPr="00CE49B1">
              <w:rPr>
                <w:i/>
                <w:highlight w:val="none"/>
              </w:rPr>
              <w:t xml:space="preserve"> </w:t>
            </w:r>
          </w:p>
        </w:tc>
        <w:tc>
          <w:tcPr>
            <w:tcW w:w="4816" w:type="dxa"/>
            <w:shd w:val="clear" w:color="auto" w:fill="auto"/>
            <w:tcMar>
              <w:top w:w="100" w:type="dxa"/>
              <w:left w:w="100" w:type="dxa"/>
              <w:bottom w:w="100" w:type="dxa"/>
              <w:right w:w="100" w:type="dxa"/>
            </w:tcMar>
          </w:tcPr>
          <w:p w14:paraId="705A247D" w14:textId="77777777" w:rsidR="000D7DD9" w:rsidRDefault="008C1AB2">
            <w:pPr>
              <w:widowControl w:val="0"/>
              <w:spacing w:after="0" w:line="240" w:lineRule="auto"/>
            </w:pPr>
            <w:proofErr w:type="gramStart"/>
            <w:r>
              <w:rPr>
                <w:i/>
              </w:rPr>
              <w:t xml:space="preserve">Jméno:  </w:t>
            </w:r>
            <w:r>
              <w:t>Kamil</w:t>
            </w:r>
            <w:proofErr w:type="gramEnd"/>
            <w:r>
              <w:t xml:space="preserve"> Hrbáček</w:t>
            </w:r>
          </w:p>
        </w:tc>
      </w:tr>
      <w:tr w:rsidR="000D7DD9" w14:paraId="705A2481" w14:textId="77777777">
        <w:tc>
          <w:tcPr>
            <w:tcW w:w="4816" w:type="dxa"/>
            <w:shd w:val="clear" w:color="auto" w:fill="auto"/>
            <w:tcMar>
              <w:top w:w="100" w:type="dxa"/>
              <w:left w:w="100" w:type="dxa"/>
              <w:bottom w:w="100" w:type="dxa"/>
              <w:right w:w="100" w:type="dxa"/>
            </w:tcMar>
          </w:tcPr>
          <w:p w14:paraId="705A247F" w14:textId="30D02028" w:rsidR="000D7DD9" w:rsidRPr="00CE49B1" w:rsidRDefault="008C1AB2">
            <w:pPr>
              <w:widowControl w:val="0"/>
              <w:spacing w:after="0" w:line="240" w:lineRule="auto"/>
              <w:rPr>
                <w:i/>
                <w:highlight w:val="none"/>
              </w:rPr>
            </w:pPr>
            <w:r w:rsidRPr="00CE49B1">
              <w:rPr>
                <w:i/>
                <w:highlight w:val="none"/>
              </w:rPr>
              <w:t xml:space="preserve">Funkce: </w:t>
            </w:r>
            <w:r w:rsidR="007E3C7B">
              <w:rPr>
                <w:i/>
                <w:highlight w:val="none"/>
              </w:rPr>
              <w:t>ředitel</w:t>
            </w:r>
          </w:p>
        </w:tc>
        <w:tc>
          <w:tcPr>
            <w:tcW w:w="4816" w:type="dxa"/>
            <w:shd w:val="clear" w:color="auto" w:fill="auto"/>
            <w:tcMar>
              <w:top w:w="100" w:type="dxa"/>
              <w:left w:w="100" w:type="dxa"/>
              <w:bottom w:w="100" w:type="dxa"/>
              <w:right w:w="100" w:type="dxa"/>
            </w:tcMar>
          </w:tcPr>
          <w:p w14:paraId="705A2480" w14:textId="77777777" w:rsidR="000D7DD9" w:rsidRDefault="008C1AB2">
            <w:pPr>
              <w:widowControl w:val="0"/>
              <w:spacing w:after="0" w:line="240" w:lineRule="auto"/>
              <w:rPr>
                <w:shd w:val="clear" w:color="auto" w:fill="F3F3F3"/>
              </w:rPr>
            </w:pPr>
            <w:r>
              <w:rPr>
                <w:i/>
              </w:rPr>
              <w:t xml:space="preserve">Funkce: </w:t>
            </w:r>
            <w:proofErr w:type="spellStart"/>
            <w:r>
              <w:rPr>
                <w:i/>
              </w:rPr>
              <w:t>Chief</w:t>
            </w:r>
            <w:proofErr w:type="spellEnd"/>
            <w:r>
              <w:rPr>
                <w:i/>
              </w:rPr>
              <w:t xml:space="preserve"> </w:t>
            </w:r>
            <w:proofErr w:type="spellStart"/>
            <w:r>
              <w:rPr>
                <w:i/>
              </w:rPr>
              <w:t>executive</w:t>
            </w:r>
            <w:proofErr w:type="spellEnd"/>
            <w:r>
              <w:rPr>
                <w:i/>
              </w:rPr>
              <w:t xml:space="preserve"> </w:t>
            </w:r>
            <w:proofErr w:type="spellStart"/>
            <w:r>
              <w:rPr>
                <w:i/>
              </w:rPr>
              <w:t>officer</w:t>
            </w:r>
            <w:proofErr w:type="spellEnd"/>
          </w:p>
        </w:tc>
      </w:tr>
      <w:tr w:rsidR="000D7DD9" w14:paraId="705A2484" w14:textId="77777777">
        <w:tc>
          <w:tcPr>
            <w:tcW w:w="4816" w:type="dxa"/>
            <w:shd w:val="clear" w:color="auto" w:fill="auto"/>
            <w:tcMar>
              <w:top w:w="100" w:type="dxa"/>
              <w:left w:w="100" w:type="dxa"/>
              <w:bottom w:w="100" w:type="dxa"/>
              <w:right w:w="100" w:type="dxa"/>
            </w:tcMar>
          </w:tcPr>
          <w:p w14:paraId="705A2482" w14:textId="354DDF7B" w:rsidR="000D7DD9" w:rsidRPr="00CE49B1" w:rsidRDefault="00411F61">
            <w:pPr>
              <w:widowControl w:val="0"/>
              <w:spacing w:after="0" w:line="240" w:lineRule="auto"/>
              <w:rPr>
                <w:i/>
                <w:highlight w:val="none"/>
              </w:rPr>
            </w:pPr>
            <w:r>
              <w:rPr>
                <w:i/>
                <w:highlight w:val="none"/>
              </w:rPr>
              <w:t>Dne: 23.11.2023</w:t>
            </w:r>
          </w:p>
        </w:tc>
        <w:tc>
          <w:tcPr>
            <w:tcW w:w="4816" w:type="dxa"/>
            <w:shd w:val="clear" w:color="auto" w:fill="auto"/>
            <w:tcMar>
              <w:top w:w="100" w:type="dxa"/>
              <w:left w:w="100" w:type="dxa"/>
              <w:bottom w:w="100" w:type="dxa"/>
              <w:right w:w="100" w:type="dxa"/>
            </w:tcMar>
          </w:tcPr>
          <w:p w14:paraId="705A2483" w14:textId="7CD5BD11" w:rsidR="000D7DD9" w:rsidRDefault="00411F61">
            <w:pPr>
              <w:widowControl w:val="0"/>
              <w:spacing w:after="0" w:line="240" w:lineRule="auto"/>
              <w:rPr>
                <w:i/>
              </w:rPr>
            </w:pPr>
            <w:r>
              <w:rPr>
                <w:i/>
              </w:rPr>
              <w:t>Dne: 23.11.2023</w:t>
            </w:r>
          </w:p>
        </w:tc>
      </w:tr>
      <w:tr w:rsidR="000D7DD9" w14:paraId="705A2489" w14:textId="77777777">
        <w:tc>
          <w:tcPr>
            <w:tcW w:w="4816" w:type="dxa"/>
            <w:shd w:val="clear" w:color="auto" w:fill="auto"/>
            <w:tcMar>
              <w:top w:w="100" w:type="dxa"/>
              <w:left w:w="100" w:type="dxa"/>
              <w:bottom w:w="100" w:type="dxa"/>
              <w:right w:w="100" w:type="dxa"/>
            </w:tcMar>
          </w:tcPr>
          <w:p w14:paraId="705A2485" w14:textId="70FDA4DA" w:rsidR="000D7DD9" w:rsidRPr="00CE49B1" w:rsidRDefault="000D7DD9">
            <w:pPr>
              <w:widowControl w:val="0"/>
              <w:spacing w:after="0" w:line="240" w:lineRule="auto"/>
              <w:rPr>
                <w:i/>
                <w:highlight w:val="none"/>
              </w:rPr>
            </w:pPr>
          </w:p>
        </w:tc>
        <w:tc>
          <w:tcPr>
            <w:tcW w:w="4816" w:type="dxa"/>
            <w:shd w:val="clear" w:color="auto" w:fill="auto"/>
            <w:tcMar>
              <w:top w:w="100" w:type="dxa"/>
              <w:left w:w="100" w:type="dxa"/>
              <w:bottom w:w="100" w:type="dxa"/>
              <w:right w:w="100" w:type="dxa"/>
            </w:tcMar>
          </w:tcPr>
          <w:p w14:paraId="705A2488" w14:textId="402F4883" w:rsidR="000D7DD9" w:rsidRDefault="000D7DD9">
            <w:pPr>
              <w:widowControl w:val="0"/>
              <w:spacing w:after="0" w:line="240" w:lineRule="auto"/>
            </w:pPr>
          </w:p>
        </w:tc>
      </w:tr>
      <w:tr w:rsidR="000D7DD9" w14:paraId="705A248C" w14:textId="77777777">
        <w:tc>
          <w:tcPr>
            <w:tcW w:w="4816" w:type="dxa"/>
            <w:shd w:val="clear" w:color="auto" w:fill="auto"/>
            <w:tcMar>
              <w:top w:w="100" w:type="dxa"/>
              <w:left w:w="100" w:type="dxa"/>
              <w:bottom w:w="100" w:type="dxa"/>
              <w:right w:w="100" w:type="dxa"/>
            </w:tcMar>
          </w:tcPr>
          <w:p w14:paraId="705A248A" w14:textId="77777777" w:rsidR="000D7DD9" w:rsidRDefault="000D7DD9">
            <w:pPr>
              <w:widowControl w:val="0"/>
              <w:spacing w:after="0" w:line="240" w:lineRule="auto"/>
            </w:pPr>
          </w:p>
        </w:tc>
        <w:tc>
          <w:tcPr>
            <w:tcW w:w="4816" w:type="dxa"/>
            <w:shd w:val="clear" w:color="auto" w:fill="auto"/>
            <w:tcMar>
              <w:top w:w="100" w:type="dxa"/>
              <w:left w:w="100" w:type="dxa"/>
              <w:bottom w:w="100" w:type="dxa"/>
              <w:right w:w="100" w:type="dxa"/>
            </w:tcMar>
          </w:tcPr>
          <w:p w14:paraId="705A248B" w14:textId="77777777" w:rsidR="000D7DD9" w:rsidRDefault="000D7DD9">
            <w:pPr>
              <w:widowControl w:val="0"/>
              <w:spacing w:after="0" w:line="240" w:lineRule="auto"/>
            </w:pPr>
          </w:p>
        </w:tc>
      </w:tr>
    </w:tbl>
    <w:p w14:paraId="15F99BAD" w14:textId="40631F7D" w:rsidR="00707CD0" w:rsidRPr="00707CD0" w:rsidRDefault="00707CD0">
      <w:pPr>
        <w:rPr>
          <w:b/>
        </w:rPr>
      </w:pPr>
      <w:bookmarkStart w:id="10" w:name="_9ocsqquiuc97" w:colFirst="0" w:colLast="0"/>
      <w:bookmarkEnd w:id="10"/>
      <w:r w:rsidRPr="00707CD0">
        <w:br w:type="page"/>
      </w:r>
    </w:p>
    <w:p w14:paraId="705A248E" w14:textId="7C85040F" w:rsidR="000D7DD9" w:rsidRDefault="008C1AB2">
      <w:pPr>
        <w:pStyle w:val="Nadpis1"/>
        <w:spacing w:after="0" w:line="276" w:lineRule="auto"/>
      </w:pPr>
      <w:r>
        <w:lastRenderedPageBreak/>
        <w:t>Příloha A</w:t>
      </w:r>
    </w:p>
    <w:p w14:paraId="705A248F" w14:textId="77777777" w:rsidR="000D7DD9" w:rsidRDefault="008C1AB2">
      <w:r>
        <w:t>Tato příloha definuje seznam Zařízení, které jsou předmětem dodávky.</w:t>
      </w:r>
    </w:p>
    <w:tbl>
      <w:tblPr>
        <w:tblW w:w="9631"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337"/>
        <w:gridCol w:w="337"/>
        <w:gridCol w:w="7322"/>
        <w:gridCol w:w="1298"/>
        <w:gridCol w:w="337"/>
      </w:tblGrid>
      <w:tr w:rsidR="000D7DD9" w14:paraId="705A2493" w14:textId="77777777">
        <w:trPr>
          <w:trHeight w:val="390"/>
        </w:trPr>
        <w:tc>
          <w:tcPr>
            <w:tcW w:w="7995" w:type="dxa"/>
            <w:gridSpan w:val="3"/>
            <w:tcBorders>
              <w:top w:val="nil"/>
              <w:left w:val="nil"/>
              <w:bottom w:val="nil"/>
              <w:right w:val="nil"/>
            </w:tcBorders>
            <w:tcMar>
              <w:top w:w="40" w:type="dxa"/>
              <w:left w:w="40" w:type="dxa"/>
              <w:bottom w:w="40" w:type="dxa"/>
              <w:right w:w="40" w:type="dxa"/>
            </w:tcMar>
            <w:vAlign w:val="bottom"/>
          </w:tcPr>
          <w:p w14:paraId="705A2490" w14:textId="77777777" w:rsidR="000D7DD9" w:rsidRDefault="008C1AB2">
            <w:pPr>
              <w:widowControl w:val="0"/>
              <w:spacing w:after="0" w:line="276" w:lineRule="auto"/>
              <w:rPr>
                <w:sz w:val="20"/>
                <w:szCs w:val="20"/>
              </w:rPr>
            </w:pPr>
            <w:r>
              <w:rPr>
                <w:b/>
                <w:sz w:val="28"/>
                <w:szCs w:val="28"/>
              </w:rPr>
              <w:t>__Sady studiového osvětlení</w:t>
            </w:r>
          </w:p>
        </w:tc>
        <w:tc>
          <w:tcPr>
            <w:tcW w:w="1298" w:type="dxa"/>
            <w:tcBorders>
              <w:top w:val="nil"/>
              <w:left w:val="nil"/>
              <w:bottom w:val="nil"/>
              <w:right w:val="nil"/>
            </w:tcBorders>
            <w:shd w:val="clear" w:color="auto" w:fill="auto"/>
            <w:tcMar>
              <w:top w:w="40" w:type="dxa"/>
              <w:left w:w="40" w:type="dxa"/>
              <w:bottom w:w="40" w:type="dxa"/>
              <w:right w:w="40" w:type="dxa"/>
            </w:tcMar>
            <w:vAlign w:val="bottom"/>
          </w:tcPr>
          <w:p w14:paraId="705A2491"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bottom"/>
          </w:tcPr>
          <w:p w14:paraId="705A2492" w14:textId="77777777" w:rsidR="000D7DD9" w:rsidRDefault="000D7DD9">
            <w:pPr>
              <w:widowControl w:val="0"/>
              <w:spacing w:after="0" w:line="276" w:lineRule="auto"/>
              <w:rPr>
                <w:sz w:val="20"/>
                <w:szCs w:val="20"/>
              </w:rPr>
            </w:pPr>
          </w:p>
        </w:tc>
      </w:tr>
      <w:tr w:rsidR="000D7DD9" w14:paraId="705A2499"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94"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95"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center"/>
          </w:tcPr>
          <w:p w14:paraId="705A2496" w14:textId="77777777" w:rsidR="000D7DD9" w:rsidRDefault="000D7DD9">
            <w:pPr>
              <w:widowControl w:val="0"/>
              <w:spacing w:after="0" w:line="276" w:lineRule="auto"/>
              <w:rPr>
                <w:sz w:val="20"/>
                <w:szCs w:val="20"/>
              </w:rPr>
            </w:pP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97"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98" w14:textId="77777777" w:rsidR="000D7DD9" w:rsidRDefault="000D7DD9">
            <w:pPr>
              <w:widowControl w:val="0"/>
              <w:spacing w:after="0" w:line="276" w:lineRule="auto"/>
              <w:rPr>
                <w:sz w:val="20"/>
                <w:szCs w:val="20"/>
              </w:rPr>
            </w:pPr>
          </w:p>
        </w:tc>
      </w:tr>
      <w:tr w:rsidR="000D7DD9" w14:paraId="705A249F"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9A" w14:textId="77777777" w:rsidR="000D7DD9" w:rsidRDefault="000D7DD9">
            <w:pPr>
              <w:widowControl w:val="0"/>
              <w:spacing w:after="0" w:line="276" w:lineRule="auto"/>
              <w:rPr>
                <w:sz w:val="20"/>
                <w:szCs w:val="20"/>
              </w:rPr>
            </w:pPr>
          </w:p>
        </w:tc>
        <w:tc>
          <w:tcPr>
            <w:tcW w:w="337" w:type="dxa"/>
            <w:vMerge w:val="restart"/>
            <w:tcBorders>
              <w:top w:val="nil"/>
              <w:left w:val="nil"/>
              <w:bottom w:val="nil"/>
              <w:right w:val="nil"/>
            </w:tcBorders>
            <w:shd w:val="clear" w:color="auto" w:fill="auto"/>
            <w:tcMar>
              <w:top w:w="40" w:type="dxa"/>
              <w:left w:w="40" w:type="dxa"/>
              <w:bottom w:w="40" w:type="dxa"/>
              <w:right w:w="40" w:type="dxa"/>
            </w:tcMar>
            <w:vAlign w:val="center"/>
          </w:tcPr>
          <w:p w14:paraId="705A249B" w14:textId="77777777" w:rsidR="000D7DD9" w:rsidRDefault="008C1AB2">
            <w:pPr>
              <w:widowControl w:val="0"/>
              <w:spacing w:after="0" w:line="276" w:lineRule="auto"/>
              <w:jc w:val="center"/>
              <w:rPr>
                <w:sz w:val="56"/>
                <w:szCs w:val="56"/>
              </w:rPr>
            </w:pPr>
            <w:r>
              <w:rPr>
                <w:sz w:val="56"/>
                <w:szCs w:val="56"/>
              </w:rPr>
              <w:t>|</w:t>
            </w:r>
          </w:p>
        </w:tc>
        <w:tc>
          <w:tcPr>
            <w:tcW w:w="7321" w:type="dxa"/>
            <w:tcBorders>
              <w:top w:val="nil"/>
              <w:left w:val="nil"/>
              <w:bottom w:val="nil"/>
              <w:right w:val="nil"/>
            </w:tcBorders>
            <w:shd w:val="clear" w:color="auto" w:fill="auto"/>
            <w:tcMar>
              <w:top w:w="40" w:type="dxa"/>
              <w:left w:w="40" w:type="dxa"/>
              <w:bottom w:w="40" w:type="dxa"/>
              <w:right w:w="40" w:type="dxa"/>
            </w:tcMar>
            <w:vAlign w:val="bottom"/>
          </w:tcPr>
          <w:p w14:paraId="705A249C" w14:textId="77777777" w:rsidR="000D7DD9" w:rsidRDefault="008C1AB2">
            <w:pPr>
              <w:widowControl w:val="0"/>
              <w:spacing w:after="0" w:line="276" w:lineRule="auto"/>
              <w:rPr>
                <w:sz w:val="20"/>
                <w:szCs w:val="20"/>
              </w:rPr>
            </w:pPr>
            <w:r>
              <w:rPr>
                <w:b/>
                <w:sz w:val="20"/>
                <w:szCs w:val="20"/>
              </w:rPr>
              <w:t>Sada zábleskových světel (dle konfigurace výše)</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9D"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9E" w14:textId="77777777" w:rsidR="000D7DD9" w:rsidRDefault="000D7DD9">
            <w:pPr>
              <w:widowControl w:val="0"/>
              <w:spacing w:after="0" w:line="276" w:lineRule="auto"/>
              <w:rPr>
                <w:sz w:val="20"/>
                <w:szCs w:val="20"/>
              </w:rPr>
            </w:pPr>
          </w:p>
        </w:tc>
      </w:tr>
      <w:tr w:rsidR="000D7DD9" w14:paraId="705A24A5" w14:textId="77777777">
        <w:trPr>
          <w:trHeight w:val="52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A0" w14:textId="77777777" w:rsidR="000D7DD9" w:rsidRDefault="000D7DD9">
            <w:pPr>
              <w:widowControl w:val="0"/>
              <w:spacing w:after="0" w:line="276" w:lineRule="auto"/>
              <w:rPr>
                <w:sz w:val="20"/>
                <w:szCs w:val="20"/>
              </w:rPr>
            </w:pPr>
          </w:p>
        </w:tc>
        <w:tc>
          <w:tcPr>
            <w:tcW w:w="337" w:type="dxa"/>
            <w:vMerge/>
            <w:tcBorders>
              <w:top w:val="nil"/>
              <w:left w:val="nil"/>
              <w:bottom w:val="nil"/>
              <w:right w:val="nil"/>
            </w:tcBorders>
            <w:shd w:val="clear" w:color="auto" w:fill="auto"/>
            <w:tcMar>
              <w:top w:w="100" w:type="dxa"/>
              <w:left w:w="100" w:type="dxa"/>
              <w:bottom w:w="100" w:type="dxa"/>
              <w:right w:w="100" w:type="dxa"/>
            </w:tcMar>
          </w:tcPr>
          <w:p w14:paraId="705A24A1"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tcPr>
          <w:p w14:paraId="705A24A2" w14:textId="77777777" w:rsidR="000D7DD9" w:rsidRDefault="008C1AB2">
            <w:pPr>
              <w:widowControl w:val="0"/>
              <w:spacing w:after="0" w:line="276" w:lineRule="auto"/>
              <w:rPr>
                <w:sz w:val="20"/>
                <w:szCs w:val="20"/>
              </w:rPr>
            </w:pPr>
            <w:r>
              <w:rPr>
                <w:i/>
                <w:color w:val="666666"/>
                <w:sz w:val="20"/>
                <w:szCs w:val="20"/>
              </w:rPr>
              <w:t xml:space="preserve">Zábleskové (stroboskopické) osvětlení, variabilní při nastavení scény a s dostatkem energie pro zmrazení pohybu objektu během superrychlého bez-zastávkového focení </w:t>
            </w:r>
            <w:proofErr w:type="spellStart"/>
            <w:r>
              <w:rPr>
                <w:i/>
                <w:color w:val="666666"/>
                <w:sz w:val="20"/>
                <w:szCs w:val="20"/>
              </w:rPr>
              <w:t>PhotoRobot</w:t>
            </w:r>
            <w:proofErr w:type="spellEnd"/>
            <w:r>
              <w:rPr>
                <w:i/>
                <w:color w:val="666666"/>
                <w:sz w:val="20"/>
                <w:szCs w:val="20"/>
              </w:rPr>
              <w:t>.</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A3"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A4" w14:textId="77777777" w:rsidR="000D7DD9" w:rsidRDefault="000D7DD9">
            <w:pPr>
              <w:widowControl w:val="0"/>
              <w:spacing w:after="0" w:line="276" w:lineRule="auto"/>
              <w:rPr>
                <w:sz w:val="20"/>
                <w:szCs w:val="20"/>
              </w:rPr>
            </w:pPr>
          </w:p>
        </w:tc>
      </w:tr>
      <w:tr w:rsidR="000D7DD9" w14:paraId="705A24AB"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A6"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A7" w14:textId="77777777" w:rsidR="000D7DD9" w:rsidRDefault="008C1AB2">
            <w:pPr>
              <w:widowControl w:val="0"/>
              <w:spacing w:after="0" w:line="276" w:lineRule="auto"/>
              <w:jc w:val="center"/>
              <w:rPr>
                <w:sz w:val="20"/>
                <w:szCs w:val="20"/>
              </w:rPr>
            </w:pPr>
            <w:r>
              <w:rPr>
                <w:sz w:val="18"/>
                <w:szCs w:val="18"/>
              </w:rPr>
              <w:t>●</w:t>
            </w:r>
          </w:p>
        </w:tc>
        <w:tc>
          <w:tcPr>
            <w:tcW w:w="7321" w:type="dxa"/>
            <w:tcBorders>
              <w:top w:val="nil"/>
              <w:left w:val="nil"/>
              <w:bottom w:val="nil"/>
              <w:right w:val="nil"/>
            </w:tcBorders>
            <w:shd w:val="clear" w:color="auto" w:fill="FFFFFF"/>
            <w:tcMar>
              <w:top w:w="40" w:type="dxa"/>
              <w:left w:w="40" w:type="dxa"/>
              <w:bottom w:w="40" w:type="dxa"/>
              <w:right w:w="40" w:type="dxa"/>
            </w:tcMar>
            <w:vAlign w:val="center"/>
          </w:tcPr>
          <w:p w14:paraId="705A24A8" w14:textId="77777777" w:rsidR="000D7DD9" w:rsidRDefault="008C1AB2">
            <w:pPr>
              <w:widowControl w:val="0"/>
              <w:spacing w:after="0" w:line="276" w:lineRule="auto"/>
              <w:rPr>
                <w:sz w:val="20"/>
                <w:szCs w:val="20"/>
              </w:rPr>
            </w:pPr>
            <w:r>
              <w:rPr>
                <w:sz w:val="20"/>
                <w:szCs w:val="20"/>
              </w:rPr>
              <w:t xml:space="preserve">Záblesková světla </w:t>
            </w:r>
            <w:proofErr w:type="spellStart"/>
            <w:r>
              <w:rPr>
                <w:sz w:val="20"/>
                <w:szCs w:val="20"/>
              </w:rPr>
              <w:t>Broncolor</w:t>
            </w:r>
            <w:proofErr w:type="spellEnd"/>
            <w:r>
              <w:rPr>
                <w:sz w:val="20"/>
                <w:szCs w:val="20"/>
              </w:rPr>
              <w:t xml:space="preserve"> (€51075 za kus = €153225 za 3 ks v této sestavě)</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A9" w14:textId="16FBE270" w:rsidR="000D7DD9" w:rsidRDefault="008C1AB2">
            <w:pPr>
              <w:widowControl w:val="0"/>
              <w:spacing w:after="0" w:line="276" w:lineRule="auto"/>
              <w:jc w:val="right"/>
              <w:rPr>
                <w:sz w:val="20"/>
                <w:szCs w:val="20"/>
              </w:rPr>
            </w:pPr>
            <w:r>
              <w:rPr>
                <w:sz w:val="20"/>
                <w:szCs w:val="20"/>
              </w:rPr>
              <w:t xml:space="preserve">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AA" w14:textId="77777777" w:rsidR="000D7DD9" w:rsidRDefault="000D7DD9">
            <w:pPr>
              <w:widowControl w:val="0"/>
              <w:spacing w:after="0" w:line="276" w:lineRule="auto"/>
              <w:rPr>
                <w:sz w:val="20"/>
                <w:szCs w:val="20"/>
              </w:rPr>
            </w:pPr>
          </w:p>
        </w:tc>
      </w:tr>
      <w:tr w:rsidR="000D7DD9" w14:paraId="705A24B1"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AC"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AD" w14:textId="77777777" w:rsidR="000D7DD9" w:rsidRDefault="008C1AB2">
            <w:pPr>
              <w:widowControl w:val="0"/>
              <w:spacing w:after="0" w:line="276" w:lineRule="auto"/>
              <w:jc w:val="center"/>
              <w:rPr>
                <w:sz w:val="20"/>
                <w:szCs w:val="20"/>
              </w:rPr>
            </w:pPr>
            <w:r>
              <w:rPr>
                <w:sz w:val="18"/>
                <w:szCs w:val="18"/>
              </w:rPr>
              <w:t>●</w:t>
            </w:r>
          </w:p>
        </w:tc>
        <w:tc>
          <w:tcPr>
            <w:tcW w:w="7321" w:type="dxa"/>
            <w:tcBorders>
              <w:top w:val="nil"/>
              <w:left w:val="nil"/>
              <w:bottom w:val="nil"/>
              <w:right w:val="nil"/>
            </w:tcBorders>
            <w:shd w:val="clear" w:color="auto" w:fill="FFFFFF"/>
            <w:tcMar>
              <w:top w:w="40" w:type="dxa"/>
              <w:left w:w="40" w:type="dxa"/>
              <w:bottom w:w="40" w:type="dxa"/>
              <w:right w:w="40" w:type="dxa"/>
            </w:tcMar>
            <w:vAlign w:val="center"/>
          </w:tcPr>
          <w:p w14:paraId="705A24AE" w14:textId="77777777" w:rsidR="000D7DD9" w:rsidRDefault="008C1AB2">
            <w:pPr>
              <w:widowControl w:val="0"/>
              <w:spacing w:after="0" w:line="276" w:lineRule="auto"/>
              <w:rPr>
                <w:sz w:val="20"/>
                <w:szCs w:val="20"/>
              </w:rPr>
            </w:pPr>
            <w:proofErr w:type="spellStart"/>
            <w:r>
              <w:rPr>
                <w:sz w:val="20"/>
                <w:szCs w:val="20"/>
              </w:rPr>
              <w:t>Softbox</w:t>
            </w:r>
            <w:proofErr w:type="spellEnd"/>
            <w:r>
              <w:rPr>
                <w:sz w:val="20"/>
                <w:szCs w:val="20"/>
              </w:rPr>
              <w:t xml:space="preserve"> 60x85cm (2775Kč za kus = 2775 Kč, za 1 ks v této sestavě)</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AF" w14:textId="2AB0EF42" w:rsidR="000D7DD9" w:rsidRDefault="008C1AB2">
            <w:pPr>
              <w:widowControl w:val="0"/>
              <w:spacing w:after="0" w:line="276" w:lineRule="auto"/>
              <w:jc w:val="right"/>
              <w:rPr>
                <w:sz w:val="20"/>
                <w:szCs w:val="20"/>
              </w:rPr>
            </w:pPr>
            <w:r>
              <w:rPr>
                <w:sz w:val="20"/>
                <w:szCs w:val="20"/>
              </w:rPr>
              <w:t xml:space="preserve">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0" w14:textId="77777777" w:rsidR="000D7DD9" w:rsidRDefault="000D7DD9">
            <w:pPr>
              <w:widowControl w:val="0"/>
              <w:spacing w:after="0" w:line="276" w:lineRule="auto"/>
              <w:rPr>
                <w:sz w:val="20"/>
                <w:szCs w:val="20"/>
              </w:rPr>
            </w:pPr>
          </w:p>
        </w:tc>
      </w:tr>
      <w:tr w:rsidR="000D7DD9" w14:paraId="705A24B7"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2"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3" w14:textId="77777777" w:rsidR="000D7DD9" w:rsidRDefault="008C1AB2">
            <w:pPr>
              <w:widowControl w:val="0"/>
              <w:spacing w:after="0" w:line="276" w:lineRule="auto"/>
              <w:jc w:val="center"/>
              <w:rPr>
                <w:sz w:val="20"/>
                <w:szCs w:val="20"/>
              </w:rPr>
            </w:pPr>
            <w:r>
              <w:rPr>
                <w:sz w:val="18"/>
                <w:szCs w:val="18"/>
              </w:rPr>
              <w:t>●</w:t>
            </w:r>
          </w:p>
        </w:tc>
        <w:tc>
          <w:tcPr>
            <w:tcW w:w="7321" w:type="dxa"/>
            <w:tcBorders>
              <w:top w:val="nil"/>
              <w:left w:val="nil"/>
              <w:bottom w:val="nil"/>
              <w:right w:val="nil"/>
            </w:tcBorders>
            <w:shd w:val="clear" w:color="auto" w:fill="FFFFFF"/>
            <w:tcMar>
              <w:top w:w="40" w:type="dxa"/>
              <w:left w:w="40" w:type="dxa"/>
              <w:bottom w:w="40" w:type="dxa"/>
              <w:right w:w="40" w:type="dxa"/>
            </w:tcMar>
            <w:vAlign w:val="center"/>
          </w:tcPr>
          <w:p w14:paraId="705A24B4" w14:textId="77777777" w:rsidR="000D7DD9" w:rsidRDefault="008C1AB2">
            <w:pPr>
              <w:widowControl w:val="0"/>
              <w:spacing w:after="0" w:line="276" w:lineRule="auto"/>
              <w:rPr>
                <w:sz w:val="20"/>
                <w:szCs w:val="20"/>
              </w:rPr>
            </w:pPr>
            <w:proofErr w:type="spellStart"/>
            <w:r>
              <w:rPr>
                <w:sz w:val="20"/>
                <w:szCs w:val="20"/>
              </w:rPr>
              <w:t>Softbox</w:t>
            </w:r>
            <w:proofErr w:type="spellEnd"/>
            <w:r>
              <w:rPr>
                <w:sz w:val="20"/>
                <w:szCs w:val="20"/>
              </w:rPr>
              <w:t xml:space="preserve"> 45x45cm (1750 Kč za kus = 3500 Kč za 2 ks v této sestavě)</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B5" w14:textId="626CA712" w:rsidR="000D7DD9" w:rsidRDefault="008C1AB2">
            <w:pPr>
              <w:widowControl w:val="0"/>
              <w:spacing w:after="0" w:line="276" w:lineRule="auto"/>
              <w:jc w:val="right"/>
              <w:rPr>
                <w:sz w:val="20"/>
                <w:szCs w:val="20"/>
              </w:rPr>
            </w:pPr>
            <w:r>
              <w:rPr>
                <w:sz w:val="20"/>
                <w:szCs w:val="20"/>
              </w:rPr>
              <w:t xml:space="preserve">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6" w14:textId="77777777" w:rsidR="000D7DD9" w:rsidRDefault="000D7DD9">
            <w:pPr>
              <w:widowControl w:val="0"/>
              <w:spacing w:after="0" w:line="276" w:lineRule="auto"/>
              <w:rPr>
                <w:sz w:val="20"/>
                <w:szCs w:val="20"/>
              </w:rPr>
            </w:pPr>
          </w:p>
        </w:tc>
      </w:tr>
      <w:tr w:rsidR="000D7DD9" w14:paraId="705A24BD"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8"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9" w14:textId="77777777" w:rsidR="000D7DD9" w:rsidRDefault="008C1AB2">
            <w:pPr>
              <w:widowControl w:val="0"/>
              <w:spacing w:after="0" w:line="276" w:lineRule="auto"/>
              <w:jc w:val="center"/>
              <w:rPr>
                <w:sz w:val="20"/>
                <w:szCs w:val="20"/>
              </w:rPr>
            </w:pPr>
            <w:r>
              <w:rPr>
                <w:sz w:val="18"/>
                <w:szCs w:val="18"/>
              </w:rPr>
              <w:t>●</w:t>
            </w:r>
          </w:p>
        </w:tc>
        <w:tc>
          <w:tcPr>
            <w:tcW w:w="7321" w:type="dxa"/>
            <w:tcBorders>
              <w:top w:val="nil"/>
              <w:left w:val="nil"/>
              <w:bottom w:val="nil"/>
              <w:right w:val="nil"/>
            </w:tcBorders>
            <w:shd w:val="clear" w:color="auto" w:fill="FFFFFF"/>
            <w:tcMar>
              <w:top w:w="40" w:type="dxa"/>
              <w:left w:w="40" w:type="dxa"/>
              <w:bottom w:w="40" w:type="dxa"/>
              <w:right w:w="40" w:type="dxa"/>
            </w:tcMar>
            <w:vAlign w:val="center"/>
          </w:tcPr>
          <w:p w14:paraId="705A24BA" w14:textId="77777777" w:rsidR="000D7DD9" w:rsidRDefault="008C1AB2">
            <w:pPr>
              <w:widowControl w:val="0"/>
              <w:spacing w:after="0" w:line="276" w:lineRule="auto"/>
              <w:rPr>
                <w:sz w:val="20"/>
                <w:szCs w:val="20"/>
              </w:rPr>
            </w:pPr>
            <w:proofErr w:type="spellStart"/>
            <w:r>
              <w:rPr>
                <w:sz w:val="20"/>
                <w:szCs w:val="20"/>
              </w:rPr>
              <w:t>Octabox</w:t>
            </w:r>
            <w:proofErr w:type="spellEnd"/>
            <w:r>
              <w:rPr>
                <w:sz w:val="20"/>
                <w:szCs w:val="20"/>
              </w:rPr>
              <w:t xml:space="preserve"> </w:t>
            </w:r>
            <w:proofErr w:type="gramStart"/>
            <w:r>
              <w:rPr>
                <w:sz w:val="20"/>
                <w:szCs w:val="20"/>
              </w:rPr>
              <w:t>120cm</w:t>
            </w:r>
            <w:proofErr w:type="gramEnd"/>
            <w:r>
              <w:rPr>
                <w:sz w:val="20"/>
                <w:szCs w:val="20"/>
              </w:rPr>
              <w:t xml:space="preserve"> (4875 Kč za kus = 4875 Kč za 1 ks v této sestavě)</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BB" w14:textId="62022EE8" w:rsidR="000D7DD9" w:rsidRDefault="008C1AB2">
            <w:pPr>
              <w:widowControl w:val="0"/>
              <w:spacing w:after="0" w:line="276" w:lineRule="auto"/>
              <w:jc w:val="right"/>
              <w:rPr>
                <w:sz w:val="20"/>
                <w:szCs w:val="20"/>
              </w:rPr>
            </w:pPr>
            <w:r>
              <w:rPr>
                <w:sz w:val="20"/>
                <w:szCs w:val="20"/>
              </w:rPr>
              <w:t xml:space="preserve">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C" w14:textId="77777777" w:rsidR="000D7DD9" w:rsidRDefault="000D7DD9">
            <w:pPr>
              <w:widowControl w:val="0"/>
              <w:spacing w:after="0" w:line="276" w:lineRule="auto"/>
              <w:rPr>
                <w:sz w:val="20"/>
                <w:szCs w:val="20"/>
              </w:rPr>
            </w:pPr>
          </w:p>
        </w:tc>
      </w:tr>
      <w:tr w:rsidR="000D7DD9" w14:paraId="705A24C3"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E"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BF" w14:textId="77777777" w:rsidR="000D7DD9" w:rsidRDefault="008C1AB2">
            <w:pPr>
              <w:widowControl w:val="0"/>
              <w:spacing w:after="0" w:line="276" w:lineRule="auto"/>
              <w:jc w:val="center"/>
              <w:rPr>
                <w:sz w:val="20"/>
                <w:szCs w:val="20"/>
              </w:rPr>
            </w:pPr>
            <w:r>
              <w:rPr>
                <w:sz w:val="18"/>
                <w:szCs w:val="18"/>
              </w:rPr>
              <w:t>●</w:t>
            </w:r>
          </w:p>
        </w:tc>
        <w:tc>
          <w:tcPr>
            <w:tcW w:w="7321" w:type="dxa"/>
            <w:tcBorders>
              <w:top w:val="nil"/>
              <w:left w:val="nil"/>
              <w:bottom w:val="nil"/>
              <w:right w:val="nil"/>
            </w:tcBorders>
            <w:shd w:val="clear" w:color="auto" w:fill="FFFFFF"/>
            <w:tcMar>
              <w:top w:w="40" w:type="dxa"/>
              <w:left w:w="40" w:type="dxa"/>
              <w:bottom w:w="40" w:type="dxa"/>
              <w:right w:w="40" w:type="dxa"/>
            </w:tcMar>
            <w:vAlign w:val="center"/>
          </w:tcPr>
          <w:p w14:paraId="705A24C0" w14:textId="77777777" w:rsidR="000D7DD9" w:rsidRDefault="008C1AB2">
            <w:pPr>
              <w:widowControl w:val="0"/>
              <w:spacing w:after="0" w:line="276" w:lineRule="auto"/>
              <w:rPr>
                <w:sz w:val="20"/>
                <w:szCs w:val="20"/>
              </w:rPr>
            </w:pPr>
            <w:proofErr w:type="spellStart"/>
            <w:r>
              <w:rPr>
                <w:sz w:val="20"/>
                <w:szCs w:val="20"/>
              </w:rPr>
              <w:t>Broncolor</w:t>
            </w:r>
            <w:proofErr w:type="spellEnd"/>
            <w:r>
              <w:rPr>
                <w:sz w:val="20"/>
                <w:szCs w:val="20"/>
              </w:rPr>
              <w:t xml:space="preserve"> L40 Standard (1475 Kč za kus = 1475 Kč za 1 ks v této sestavě)</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C1" w14:textId="49D528DB" w:rsidR="000D7DD9" w:rsidRDefault="008C1AB2">
            <w:pPr>
              <w:widowControl w:val="0"/>
              <w:spacing w:after="0" w:line="276" w:lineRule="auto"/>
              <w:jc w:val="right"/>
              <w:rPr>
                <w:sz w:val="20"/>
                <w:szCs w:val="20"/>
              </w:rPr>
            </w:pPr>
            <w:r>
              <w:rPr>
                <w:sz w:val="20"/>
                <w:szCs w:val="20"/>
              </w:rPr>
              <w:t xml:space="preserve">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C2" w14:textId="77777777" w:rsidR="000D7DD9" w:rsidRDefault="000D7DD9">
            <w:pPr>
              <w:widowControl w:val="0"/>
              <w:spacing w:after="0" w:line="276" w:lineRule="auto"/>
              <w:rPr>
                <w:sz w:val="20"/>
                <w:szCs w:val="20"/>
              </w:rPr>
            </w:pPr>
          </w:p>
        </w:tc>
      </w:tr>
      <w:tr w:rsidR="000D7DD9" w14:paraId="705A24C9"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bottom"/>
          </w:tcPr>
          <w:p w14:paraId="705A24C4"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bottom"/>
          </w:tcPr>
          <w:p w14:paraId="705A24C5"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bottom"/>
          </w:tcPr>
          <w:p w14:paraId="705A24C6" w14:textId="77777777" w:rsidR="000D7DD9" w:rsidRDefault="000D7DD9">
            <w:pPr>
              <w:widowControl w:val="0"/>
              <w:spacing w:after="0" w:line="276" w:lineRule="auto"/>
              <w:rPr>
                <w:sz w:val="20"/>
                <w:szCs w:val="20"/>
              </w:rPr>
            </w:pPr>
          </w:p>
        </w:tc>
        <w:tc>
          <w:tcPr>
            <w:tcW w:w="1298" w:type="dxa"/>
            <w:tcBorders>
              <w:top w:val="nil"/>
              <w:left w:val="nil"/>
              <w:bottom w:val="nil"/>
              <w:right w:val="nil"/>
            </w:tcBorders>
            <w:shd w:val="clear" w:color="auto" w:fill="auto"/>
            <w:tcMar>
              <w:top w:w="40" w:type="dxa"/>
              <w:left w:w="40" w:type="dxa"/>
              <w:bottom w:w="40" w:type="dxa"/>
              <w:right w:w="40" w:type="dxa"/>
            </w:tcMar>
            <w:vAlign w:val="bottom"/>
          </w:tcPr>
          <w:p w14:paraId="705A24C7"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bottom"/>
          </w:tcPr>
          <w:p w14:paraId="705A24C8" w14:textId="77777777" w:rsidR="000D7DD9" w:rsidRDefault="000D7DD9">
            <w:pPr>
              <w:widowControl w:val="0"/>
              <w:spacing w:after="0" w:line="276" w:lineRule="auto"/>
              <w:rPr>
                <w:sz w:val="20"/>
                <w:szCs w:val="20"/>
              </w:rPr>
            </w:pPr>
          </w:p>
        </w:tc>
      </w:tr>
      <w:tr w:rsidR="000D7DD9" w14:paraId="705A24CF"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CA" w14:textId="77777777" w:rsidR="000D7DD9" w:rsidRDefault="000D7DD9">
            <w:pPr>
              <w:widowControl w:val="0"/>
              <w:spacing w:after="0" w:line="276" w:lineRule="auto"/>
              <w:rPr>
                <w:sz w:val="20"/>
                <w:szCs w:val="20"/>
              </w:rPr>
            </w:pPr>
          </w:p>
        </w:tc>
        <w:tc>
          <w:tcPr>
            <w:tcW w:w="337"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705A24CB" w14:textId="77777777" w:rsidR="000D7DD9" w:rsidRDefault="000D7DD9">
            <w:pPr>
              <w:widowControl w:val="0"/>
              <w:spacing w:after="0" w:line="276" w:lineRule="auto"/>
              <w:rPr>
                <w:sz w:val="20"/>
                <w:szCs w:val="20"/>
              </w:rPr>
            </w:pPr>
          </w:p>
        </w:tc>
        <w:tc>
          <w:tcPr>
            <w:tcW w:w="7321"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705A24CC" w14:textId="77777777" w:rsidR="000D7DD9" w:rsidRDefault="000D7DD9">
            <w:pPr>
              <w:widowControl w:val="0"/>
              <w:spacing w:after="0" w:line="276" w:lineRule="auto"/>
              <w:rPr>
                <w:sz w:val="20"/>
                <w:szCs w:val="20"/>
              </w:rPr>
            </w:pPr>
          </w:p>
        </w:tc>
        <w:tc>
          <w:tcPr>
            <w:tcW w:w="1298"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705A24CD" w14:textId="77777777" w:rsidR="000D7DD9" w:rsidRDefault="000D7DD9">
            <w:pPr>
              <w:widowControl w:val="0"/>
              <w:spacing w:after="0" w:line="276" w:lineRule="auto"/>
              <w:rPr>
                <w:sz w:val="20"/>
                <w:szCs w:val="20"/>
              </w:rPr>
            </w:pPr>
          </w:p>
        </w:tc>
        <w:tc>
          <w:tcPr>
            <w:tcW w:w="337" w:type="dxa"/>
            <w:tcBorders>
              <w:top w:val="nil"/>
              <w:left w:val="nil"/>
              <w:bottom w:val="single" w:sz="6" w:space="0" w:color="000000"/>
              <w:right w:val="nil"/>
            </w:tcBorders>
            <w:shd w:val="clear" w:color="auto" w:fill="auto"/>
            <w:tcMar>
              <w:top w:w="40" w:type="dxa"/>
              <w:left w:w="40" w:type="dxa"/>
              <w:bottom w:w="40" w:type="dxa"/>
              <w:right w:w="40" w:type="dxa"/>
            </w:tcMar>
            <w:vAlign w:val="center"/>
          </w:tcPr>
          <w:p w14:paraId="705A24CE" w14:textId="77777777" w:rsidR="000D7DD9" w:rsidRDefault="000D7DD9">
            <w:pPr>
              <w:widowControl w:val="0"/>
              <w:spacing w:after="0" w:line="276" w:lineRule="auto"/>
              <w:rPr>
                <w:sz w:val="20"/>
                <w:szCs w:val="20"/>
              </w:rPr>
            </w:pPr>
          </w:p>
        </w:tc>
      </w:tr>
      <w:tr w:rsidR="000D7DD9" w14:paraId="705A24D4"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D0" w14:textId="77777777" w:rsidR="000D7DD9" w:rsidRDefault="000D7DD9">
            <w:pPr>
              <w:widowControl w:val="0"/>
              <w:spacing w:after="0" w:line="276" w:lineRule="auto"/>
              <w:rPr>
                <w:sz w:val="20"/>
                <w:szCs w:val="20"/>
              </w:rPr>
            </w:pPr>
          </w:p>
        </w:tc>
        <w:tc>
          <w:tcPr>
            <w:tcW w:w="7658" w:type="dxa"/>
            <w:gridSpan w:val="2"/>
            <w:tcBorders>
              <w:top w:val="nil"/>
              <w:left w:val="nil"/>
              <w:bottom w:val="single" w:sz="6" w:space="0" w:color="EFEFEF"/>
              <w:right w:val="nil"/>
            </w:tcBorders>
            <w:shd w:val="clear" w:color="auto" w:fill="FFFFFF"/>
            <w:tcMar>
              <w:top w:w="40" w:type="dxa"/>
              <w:left w:w="40" w:type="dxa"/>
              <w:bottom w:w="40" w:type="dxa"/>
              <w:right w:w="40" w:type="dxa"/>
            </w:tcMar>
            <w:vAlign w:val="center"/>
          </w:tcPr>
          <w:p w14:paraId="705A24D1" w14:textId="77777777" w:rsidR="000D7DD9" w:rsidRDefault="000D7DD9">
            <w:pPr>
              <w:widowControl w:val="0"/>
              <w:spacing w:after="0" w:line="276" w:lineRule="auto"/>
              <w:rPr>
                <w:sz w:val="20"/>
                <w:szCs w:val="20"/>
              </w:rPr>
            </w:pPr>
          </w:p>
        </w:tc>
        <w:tc>
          <w:tcPr>
            <w:tcW w:w="1298" w:type="dxa"/>
            <w:tcBorders>
              <w:top w:val="nil"/>
              <w:left w:val="nil"/>
              <w:bottom w:val="single" w:sz="6" w:space="0" w:color="EFEFEF"/>
              <w:right w:val="nil"/>
            </w:tcBorders>
            <w:shd w:val="clear" w:color="auto" w:fill="FFFFFF"/>
            <w:tcMar>
              <w:top w:w="40" w:type="dxa"/>
              <w:left w:w="40" w:type="dxa"/>
              <w:bottom w:w="40" w:type="dxa"/>
              <w:right w:w="40" w:type="dxa"/>
            </w:tcMar>
            <w:vAlign w:val="center"/>
          </w:tcPr>
          <w:p w14:paraId="705A24D2" w14:textId="77777777" w:rsidR="000D7DD9" w:rsidRDefault="000D7DD9">
            <w:pPr>
              <w:widowControl w:val="0"/>
              <w:spacing w:after="0" w:line="276" w:lineRule="auto"/>
              <w:rPr>
                <w:sz w:val="20"/>
                <w:szCs w:val="20"/>
              </w:rPr>
            </w:pPr>
          </w:p>
        </w:tc>
        <w:tc>
          <w:tcPr>
            <w:tcW w:w="337" w:type="dxa"/>
            <w:tcBorders>
              <w:top w:val="nil"/>
              <w:left w:val="nil"/>
              <w:bottom w:val="single" w:sz="6" w:space="0" w:color="EFEFEF"/>
              <w:right w:val="nil"/>
            </w:tcBorders>
            <w:shd w:val="clear" w:color="auto" w:fill="FFFFFF"/>
            <w:tcMar>
              <w:top w:w="40" w:type="dxa"/>
              <w:left w:w="40" w:type="dxa"/>
              <w:bottom w:w="40" w:type="dxa"/>
              <w:right w:w="40" w:type="dxa"/>
            </w:tcMar>
            <w:vAlign w:val="center"/>
          </w:tcPr>
          <w:p w14:paraId="705A24D3" w14:textId="77777777" w:rsidR="000D7DD9" w:rsidRDefault="000D7DD9">
            <w:pPr>
              <w:widowControl w:val="0"/>
              <w:spacing w:after="0" w:line="276" w:lineRule="auto"/>
              <w:rPr>
                <w:sz w:val="20"/>
                <w:szCs w:val="20"/>
              </w:rPr>
            </w:pPr>
          </w:p>
        </w:tc>
      </w:tr>
      <w:tr w:rsidR="000D7DD9" w14:paraId="705A24DA" w14:textId="77777777">
        <w:trPr>
          <w:trHeight w:val="1140"/>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D5" w14:textId="77777777" w:rsidR="000D7DD9" w:rsidRDefault="000D7DD9">
            <w:pPr>
              <w:widowControl w:val="0"/>
              <w:spacing w:after="0" w:line="276" w:lineRule="auto"/>
              <w:rPr>
                <w:sz w:val="20"/>
                <w:szCs w:val="20"/>
              </w:rPr>
            </w:pPr>
          </w:p>
        </w:tc>
        <w:tc>
          <w:tcPr>
            <w:tcW w:w="337"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4D6" w14:textId="77777777" w:rsidR="000D7DD9" w:rsidRDefault="000D7DD9">
            <w:pPr>
              <w:widowControl w:val="0"/>
              <w:spacing w:after="0" w:line="276" w:lineRule="auto"/>
              <w:rPr>
                <w:sz w:val="20"/>
                <w:szCs w:val="20"/>
              </w:rPr>
            </w:pPr>
          </w:p>
        </w:tc>
        <w:tc>
          <w:tcPr>
            <w:tcW w:w="7321"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4D7" w14:textId="77777777" w:rsidR="000D7DD9" w:rsidRDefault="008C1AB2">
            <w:pPr>
              <w:widowControl w:val="0"/>
              <w:spacing w:after="0" w:line="276" w:lineRule="auto"/>
              <w:rPr>
                <w:sz w:val="20"/>
                <w:szCs w:val="20"/>
              </w:rPr>
            </w:pPr>
            <w:r>
              <w:rPr>
                <w:b/>
                <w:sz w:val="26"/>
                <w:szCs w:val="26"/>
              </w:rPr>
              <w:t>CELKEM (bez DPH)</w:t>
            </w:r>
          </w:p>
        </w:tc>
        <w:tc>
          <w:tcPr>
            <w:tcW w:w="1298"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4D8" w14:textId="77777777" w:rsidR="000D7DD9" w:rsidRDefault="008C1AB2">
            <w:pPr>
              <w:widowControl w:val="0"/>
              <w:spacing w:after="0" w:line="276" w:lineRule="auto"/>
              <w:jc w:val="right"/>
              <w:rPr>
                <w:sz w:val="16"/>
                <w:szCs w:val="16"/>
              </w:rPr>
            </w:pPr>
            <w:r>
              <w:rPr>
                <w:b/>
              </w:rPr>
              <w:t>165 850 Kč</w:t>
            </w:r>
          </w:p>
        </w:tc>
        <w:tc>
          <w:tcPr>
            <w:tcW w:w="337"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4D9" w14:textId="77777777" w:rsidR="000D7DD9" w:rsidRDefault="000D7DD9">
            <w:pPr>
              <w:widowControl w:val="0"/>
              <w:spacing w:after="0" w:line="276" w:lineRule="auto"/>
              <w:rPr>
                <w:sz w:val="20"/>
                <w:szCs w:val="20"/>
              </w:rPr>
            </w:pPr>
          </w:p>
        </w:tc>
      </w:tr>
      <w:tr w:rsidR="000D7DD9" w14:paraId="705A24E0"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DB" w14:textId="77777777" w:rsidR="000D7DD9" w:rsidRDefault="000D7DD9">
            <w:pPr>
              <w:widowControl w:val="0"/>
              <w:spacing w:after="0" w:line="276" w:lineRule="auto"/>
              <w:rPr>
                <w:sz w:val="20"/>
                <w:szCs w:val="20"/>
              </w:rPr>
            </w:pPr>
          </w:p>
        </w:tc>
        <w:tc>
          <w:tcPr>
            <w:tcW w:w="337"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05A24DC" w14:textId="77777777" w:rsidR="000D7DD9" w:rsidRDefault="000D7DD9">
            <w:pPr>
              <w:widowControl w:val="0"/>
              <w:spacing w:after="0" w:line="276" w:lineRule="auto"/>
              <w:rPr>
                <w:sz w:val="20"/>
                <w:szCs w:val="20"/>
              </w:rPr>
            </w:pPr>
          </w:p>
        </w:tc>
        <w:tc>
          <w:tcPr>
            <w:tcW w:w="7321" w:type="dxa"/>
            <w:tcBorders>
              <w:top w:val="nil"/>
              <w:left w:val="nil"/>
              <w:bottom w:val="single" w:sz="6" w:space="0" w:color="000000"/>
              <w:right w:val="nil"/>
            </w:tcBorders>
            <w:shd w:val="clear" w:color="auto" w:fill="auto"/>
            <w:tcMar>
              <w:top w:w="40" w:type="dxa"/>
              <w:left w:w="40" w:type="dxa"/>
              <w:bottom w:w="40" w:type="dxa"/>
              <w:right w:w="40" w:type="dxa"/>
            </w:tcMar>
            <w:vAlign w:val="bottom"/>
          </w:tcPr>
          <w:p w14:paraId="705A24DD" w14:textId="77777777" w:rsidR="000D7DD9" w:rsidRDefault="000D7DD9">
            <w:pPr>
              <w:widowControl w:val="0"/>
              <w:spacing w:after="0" w:line="276" w:lineRule="auto"/>
              <w:rPr>
                <w:sz w:val="20"/>
                <w:szCs w:val="20"/>
              </w:rPr>
            </w:pPr>
          </w:p>
        </w:tc>
        <w:tc>
          <w:tcPr>
            <w:tcW w:w="1298"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705A24DE" w14:textId="77777777" w:rsidR="000D7DD9" w:rsidRDefault="008C1AB2">
            <w:pPr>
              <w:widowControl w:val="0"/>
              <w:spacing w:after="0" w:line="276" w:lineRule="auto"/>
              <w:jc w:val="right"/>
              <w:rPr>
                <w:sz w:val="20"/>
                <w:szCs w:val="20"/>
              </w:rPr>
            </w:pPr>
            <w:r>
              <w:rPr>
                <w:color w:val="FFFFFF"/>
                <w:sz w:val="16"/>
                <w:szCs w:val="16"/>
              </w:rPr>
              <w:t>€0</w:t>
            </w:r>
          </w:p>
        </w:tc>
        <w:tc>
          <w:tcPr>
            <w:tcW w:w="337" w:type="dxa"/>
            <w:tcBorders>
              <w:top w:val="nil"/>
              <w:left w:val="nil"/>
              <w:bottom w:val="single" w:sz="6" w:space="0" w:color="000000"/>
              <w:right w:val="nil"/>
            </w:tcBorders>
            <w:shd w:val="clear" w:color="auto" w:fill="FFFFFF"/>
            <w:tcMar>
              <w:top w:w="40" w:type="dxa"/>
              <w:left w:w="40" w:type="dxa"/>
              <w:bottom w:w="40" w:type="dxa"/>
              <w:right w:w="40" w:type="dxa"/>
            </w:tcMar>
            <w:vAlign w:val="center"/>
          </w:tcPr>
          <w:p w14:paraId="705A24DF" w14:textId="77777777" w:rsidR="000D7DD9" w:rsidRDefault="000D7DD9">
            <w:pPr>
              <w:widowControl w:val="0"/>
              <w:spacing w:after="0" w:line="276" w:lineRule="auto"/>
              <w:rPr>
                <w:sz w:val="20"/>
                <w:szCs w:val="20"/>
              </w:rPr>
            </w:pPr>
          </w:p>
        </w:tc>
      </w:tr>
      <w:tr w:rsidR="000D7DD9" w14:paraId="705A24E6"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1"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2"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center"/>
          </w:tcPr>
          <w:p w14:paraId="705A24E3" w14:textId="77777777" w:rsidR="000D7DD9" w:rsidRDefault="000D7DD9">
            <w:pPr>
              <w:widowControl w:val="0"/>
              <w:spacing w:after="0" w:line="276" w:lineRule="auto"/>
              <w:rPr>
                <w:sz w:val="20"/>
                <w:szCs w:val="20"/>
              </w:rPr>
            </w:pP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E4"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5" w14:textId="77777777" w:rsidR="000D7DD9" w:rsidRDefault="000D7DD9">
            <w:pPr>
              <w:widowControl w:val="0"/>
              <w:spacing w:after="0" w:line="276" w:lineRule="auto"/>
              <w:rPr>
                <w:sz w:val="20"/>
                <w:szCs w:val="20"/>
              </w:rPr>
            </w:pPr>
          </w:p>
        </w:tc>
      </w:tr>
      <w:tr w:rsidR="000D7DD9" w14:paraId="705A24EC"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7"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8"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center"/>
          </w:tcPr>
          <w:p w14:paraId="705A24E9" w14:textId="77777777" w:rsidR="000D7DD9" w:rsidRDefault="008C1AB2">
            <w:pPr>
              <w:widowControl w:val="0"/>
              <w:spacing w:after="0" w:line="276" w:lineRule="auto"/>
              <w:rPr>
                <w:sz w:val="20"/>
                <w:szCs w:val="20"/>
              </w:rPr>
            </w:pPr>
            <w:r>
              <w:rPr>
                <w:sz w:val="20"/>
                <w:szCs w:val="20"/>
              </w:rPr>
              <w:t>Transportní náklady (hardware)</w:t>
            </w:r>
          </w:p>
        </w:tc>
        <w:tc>
          <w:tcPr>
            <w:tcW w:w="1298" w:type="dxa"/>
            <w:tcBorders>
              <w:top w:val="nil"/>
              <w:left w:val="nil"/>
              <w:bottom w:val="nil"/>
              <w:right w:val="nil"/>
            </w:tcBorders>
            <w:shd w:val="clear" w:color="auto" w:fill="FFFFFF"/>
            <w:tcMar>
              <w:top w:w="40" w:type="dxa"/>
              <w:left w:w="40" w:type="dxa"/>
              <w:bottom w:w="40" w:type="dxa"/>
              <w:right w:w="40" w:type="dxa"/>
            </w:tcMar>
            <w:vAlign w:val="center"/>
          </w:tcPr>
          <w:p w14:paraId="705A24EA" w14:textId="77777777" w:rsidR="000D7DD9" w:rsidRDefault="008C1AB2">
            <w:pPr>
              <w:widowControl w:val="0"/>
              <w:spacing w:after="0" w:line="276" w:lineRule="auto"/>
              <w:jc w:val="right"/>
              <w:rPr>
                <w:sz w:val="20"/>
                <w:szCs w:val="20"/>
              </w:rPr>
            </w:pPr>
            <w:r>
              <w:rPr>
                <w:sz w:val="20"/>
                <w:szCs w:val="20"/>
              </w:rPr>
              <w:t>0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B" w14:textId="77777777" w:rsidR="000D7DD9" w:rsidRDefault="000D7DD9">
            <w:pPr>
              <w:widowControl w:val="0"/>
              <w:spacing w:after="0" w:line="276" w:lineRule="auto"/>
              <w:rPr>
                <w:sz w:val="20"/>
                <w:szCs w:val="20"/>
              </w:rPr>
            </w:pPr>
          </w:p>
        </w:tc>
      </w:tr>
      <w:tr w:rsidR="000D7DD9" w14:paraId="705A24F2"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D"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EE"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center"/>
          </w:tcPr>
          <w:p w14:paraId="705A24EF" w14:textId="77777777" w:rsidR="000D7DD9" w:rsidRDefault="000D7DD9">
            <w:pPr>
              <w:widowControl w:val="0"/>
              <w:spacing w:after="0" w:line="276" w:lineRule="auto"/>
              <w:rPr>
                <w:sz w:val="20"/>
                <w:szCs w:val="20"/>
              </w:rPr>
            </w:pP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F0"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1" w14:textId="77777777" w:rsidR="000D7DD9" w:rsidRDefault="000D7DD9">
            <w:pPr>
              <w:widowControl w:val="0"/>
              <w:spacing w:after="0" w:line="276" w:lineRule="auto"/>
              <w:rPr>
                <w:sz w:val="20"/>
                <w:szCs w:val="20"/>
              </w:rPr>
            </w:pPr>
          </w:p>
        </w:tc>
      </w:tr>
      <w:tr w:rsidR="000D7DD9" w14:paraId="705A24F8"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3"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4"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center"/>
          </w:tcPr>
          <w:p w14:paraId="705A24F5" w14:textId="77777777" w:rsidR="000D7DD9" w:rsidRDefault="008C1AB2">
            <w:pPr>
              <w:widowControl w:val="0"/>
              <w:spacing w:after="0" w:line="276" w:lineRule="auto"/>
              <w:rPr>
                <w:sz w:val="20"/>
                <w:szCs w:val="20"/>
              </w:rPr>
            </w:pPr>
            <w:r>
              <w:rPr>
                <w:b/>
                <w:sz w:val="20"/>
                <w:szCs w:val="20"/>
              </w:rPr>
              <w:t>Záloha (0% technologie, 0% transport) - cena bez DPH</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F6" w14:textId="77777777" w:rsidR="000D7DD9" w:rsidRDefault="008C1AB2">
            <w:pPr>
              <w:widowControl w:val="0"/>
              <w:spacing w:after="0" w:line="276" w:lineRule="auto"/>
              <w:jc w:val="right"/>
              <w:rPr>
                <w:sz w:val="20"/>
                <w:szCs w:val="20"/>
              </w:rPr>
            </w:pPr>
            <w:r>
              <w:rPr>
                <w:b/>
                <w:sz w:val="20"/>
                <w:szCs w:val="20"/>
              </w:rPr>
              <w:t>0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7" w14:textId="77777777" w:rsidR="000D7DD9" w:rsidRDefault="000D7DD9">
            <w:pPr>
              <w:widowControl w:val="0"/>
              <w:spacing w:after="0" w:line="276" w:lineRule="auto"/>
              <w:rPr>
                <w:sz w:val="20"/>
                <w:szCs w:val="20"/>
              </w:rPr>
            </w:pPr>
          </w:p>
        </w:tc>
      </w:tr>
      <w:tr w:rsidR="000D7DD9" w14:paraId="705A24FE"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9"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A"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center"/>
          </w:tcPr>
          <w:p w14:paraId="705A24FB" w14:textId="77777777" w:rsidR="000D7DD9" w:rsidRDefault="008C1AB2">
            <w:pPr>
              <w:widowControl w:val="0"/>
              <w:spacing w:after="0" w:line="276" w:lineRule="auto"/>
              <w:rPr>
                <w:sz w:val="20"/>
                <w:szCs w:val="20"/>
              </w:rPr>
            </w:pPr>
            <w:r>
              <w:rPr>
                <w:b/>
                <w:sz w:val="20"/>
                <w:szCs w:val="20"/>
              </w:rPr>
              <w:t>Doplatek (100% technologie, 100% transport) - cena bez DPH</w:t>
            </w: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4FC" w14:textId="77777777" w:rsidR="000D7DD9" w:rsidRDefault="008C1AB2">
            <w:pPr>
              <w:widowControl w:val="0"/>
              <w:spacing w:after="0" w:line="276" w:lineRule="auto"/>
              <w:jc w:val="right"/>
              <w:rPr>
                <w:sz w:val="20"/>
                <w:szCs w:val="20"/>
              </w:rPr>
            </w:pPr>
            <w:r>
              <w:rPr>
                <w:b/>
                <w:sz w:val="20"/>
                <w:szCs w:val="20"/>
              </w:rPr>
              <w:t>165 850 Kč</w:t>
            </w: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D" w14:textId="77777777" w:rsidR="000D7DD9" w:rsidRDefault="000D7DD9">
            <w:pPr>
              <w:widowControl w:val="0"/>
              <w:spacing w:after="0" w:line="276" w:lineRule="auto"/>
              <w:rPr>
                <w:sz w:val="20"/>
                <w:szCs w:val="20"/>
              </w:rPr>
            </w:pPr>
          </w:p>
        </w:tc>
      </w:tr>
      <w:tr w:rsidR="000D7DD9" w14:paraId="705A2504"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4FF"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500" w14:textId="77777777" w:rsidR="000D7DD9" w:rsidRDefault="000D7DD9">
            <w:pPr>
              <w:widowControl w:val="0"/>
              <w:spacing w:after="0" w:line="276" w:lineRule="auto"/>
              <w:rPr>
                <w:sz w:val="20"/>
                <w:szCs w:val="20"/>
              </w:rPr>
            </w:pPr>
          </w:p>
        </w:tc>
        <w:tc>
          <w:tcPr>
            <w:tcW w:w="7321" w:type="dxa"/>
            <w:tcBorders>
              <w:top w:val="nil"/>
              <w:left w:val="nil"/>
              <w:bottom w:val="nil"/>
              <w:right w:val="nil"/>
            </w:tcBorders>
            <w:shd w:val="clear" w:color="auto" w:fill="auto"/>
            <w:tcMar>
              <w:top w:w="40" w:type="dxa"/>
              <w:left w:w="40" w:type="dxa"/>
              <w:bottom w:w="40" w:type="dxa"/>
              <w:right w:w="40" w:type="dxa"/>
            </w:tcMar>
            <w:vAlign w:val="center"/>
          </w:tcPr>
          <w:p w14:paraId="705A2501" w14:textId="77777777" w:rsidR="000D7DD9" w:rsidRDefault="000D7DD9">
            <w:pPr>
              <w:widowControl w:val="0"/>
              <w:spacing w:after="0" w:line="276" w:lineRule="auto"/>
              <w:rPr>
                <w:sz w:val="20"/>
                <w:szCs w:val="20"/>
              </w:rPr>
            </w:pPr>
          </w:p>
        </w:tc>
        <w:tc>
          <w:tcPr>
            <w:tcW w:w="1298" w:type="dxa"/>
            <w:tcBorders>
              <w:top w:val="nil"/>
              <w:left w:val="nil"/>
              <w:bottom w:val="nil"/>
              <w:right w:val="nil"/>
            </w:tcBorders>
            <w:shd w:val="clear" w:color="auto" w:fill="auto"/>
            <w:tcMar>
              <w:top w:w="40" w:type="dxa"/>
              <w:left w:w="40" w:type="dxa"/>
              <w:bottom w:w="40" w:type="dxa"/>
              <w:right w:w="40" w:type="dxa"/>
            </w:tcMar>
            <w:vAlign w:val="center"/>
          </w:tcPr>
          <w:p w14:paraId="705A2502" w14:textId="77777777" w:rsidR="000D7DD9" w:rsidRDefault="000D7DD9">
            <w:pPr>
              <w:widowControl w:val="0"/>
              <w:spacing w:after="0" w:line="276" w:lineRule="auto"/>
              <w:rPr>
                <w:sz w:val="20"/>
                <w:szCs w:val="20"/>
              </w:rPr>
            </w:pPr>
          </w:p>
        </w:tc>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503" w14:textId="77777777" w:rsidR="000D7DD9" w:rsidRDefault="000D7DD9">
            <w:pPr>
              <w:widowControl w:val="0"/>
              <w:spacing w:after="0" w:line="276" w:lineRule="auto"/>
              <w:rPr>
                <w:sz w:val="20"/>
                <w:szCs w:val="20"/>
              </w:rPr>
            </w:pPr>
          </w:p>
        </w:tc>
      </w:tr>
      <w:tr w:rsidR="000D7DD9" w14:paraId="705A250A" w14:textId="77777777">
        <w:trPr>
          <w:trHeight w:val="315"/>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505" w14:textId="77777777" w:rsidR="000D7DD9" w:rsidRDefault="000D7DD9">
            <w:pPr>
              <w:widowControl w:val="0"/>
              <w:spacing w:after="0" w:line="276" w:lineRule="auto"/>
              <w:rPr>
                <w:sz w:val="20"/>
                <w:szCs w:val="20"/>
              </w:rPr>
            </w:pPr>
          </w:p>
        </w:tc>
        <w:tc>
          <w:tcPr>
            <w:tcW w:w="337" w:type="dxa"/>
            <w:tcBorders>
              <w:top w:val="nil"/>
              <w:left w:val="nil"/>
              <w:bottom w:val="single" w:sz="6" w:space="0" w:color="EFEFEF"/>
              <w:right w:val="nil"/>
            </w:tcBorders>
            <w:shd w:val="clear" w:color="auto" w:fill="auto"/>
            <w:tcMar>
              <w:top w:w="40" w:type="dxa"/>
              <w:left w:w="40" w:type="dxa"/>
              <w:bottom w:w="40" w:type="dxa"/>
              <w:right w:w="40" w:type="dxa"/>
            </w:tcMar>
            <w:vAlign w:val="center"/>
          </w:tcPr>
          <w:p w14:paraId="705A2506" w14:textId="77777777" w:rsidR="000D7DD9" w:rsidRDefault="000D7DD9">
            <w:pPr>
              <w:widowControl w:val="0"/>
              <w:spacing w:after="0" w:line="276" w:lineRule="auto"/>
              <w:rPr>
                <w:sz w:val="20"/>
                <w:szCs w:val="20"/>
              </w:rPr>
            </w:pPr>
          </w:p>
        </w:tc>
        <w:tc>
          <w:tcPr>
            <w:tcW w:w="7321" w:type="dxa"/>
            <w:tcBorders>
              <w:top w:val="nil"/>
              <w:left w:val="nil"/>
              <w:bottom w:val="single" w:sz="6" w:space="0" w:color="EFEFEF"/>
              <w:right w:val="nil"/>
            </w:tcBorders>
            <w:shd w:val="clear" w:color="auto" w:fill="auto"/>
            <w:tcMar>
              <w:top w:w="40" w:type="dxa"/>
              <w:left w:w="40" w:type="dxa"/>
              <w:bottom w:w="40" w:type="dxa"/>
              <w:right w:w="40" w:type="dxa"/>
            </w:tcMar>
            <w:vAlign w:val="center"/>
          </w:tcPr>
          <w:p w14:paraId="705A2507" w14:textId="77777777" w:rsidR="000D7DD9" w:rsidRDefault="008C1AB2">
            <w:pPr>
              <w:widowControl w:val="0"/>
              <w:spacing w:after="0" w:line="276" w:lineRule="auto"/>
              <w:rPr>
                <w:sz w:val="20"/>
                <w:szCs w:val="20"/>
              </w:rPr>
            </w:pPr>
            <w:r>
              <w:rPr>
                <w:sz w:val="20"/>
                <w:szCs w:val="20"/>
              </w:rPr>
              <w:t>DPH (</w:t>
            </w:r>
            <w:proofErr w:type="gramStart"/>
            <w:r>
              <w:rPr>
                <w:sz w:val="20"/>
                <w:szCs w:val="20"/>
              </w:rPr>
              <w:t>21%</w:t>
            </w:r>
            <w:proofErr w:type="gramEnd"/>
            <w:r>
              <w:rPr>
                <w:sz w:val="20"/>
                <w:szCs w:val="20"/>
              </w:rPr>
              <w:t>)</w:t>
            </w:r>
          </w:p>
        </w:tc>
        <w:tc>
          <w:tcPr>
            <w:tcW w:w="1298" w:type="dxa"/>
            <w:tcBorders>
              <w:top w:val="nil"/>
              <w:left w:val="nil"/>
              <w:bottom w:val="single" w:sz="6" w:space="0" w:color="EFEFEF"/>
              <w:right w:val="nil"/>
            </w:tcBorders>
            <w:shd w:val="clear" w:color="auto" w:fill="auto"/>
            <w:tcMar>
              <w:top w:w="40" w:type="dxa"/>
              <w:left w:w="40" w:type="dxa"/>
              <w:bottom w:w="40" w:type="dxa"/>
              <w:right w:w="40" w:type="dxa"/>
            </w:tcMar>
            <w:vAlign w:val="center"/>
          </w:tcPr>
          <w:p w14:paraId="705A2508" w14:textId="77777777" w:rsidR="000D7DD9" w:rsidRDefault="008C1AB2">
            <w:pPr>
              <w:widowControl w:val="0"/>
              <w:spacing w:after="0" w:line="276" w:lineRule="auto"/>
              <w:jc w:val="right"/>
              <w:rPr>
                <w:sz w:val="20"/>
                <w:szCs w:val="20"/>
              </w:rPr>
            </w:pPr>
            <w:r>
              <w:rPr>
                <w:sz w:val="20"/>
                <w:szCs w:val="20"/>
              </w:rPr>
              <w:t>34 829 Kč</w:t>
            </w:r>
          </w:p>
        </w:tc>
        <w:tc>
          <w:tcPr>
            <w:tcW w:w="337" w:type="dxa"/>
            <w:tcBorders>
              <w:top w:val="nil"/>
              <w:left w:val="nil"/>
              <w:bottom w:val="single" w:sz="6" w:space="0" w:color="EFEFEF"/>
              <w:right w:val="nil"/>
            </w:tcBorders>
            <w:shd w:val="clear" w:color="auto" w:fill="auto"/>
            <w:tcMar>
              <w:top w:w="40" w:type="dxa"/>
              <w:left w:w="40" w:type="dxa"/>
              <w:bottom w:w="40" w:type="dxa"/>
              <w:right w:w="40" w:type="dxa"/>
            </w:tcMar>
            <w:vAlign w:val="center"/>
          </w:tcPr>
          <w:p w14:paraId="705A2509" w14:textId="77777777" w:rsidR="000D7DD9" w:rsidRDefault="000D7DD9">
            <w:pPr>
              <w:widowControl w:val="0"/>
              <w:spacing w:after="0" w:line="276" w:lineRule="auto"/>
              <w:rPr>
                <w:sz w:val="20"/>
                <w:szCs w:val="20"/>
              </w:rPr>
            </w:pPr>
          </w:p>
        </w:tc>
      </w:tr>
      <w:tr w:rsidR="000D7DD9" w14:paraId="705A2510" w14:textId="77777777">
        <w:trPr>
          <w:trHeight w:val="1140"/>
        </w:trPr>
        <w:tc>
          <w:tcPr>
            <w:tcW w:w="337" w:type="dxa"/>
            <w:tcBorders>
              <w:top w:val="nil"/>
              <w:left w:val="nil"/>
              <w:bottom w:val="nil"/>
              <w:right w:val="nil"/>
            </w:tcBorders>
            <w:shd w:val="clear" w:color="auto" w:fill="auto"/>
            <w:tcMar>
              <w:top w:w="40" w:type="dxa"/>
              <w:left w:w="40" w:type="dxa"/>
              <w:bottom w:w="40" w:type="dxa"/>
              <w:right w:w="40" w:type="dxa"/>
            </w:tcMar>
            <w:vAlign w:val="center"/>
          </w:tcPr>
          <w:p w14:paraId="705A250B" w14:textId="77777777" w:rsidR="000D7DD9" w:rsidRDefault="000D7DD9">
            <w:pPr>
              <w:widowControl w:val="0"/>
              <w:spacing w:after="0" w:line="276" w:lineRule="auto"/>
              <w:rPr>
                <w:sz w:val="20"/>
                <w:szCs w:val="20"/>
              </w:rPr>
            </w:pPr>
          </w:p>
        </w:tc>
        <w:tc>
          <w:tcPr>
            <w:tcW w:w="337"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50C" w14:textId="77777777" w:rsidR="000D7DD9" w:rsidRDefault="000D7DD9">
            <w:pPr>
              <w:widowControl w:val="0"/>
              <w:spacing w:after="0" w:line="276" w:lineRule="auto"/>
              <w:rPr>
                <w:sz w:val="20"/>
                <w:szCs w:val="20"/>
              </w:rPr>
            </w:pPr>
          </w:p>
        </w:tc>
        <w:tc>
          <w:tcPr>
            <w:tcW w:w="7321"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50D" w14:textId="6F137E28" w:rsidR="000D7DD9" w:rsidRDefault="008C1AB2">
            <w:pPr>
              <w:widowControl w:val="0"/>
              <w:spacing w:after="0" w:line="276" w:lineRule="auto"/>
              <w:rPr>
                <w:sz w:val="20"/>
                <w:szCs w:val="20"/>
              </w:rPr>
            </w:pPr>
            <w:r>
              <w:rPr>
                <w:b/>
                <w:sz w:val="26"/>
                <w:szCs w:val="26"/>
              </w:rPr>
              <w:t>CELKEM (</w:t>
            </w:r>
            <w:r w:rsidR="00411F61">
              <w:rPr>
                <w:b/>
                <w:sz w:val="26"/>
                <w:szCs w:val="26"/>
              </w:rPr>
              <w:t>s</w:t>
            </w:r>
            <w:r>
              <w:rPr>
                <w:b/>
                <w:sz w:val="26"/>
                <w:szCs w:val="26"/>
              </w:rPr>
              <w:t xml:space="preserve"> DPH)</w:t>
            </w:r>
          </w:p>
        </w:tc>
        <w:tc>
          <w:tcPr>
            <w:tcW w:w="1298"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50E" w14:textId="77777777" w:rsidR="000D7DD9" w:rsidRDefault="008C1AB2">
            <w:pPr>
              <w:widowControl w:val="0"/>
              <w:spacing w:after="0" w:line="276" w:lineRule="auto"/>
              <w:jc w:val="right"/>
              <w:rPr>
                <w:sz w:val="16"/>
                <w:szCs w:val="16"/>
              </w:rPr>
            </w:pPr>
            <w:r>
              <w:rPr>
                <w:b/>
              </w:rPr>
              <w:t>200 679 Kč</w:t>
            </w:r>
          </w:p>
        </w:tc>
        <w:tc>
          <w:tcPr>
            <w:tcW w:w="337" w:type="dxa"/>
            <w:tcBorders>
              <w:top w:val="nil"/>
              <w:left w:val="nil"/>
              <w:bottom w:val="single" w:sz="6" w:space="0" w:color="EFEFEF"/>
              <w:right w:val="nil"/>
            </w:tcBorders>
            <w:shd w:val="clear" w:color="auto" w:fill="EFEFEF"/>
            <w:tcMar>
              <w:top w:w="40" w:type="dxa"/>
              <w:left w:w="40" w:type="dxa"/>
              <w:bottom w:w="40" w:type="dxa"/>
              <w:right w:w="40" w:type="dxa"/>
            </w:tcMar>
            <w:vAlign w:val="center"/>
          </w:tcPr>
          <w:p w14:paraId="705A250F" w14:textId="77777777" w:rsidR="000D7DD9" w:rsidRDefault="000D7DD9">
            <w:pPr>
              <w:widowControl w:val="0"/>
              <w:spacing w:after="0" w:line="276" w:lineRule="auto"/>
              <w:rPr>
                <w:sz w:val="20"/>
                <w:szCs w:val="20"/>
              </w:rPr>
            </w:pPr>
          </w:p>
        </w:tc>
      </w:tr>
    </w:tbl>
    <w:p w14:paraId="705A2511" w14:textId="77777777" w:rsidR="000D7DD9" w:rsidRPr="00707CD0" w:rsidRDefault="000D7DD9" w:rsidP="00707CD0">
      <w:pPr>
        <w:rPr>
          <w:bCs/>
        </w:rPr>
      </w:pPr>
    </w:p>
    <w:sectPr w:rsidR="000D7DD9" w:rsidRPr="00707CD0">
      <w:headerReference w:type="default" r:id="rId10"/>
      <w:footerReference w:type="default" r:id="rId11"/>
      <w:headerReference w:type="first" r:id="rId12"/>
      <w:footerReference w:type="first" r:id="rId13"/>
      <w:pgSz w:w="11906" w:h="16838"/>
      <w:pgMar w:top="1700" w:right="1140" w:bottom="1133" w:left="1133"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F7EE" w14:textId="77777777" w:rsidR="000F7E35" w:rsidRDefault="000F7E35">
      <w:pPr>
        <w:spacing w:after="0" w:line="240" w:lineRule="auto"/>
      </w:pPr>
      <w:r>
        <w:separator/>
      </w:r>
    </w:p>
  </w:endnote>
  <w:endnote w:type="continuationSeparator" w:id="0">
    <w:p w14:paraId="0E27C897" w14:textId="77777777" w:rsidR="000F7E35" w:rsidRDefault="000F7E35">
      <w:pPr>
        <w:spacing w:after="0" w:line="240" w:lineRule="auto"/>
      </w:pPr>
      <w:r>
        <w:continuationSeparator/>
      </w:r>
    </w:p>
  </w:endnote>
  <w:endnote w:type="continuationNotice" w:id="1">
    <w:p w14:paraId="69C994DC" w14:textId="77777777" w:rsidR="000F7E35" w:rsidRDefault="000F7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518" w14:textId="77777777" w:rsidR="000D7DD9" w:rsidRDefault="000D7DD9">
    <w:pPr>
      <w:pBdr>
        <w:top w:val="nil"/>
        <w:left w:val="nil"/>
        <w:bottom w:val="nil"/>
        <w:right w:val="nil"/>
        <w:between w:val="nil"/>
      </w:pBdr>
      <w:tabs>
        <w:tab w:val="left" w:pos="561"/>
        <w:tab w:val="right" w:pos="8910"/>
      </w:tabs>
      <w:spacing w:after="0" w:line="360" w:lineRule="auto"/>
      <w:rPr>
        <w:b/>
        <w:sz w:val="18"/>
        <w:szCs w:val="18"/>
      </w:rPr>
    </w:pPr>
    <w:bookmarkStart w:id="11" w:name="_ccrucl1ve3f8" w:colFirst="0" w:colLast="0"/>
    <w:bookmarkEnd w:id="11"/>
  </w:p>
  <w:p w14:paraId="705A2519" w14:textId="77777777" w:rsidR="000D7DD9" w:rsidRDefault="00000000">
    <w:pPr>
      <w:pBdr>
        <w:top w:val="nil"/>
        <w:left w:val="nil"/>
        <w:bottom w:val="nil"/>
        <w:right w:val="nil"/>
        <w:between w:val="nil"/>
      </w:pBdr>
      <w:tabs>
        <w:tab w:val="left" w:pos="561"/>
        <w:tab w:val="right" w:pos="8910"/>
      </w:tabs>
      <w:spacing w:after="0" w:line="360" w:lineRule="auto"/>
      <w:rPr>
        <w:b/>
        <w:color w:val="000000"/>
        <w:sz w:val="18"/>
        <w:szCs w:val="18"/>
      </w:rPr>
    </w:pPr>
    <w:bookmarkStart w:id="12" w:name="_24y6ad5vwfv3" w:colFirst="0" w:colLast="0"/>
    <w:bookmarkEnd w:id="12"/>
    <w:r>
      <w:pict w14:anchorId="705A2522">
        <v:rect id="_x0000_i1027" style="width:0;height:1.5pt" o:hralign="center" o:hrstd="t" o:hr="t" fillcolor="#a0a0a0" stroked="f"/>
      </w:pict>
    </w:r>
  </w:p>
  <w:p w14:paraId="705A251A" w14:textId="4F7FCC3C" w:rsidR="000D7DD9" w:rsidRDefault="008C1AB2">
    <w:pPr>
      <w:pBdr>
        <w:top w:val="nil"/>
        <w:left w:val="nil"/>
        <w:bottom w:val="nil"/>
        <w:right w:val="nil"/>
        <w:between w:val="nil"/>
      </w:pBdr>
      <w:spacing w:after="0" w:line="360" w:lineRule="auto"/>
      <w:ind w:left="6"/>
      <w:rPr>
        <w:color w:val="000000"/>
        <w:sz w:val="18"/>
        <w:szCs w:val="18"/>
      </w:rPr>
    </w:pPr>
    <w:r>
      <w:rPr>
        <w:b/>
        <w:color w:val="000000"/>
        <w:sz w:val="18"/>
        <w:szCs w:val="18"/>
      </w:rPr>
      <w:t xml:space="preserve"> </w:t>
    </w:r>
    <w:proofErr w:type="spellStart"/>
    <w:r>
      <w:rPr>
        <w:b/>
        <w:color w:val="000000"/>
        <w:sz w:val="18"/>
        <w:szCs w:val="18"/>
      </w:rPr>
      <w:t>PhotoRobot</w:t>
    </w:r>
    <w:proofErr w:type="spellEnd"/>
    <w:r>
      <w:rPr>
        <w:b/>
        <w:color w:val="000000"/>
        <w:sz w:val="18"/>
        <w:szCs w:val="18"/>
      </w:rPr>
      <w:t xml:space="preserve"> </w:t>
    </w:r>
    <w:r>
      <w:rPr>
        <w:sz w:val="18"/>
        <w:szCs w:val="18"/>
      </w:rPr>
      <w:t xml:space="preserve">Hardwarová smlouva pro </w:t>
    </w:r>
    <w:r>
      <w:rPr>
        <w:b/>
        <w:color w:val="FF6000"/>
        <w:sz w:val="18"/>
        <w:szCs w:val="18"/>
      </w:rPr>
      <w:t>Muzeum města Prahy</w:t>
    </w:r>
    <w:r>
      <w:rPr>
        <w:b/>
        <w:color w:val="000000"/>
        <w:sz w:val="18"/>
        <w:szCs w:val="18"/>
      </w:rPr>
      <w:tab/>
    </w:r>
    <w:r>
      <w:rPr>
        <w:b/>
        <w:color w:val="000000"/>
        <w:sz w:val="18"/>
        <w:szCs w:val="18"/>
      </w:rPr>
      <w:tab/>
      <w:t xml:space="preserve">        </w:t>
    </w:r>
    <w:r>
      <w:rPr>
        <w:b/>
        <w:color w:val="000000"/>
        <w:sz w:val="18"/>
        <w:szCs w:val="18"/>
      </w:rPr>
      <w:tab/>
    </w:r>
    <w:r>
      <w:rPr>
        <w:b/>
        <w:color w:val="000000"/>
        <w:sz w:val="18"/>
        <w:szCs w:val="18"/>
      </w:rPr>
      <w:tab/>
    </w:r>
    <w:r>
      <w:rPr>
        <w:b/>
        <w:color w:val="000000"/>
        <w:sz w:val="18"/>
        <w:szCs w:val="18"/>
      </w:rPr>
      <w:tab/>
    </w:r>
    <w:r>
      <w:rPr>
        <w:b/>
        <w:color w:val="000000"/>
        <w:sz w:val="18"/>
        <w:szCs w:val="18"/>
      </w:rPr>
      <w:tab/>
      <w:t xml:space="preserve">         </w:t>
    </w:r>
    <w:r>
      <w:rPr>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A10CA0">
      <w:rPr>
        <w:noProof/>
        <w:color w:val="000000"/>
        <w:sz w:val="18"/>
        <w:szCs w:val="18"/>
      </w:rPr>
      <w:t>2</w:t>
    </w:r>
    <w:r>
      <w:rPr>
        <w:color w:val="000000"/>
        <w:sz w:val="18"/>
        <w:szCs w:val="18"/>
      </w:rPr>
      <w:fldChar w:fldCharType="end"/>
    </w:r>
    <w:r>
      <w:rPr>
        <w:color w:val="000000"/>
        <w:sz w:val="18"/>
        <w:szCs w:val="18"/>
      </w:rPr>
      <w:t>/</w:t>
    </w:r>
    <w:r>
      <w:rPr>
        <w:sz w:val="18"/>
        <w:szCs w:val="18"/>
      </w:rPr>
      <w:fldChar w:fldCharType="begin"/>
    </w:r>
    <w:r>
      <w:rPr>
        <w:sz w:val="18"/>
        <w:szCs w:val="18"/>
      </w:rPr>
      <w:instrText>NUMPAGES</w:instrText>
    </w:r>
    <w:r>
      <w:rPr>
        <w:sz w:val="18"/>
        <w:szCs w:val="18"/>
      </w:rPr>
      <w:fldChar w:fldCharType="separate"/>
    </w:r>
    <w:r w:rsidR="00A10CA0">
      <w:rPr>
        <w:noProof/>
        <w:sz w:val="18"/>
        <w:szCs w:val="18"/>
      </w:rPr>
      <w:t>3</w:t>
    </w:r>
    <w:r>
      <w:rPr>
        <w:sz w:val="18"/>
        <w:szCs w:val="18"/>
      </w:rPr>
      <w:fldChar w:fldCharType="end"/>
    </w:r>
  </w:p>
  <w:p w14:paraId="705A251B" w14:textId="77777777" w:rsidR="000D7DD9" w:rsidRDefault="000D7DD9">
    <w:pPr>
      <w:pBdr>
        <w:top w:val="nil"/>
        <w:left w:val="nil"/>
        <w:bottom w:val="nil"/>
        <w:right w:val="nil"/>
        <w:between w:val="nil"/>
      </w:pBdr>
      <w:spacing w:after="0" w:line="360" w:lineRule="auto"/>
      <w:ind w:left="200" w:right="200"/>
      <w:rPr>
        <w:b/>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51E" w14:textId="77777777" w:rsidR="000D7DD9" w:rsidRDefault="000D7DD9">
    <w:pPr>
      <w:pBdr>
        <w:top w:val="nil"/>
        <w:left w:val="nil"/>
        <w:bottom w:val="nil"/>
        <w:right w:val="nil"/>
        <w:between w:val="nil"/>
      </w:pBdr>
      <w:spacing w:after="0" w:line="360" w:lineRule="auto"/>
      <w:ind w:left="200" w:right="200"/>
      <w:rPr>
        <w:b/>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9B93" w14:textId="77777777" w:rsidR="000F7E35" w:rsidRDefault="000F7E35">
      <w:pPr>
        <w:spacing w:after="0" w:line="240" w:lineRule="auto"/>
      </w:pPr>
      <w:r>
        <w:separator/>
      </w:r>
    </w:p>
  </w:footnote>
  <w:footnote w:type="continuationSeparator" w:id="0">
    <w:p w14:paraId="61A45C7D" w14:textId="77777777" w:rsidR="000F7E35" w:rsidRDefault="000F7E35">
      <w:pPr>
        <w:spacing w:after="0" w:line="240" w:lineRule="auto"/>
      </w:pPr>
      <w:r>
        <w:continuationSeparator/>
      </w:r>
    </w:p>
  </w:footnote>
  <w:footnote w:type="continuationNotice" w:id="1">
    <w:p w14:paraId="4EA82343" w14:textId="77777777" w:rsidR="000F7E35" w:rsidRDefault="000F7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515" w14:textId="77777777" w:rsidR="000D7DD9" w:rsidRDefault="000D7DD9">
    <w:pPr>
      <w:pBdr>
        <w:top w:val="nil"/>
        <w:left w:val="nil"/>
        <w:bottom w:val="nil"/>
        <w:right w:val="nil"/>
        <w:between w:val="nil"/>
      </w:pBdr>
      <w:tabs>
        <w:tab w:val="left" w:pos="7948"/>
      </w:tabs>
      <w:spacing w:after="0" w:line="360" w:lineRule="auto"/>
      <w:ind w:right="200"/>
      <w:rPr>
        <w:b/>
        <w:color w:val="000000"/>
        <w:sz w:val="18"/>
        <w:szCs w:val="18"/>
        <w:vertAlign w:val="superscript"/>
      </w:rPr>
    </w:pPr>
  </w:p>
  <w:p w14:paraId="705A2516" w14:textId="77777777" w:rsidR="000D7DD9" w:rsidRDefault="008C1AB2">
    <w:pPr>
      <w:pBdr>
        <w:top w:val="nil"/>
        <w:left w:val="nil"/>
        <w:bottom w:val="nil"/>
        <w:right w:val="nil"/>
        <w:between w:val="nil"/>
      </w:pBdr>
      <w:tabs>
        <w:tab w:val="left" w:pos="7948"/>
      </w:tabs>
      <w:spacing w:after="0" w:line="360" w:lineRule="auto"/>
      <w:ind w:left="200"/>
      <w:jc w:val="right"/>
      <w:rPr>
        <w:b/>
        <w:color w:val="000000"/>
        <w:sz w:val="18"/>
        <w:szCs w:val="18"/>
        <w:vertAlign w:val="superscript"/>
      </w:rPr>
    </w:pPr>
    <w:r>
      <w:rPr>
        <w:b/>
        <w:noProof/>
        <w:sz w:val="18"/>
        <w:szCs w:val="18"/>
        <w:vertAlign w:val="superscript"/>
      </w:rPr>
      <w:drawing>
        <wp:inline distT="114300" distB="114300" distL="114300" distR="114300" wp14:anchorId="705A251F" wp14:editId="705A2520">
          <wp:extent cx="1134767" cy="471488"/>
          <wp:effectExtent l="0" t="0" r="0" b="0"/>
          <wp:docPr id="1" name="Obrázek 1" descr="PR_Logo_cerna_oranz_RGB.png"/>
          <wp:cNvGraphicFramePr/>
          <a:graphic xmlns:a="http://schemas.openxmlformats.org/drawingml/2006/main">
            <a:graphicData uri="http://schemas.openxmlformats.org/drawingml/2006/picture">
              <pic:pic xmlns:pic="http://schemas.openxmlformats.org/drawingml/2006/picture">
                <pic:nvPicPr>
                  <pic:cNvPr id="0" name="image1.png" descr="PR_Logo_cerna_oranz_RGB.png"/>
                  <pic:cNvPicPr preferRelativeResize="0"/>
                </pic:nvPicPr>
                <pic:blipFill>
                  <a:blip r:embed="rId1"/>
                  <a:srcRect/>
                  <a:stretch>
                    <a:fillRect/>
                  </a:stretch>
                </pic:blipFill>
                <pic:spPr>
                  <a:xfrm>
                    <a:off x="0" y="0"/>
                    <a:ext cx="1134767" cy="471488"/>
                  </a:xfrm>
                  <a:prstGeom prst="rect">
                    <a:avLst/>
                  </a:prstGeom>
                  <a:ln/>
                </pic:spPr>
              </pic:pic>
            </a:graphicData>
          </a:graphic>
        </wp:inline>
      </w:drawing>
    </w:r>
  </w:p>
  <w:p w14:paraId="705A2517" w14:textId="77777777" w:rsidR="000D7DD9" w:rsidRDefault="00000000">
    <w:pPr>
      <w:pBdr>
        <w:top w:val="nil"/>
        <w:left w:val="nil"/>
        <w:bottom w:val="nil"/>
        <w:right w:val="nil"/>
        <w:between w:val="nil"/>
      </w:pBdr>
      <w:tabs>
        <w:tab w:val="left" w:pos="7948"/>
      </w:tabs>
      <w:spacing w:after="0" w:line="360" w:lineRule="auto"/>
      <w:jc w:val="right"/>
      <w:rPr>
        <w:b/>
        <w:sz w:val="18"/>
        <w:szCs w:val="18"/>
        <w:vertAlign w:val="superscript"/>
      </w:rPr>
    </w:pPr>
    <w:r>
      <w:pict w14:anchorId="705A2521">
        <v:rect id="_x0000_i1026"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51C" w14:textId="77777777" w:rsidR="000D7DD9" w:rsidRDefault="000D7DD9">
    <w:pPr>
      <w:tabs>
        <w:tab w:val="left" w:pos="7948"/>
      </w:tabs>
      <w:ind w:right="200"/>
      <w:rPr>
        <w:b/>
        <w:sz w:val="18"/>
        <w:szCs w:val="18"/>
        <w:vertAlign w:val="superscript"/>
      </w:rPr>
    </w:pPr>
  </w:p>
  <w:p w14:paraId="705A251D" w14:textId="77777777" w:rsidR="000D7DD9" w:rsidRDefault="000D7DD9">
    <w:pPr>
      <w:widowControl w:val="0"/>
      <w:pBdr>
        <w:top w:val="nil"/>
        <w:left w:val="nil"/>
        <w:bottom w:val="nil"/>
        <w:right w:val="nil"/>
        <w:between w:val="nil"/>
      </w:pBdr>
      <w:spacing w:after="0" w:line="240" w:lineRule="auto"/>
      <w:rPr>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8C3"/>
    <w:multiLevelType w:val="multilevel"/>
    <w:tmpl w:val="7F94F84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B2D7362"/>
    <w:multiLevelType w:val="hybridMultilevel"/>
    <w:tmpl w:val="5A001982"/>
    <w:lvl w:ilvl="0" w:tplc="552CCE98">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2A7F65"/>
    <w:multiLevelType w:val="multilevel"/>
    <w:tmpl w:val="1E9EF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441D23"/>
    <w:multiLevelType w:val="hybridMultilevel"/>
    <w:tmpl w:val="105AB4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AC1492"/>
    <w:multiLevelType w:val="multilevel"/>
    <w:tmpl w:val="C958B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59254401">
    <w:abstractNumId w:val="2"/>
  </w:num>
  <w:num w:numId="2" w16cid:durableId="2054497416">
    <w:abstractNumId w:val="0"/>
  </w:num>
  <w:num w:numId="3" w16cid:durableId="317930235">
    <w:abstractNumId w:val="4"/>
  </w:num>
  <w:num w:numId="4" w16cid:durableId="462162165">
    <w:abstractNumId w:val="3"/>
  </w:num>
  <w:num w:numId="5" w16cid:durableId="462890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D9"/>
    <w:rsid w:val="000A7433"/>
    <w:rsid w:val="000D27DE"/>
    <w:rsid w:val="000D7DD9"/>
    <w:rsid w:val="000F7E35"/>
    <w:rsid w:val="00124014"/>
    <w:rsid w:val="001547AC"/>
    <w:rsid w:val="00167088"/>
    <w:rsid w:val="002476A8"/>
    <w:rsid w:val="00317809"/>
    <w:rsid w:val="00337720"/>
    <w:rsid w:val="00392C5C"/>
    <w:rsid w:val="003B59A2"/>
    <w:rsid w:val="003E1874"/>
    <w:rsid w:val="003E2134"/>
    <w:rsid w:val="00411F61"/>
    <w:rsid w:val="004269D2"/>
    <w:rsid w:val="004576DB"/>
    <w:rsid w:val="004A1D7E"/>
    <w:rsid w:val="005813C5"/>
    <w:rsid w:val="005B44CF"/>
    <w:rsid w:val="005C155D"/>
    <w:rsid w:val="00615B4A"/>
    <w:rsid w:val="00622290"/>
    <w:rsid w:val="0067637B"/>
    <w:rsid w:val="00707CD0"/>
    <w:rsid w:val="00722D9E"/>
    <w:rsid w:val="00723479"/>
    <w:rsid w:val="00770DD9"/>
    <w:rsid w:val="007B45A9"/>
    <w:rsid w:val="007E3C7B"/>
    <w:rsid w:val="0081712E"/>
    <w:rsid w:val="008A097E"/>
    <w:rsid w:val="008C1AB2"/>
    <w:rsid w:val="0091445F"/>
    <w:rsid w:val="00930448"/>
    <w:rsid w:val="00A10CA0"/>
    <w:rsid w:val="00A31A64"/>
    <w:rsid w:val="00A813FA"/>
    <w:rsid w:val="00B10036"/>
    <w:rsid w:val="00B249B0"/>
    <w:rsid w:val="00B345C8"/>
    <w:rsid w:val="00B60F9B"/>
    <w:rsid w:val="00C15811"/>
    <w:rsid w:val="00CE49B1"/>
    <w:rsid w:val="00F21C52"/>
    <w:rsid w:val="00F35991"/>
    <w:rsid w:val="00FB7FAF"/>
    <w:rsid w:val="00FD5381"/>
    <w:rsid w:val="00FE4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242D"/>
  <w15:docId w15:val="{7E607DDB-0F5D-474D-909C-096555D2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highlight w:val="white"/>
        <w:lang w:val="cs" w:eastAsia="cs-CZ" w:bidi="ar-SA"/>
      </w:rPr>
    </w:rPrDefault>
    <w:pPrDefault>
      <w:pPr>
        <w:spacing w:after="120" w:line="3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720" w:line="240" w:lineRule="auto"/>
      <w:outlineLvl w:val="0"/>
    </w:pPr>
    <w:rPr>
      <w:b/>
      <w:sz w:val="72"/>
      <w:szCs w:val="72"/>
    </w:rPr>
  </w:style>
  <w:style w:type="paragraph" w:styleId="Nadpis2">
    <w:name w:val="heading 2"/>
    <w:basedOn w:val="Normln"/>
    <w:next w:val="Normln"/>
    <w:uiPriority w:val="9"/>
    <w:unhideWhenUsed/>
    <w:qFormat/>
    <w:pPr>
      <w:keepNext/>
      <w:keepLines/>
      <w:spacing w:after="480" w:line="276" w:lineRule="auto"/>
      <w:ind w:left="720" w:hanging="360"/>
      <w:outlineLvl w:val="1"/>
    </w:pPr>
    <w:rPr>
      <w:b/>
      <w:sz w:val="28"/>
      <w:szCs w:val="28"/>
    </w:rPr>
  </w:style>
  <w:style w:type="paragraph" w:styleId="Nadpis3">
    <w:name w:val="heading 3"/>
    <w:basedOn w:val="Normln"/>
    <w:next w:val="Normln"/>
    <w:uiPriority w:val="9"/>
    <w:unhideWhenUsed/>
    <w:qFormat/>
    <w:pPr>
      <w:keepNext/>
      <w:keepLines/>
      <w:spacing w:before="480" w:after="160" w:line="276" w:lineRule="auto"/>
      <w:outlineLvl w:val="2"/>
    </w:pPr>
    <w:rPr>
      <w:b/>
      <w:sz w:val="28"/>
      <w:szCs w:val="28"/>
    </w:rPr>
  </w:style>
  <w:style w:type="paragraph" w:styleId="Nadpis4">
    <w:name w:val="heading 4"/>
    <w:basedOn w:val="Normln"/>
    <w:next w:val="Normln"/>
    <w:uiPriority w:val="9"/>
    <w:semiHidden/>
    <w:unhideWhenUsed/>
    <w:qFormat/>
    <w:pPr>
      <w:keepNext/>
      <w:keepLines/>
      <w:spacing w:after="0" w:line="276" w:lineRule="auto"/>
      <w:outlineLvl w:val="3"/>
    </w:pPr>
    <w:rPr>
      <w:rFonts w:ascii="Georgia" w:eastAsia="Georgia" w:hAnsi="Georgia" w:cs="Georgia"/>
      <w:i/>
    </w:rPr>
  </w:style>
  <w:style w:type="paragraph" w:styleId="Nadpis5">
    <w:name w:val="heading 5"/>
    <w:basedOn w:val="Normln"/>
    <w:next w:val="Normln"/>
    <w:uiPriority w:val="9"/>
    <w:semiHidden/>
    <w:unhideWhenUsed/>
    <w:qFormat/>
    <w:pPr>
      <w:keepNext/>
      <w:keepLines/>
      <w:spacing w:after="200" w:line="240" w:lineRule="auto"/>
      <w:ind w:left="6" w:firstLine="135"/>
      <w:outlineLvl w:val="4"/>
    </w:pPr>
    <w:rPr>
      <w:b/>
      <w:sz w:val="28"/>
      <w:szCs w:val="28"/>
    </w:rPr>
  </w:style>
  <w:style w:type="paragraph" w:styleId="Nadpis6">
    <w:name w:val="heading 6"/>
    <w:basedOn w:val="Normln"/>
    <w:next w:val="Normln"/>
    <w:uiPriority w:val="9"/>
    <w:semiHidden/>
    <w:unhideWhenUsed/>
    <w:qFormat/>
    <w:pPr>
      <w:keepNext/>
      <w:keepLines/>
      <w:spacing w:before="120" w:after="0"/>
      <w:outlineLvl w:val="5"/>
    </w:pPr>
    <w:rPr>
      <w:rFonts w:ascii="Georgia" w:eastAsia="Georgia" w:hAnsi="Georgia" w:cs="Georgia"/>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2400" w:after="0" w:line="240" w:lineRule="auto"/>
      <w:ind w:left="6"/>
    </w:pPr>
    <w:rPr>
      <w:b/>
      <w:sz w:val="96"/>
      <w:szCs w:val="96"/>
    </w:rPr>
  </w:style>
  <w:style w:type="paragraph" w:styleId="Podnadpis">
    <w:name w:val="Subtitle"/>
    <w:basedOn w:val="Normln"/>
    <w:next w:val="Normln"/>
    <w:uiPriority w:val="11"/>
    <w:qFormat/>
    <w:pPr>
      <w:keepNext/>
      <w:keepLines/>
      <w:spacing w:before="200" w:after="200" w:line="324" w:lineRule="auto"/>
    </w:pPr>
    <w:rPr>
      <w:b/>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Revize">
    <w:name w:val="Revision"/>
    <w:hidden/>
    <w:uiPriority w:val="99"/>
    <w:semiHidden/>
    <w:rsid w:val="003E1874"/>
    <w:pPr>
      <w:spacing w:after="0" w:line="240" w:lineRule="auto"/>
    </w:pPr>
  </w:style>
  <w:style w:type="paragraph" w:styleId="Odstavecseseznamem">
    <w:name w:val="List Paragraph"/>
    <w:basedOn w:val="Normln"/>
    <w:uiPriority w:val="34"/>
    <w:qFormat/>
    <w:rsid w:val="00337720"/>
    <w:pPr>
      <w:ind w:left="720"/>
      <w:contextualSpacing/>
    </w:pPr>
  </w:style>
  <w:style w:type="paragraph" w:styleId="Zhlav">
    <w:name w:val="header"/>
    <w:basedOn w:val="Normln"/>
    <w:link w:val="ZhlavChar"/>
    <w:uiPriority w:val="99"/>
    <w:unhideWhenUsed/>
    <w:rsid w:val="00CE49B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49B1"/>
  </w:style>
  <w:style w:type="paragraph" w:styleId="Zpat">
    <w:name w:val="footer"/>
    <w:basedOn w:val="Normln"/>
    <w:link w:val="ZpatChar"/>
    <w:uiPriority w:val="99"/>
    <w:unhideWhenUsed/>
    <w:rsid w:val="00CE49B1"/>
    <w:pPr>
      <w:tabs>
        <w:tab w:val="center" w:pos="4536"/>
        <w:tab w:val="right" w:pos="9072"/>
      </w:tabs>
      <w:spacing w:after="0" w:line="240" w:lineRule="auto"/>
    </w:pPr>
  </w:style>
  <w:style w:type="character" w:customStyle="1" w:styleId="ZpatChar">
    <w:name w:val="Zápatí Char"/>
    <w:basedOn w:val="Standardnpsmoodstavce"/>
    <w:link w:val="Zpat"/>
    <w:uiPriority w:val="99"/>
    <w:rsid w:val="00CE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7" ma:contentTypeDescription="Vytvoří nový dokument" ma:contentTypeScope="" ma:versionID="470859ef8a566f2fe1115840c3320316">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c4139fac891a8b4fb877903ab523e776"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A6DA1-30E2-4442-9DD4-5E9B3F193549}">
  <ds:schemaRefs>
    <ds:schemaRef ds:uri="http://schemas.microsoft.com/sharepoint/v3/contenttype/forms"/>
  </ds:schemaRefs>
</ds:datastoreItem>
</file>

<file path=customXml/itemProps2.xml><?xml version="1.0" encoding="utf-8"?>
<ds:datastoreItem xmlns:ds="http://schemas.openxmlformats.org/officeDocument/2006/customXml" ds:itemID="{EAF23C8E-2C37-4D4E-8DF0-65D9C811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1974</Words>
  <Characters>11651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Vychodilová Gabriela</cp:lastModifiedBy>
  <cp:revision>47</cp:revision>
  <dcterms:created xsi:type="dcterms:W3CDTF">2023-11-06T07:30:00Z</dcterms:created>
  <dcterms:modified xsi:type="dcterms:W3CDTF">2023-11-28T11:54:00Z</dcterms:modified>
</cp:coreProperties>
</file>