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586D8473" w:rsidR="006549D0" w:rsidRPr="00225046" w:rsidRDefault="008D53C9"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TRIGON PLUS s.r.o.</w:t>
      </w:r>
      <w:r>
        <w:rPr>
          <w:rFonts w:eastAsia="Times New Roman" w:cs="Arial"/>
          <w:b/>
          <w:color w:val="000000"/>
          <w:spacing w:val="-3"/>
          <w:sz w:val="24"/>
          <w:szCs w:val="24"/>
          <w:lang w:val="cs-CZ" w:eastAsia="cs-CZ"/>
        </w:rPr>
        <w:tab/>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3E9E0B42"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8D53C9">
        <w:rPr>
          <w:rFonts w:asciiTheme="minorHAnsi" w:eastAsia="Times New Roman" w:hAnsiTheme="minorHAnsi" w:cs="Arial"/>
          <w:b/>
          <w:sz w:val="22"/>
          <w:szCs w:val="22"/>
          <w:lang w:val="cs-CZ" w:eastAsia="cs-CZ"/>
        </w:rPr>
        <w:t>TRIGON PLUS s.r.o.</w:t>
      </w:r>
      <w:r w:rsidR="008D53C9">
        <w:rPr>
          <w:rFonts w:asciiTheme="minorHAnsi" w:eastAsia="Times New Roman" w:hAnsiTheme="minorHAnsi" w:cs="Arial"/>
          <w:b/>
          <w:sz w:val="22"/>
          <w:szCs w:val="22"/>
          <w:lang w:val="cs-CZ" w:eastAsia="cs-CZ"/>
        </w:rPr>
        <w:tab/>
      </w:r>
      <w:r w:rsidR="008D53C9">
        <w:rPr>
          <w:rFonts w:asciiTheme="minorHAnsi" w:eastAsia="Times New Roman" w:hAnsiTheme="minorHAnsi" w:cs="Arial"/>
          <w:b/>
          <w:sz w:val="22"/>
          <w:szCs w:val="22"/>
          <w:lang w:val="cs-CZ" w:eastAsia="cs-CZ"/>
        </w:rPr>
        <w:tab/>
      </w:r>
    </w:p>
    <w:p w14:paraId="7CC01BFD" w14:textId="6B2F208B" w:rsidR="006549D0" w:rsidRPr="008D53C9" w:rsidRDefault="00A530F2"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8D53C9" w:rsidRPr="008D53C9">
        <w:rPr>
          <w:rFonts w:asciiTheme="minorHAnsi" w:eastAsia="Times New Roman" w:hAnsiTheme="minorHAnsi" w:cs="Arial"/>
          <w:bCs/>
          <w:sz w:val="22"/>
          <w:szCs w:val="22"/>
          <w:lang w:val="cs-CZ" w:eastAsia="cs-CZ"/>
        </w:rPr>
        <w:t>46350110</w:t>
      </w:r>
    </w:p>
    <w:p w14:paraId="70FEB0CB" w14:textId="0BBA4F80" w:rsidR="006549D0" w:rsidRPr="008D53C9" w:rsidRDefault="00A530F2" w:rsidP="009F59AE">
      <w:pPr>
        <w:widowControl w:val="0"/>
        <w:ind w:left="0"/>
        <w:rPr>
          <w:rFonts w:asciiTheme="minorHAnsi" w:eastAsia="Times New Roman" w:hAnsiTheme="minorHAnsi" w:cs="Arial"/>
          <w:bCs/>
          <w:sz w:val="22"/>
          <w:szCs w:val="22"/>
          <w:lang w:val="cs-CZ" w:eastAsia="cs-CZ"/>
        </w:rPr>
      </w:pPr>
      <w:proofErr w:type="gramStart"/>
      <w:r w:rsidRPr="008D53C9">
        <w:rPr>
          <w:rFonts w:asciiTheme="minorHAnsi" w:eastAsia="Times New Roman" w:hAnsiTheme="minorHAnsi" w:cs="Arial"/>
          <w:bCs/>
          <w:sz w:val="22"/>
          <w:szCs w:val="22"/>
          <w:lang w:val="cs-CZ" w:eastAsia="cs-CZ"/>
        </w:rPr>
        <w:t>DIČ</w:t>
      </w:r>
      <w:r w:rsidR="006549D0" w:rsidRPr="008D53C9">
        <w:rPr>
          <w:rFonts w:asciiTheme="minorHAnsi" w:eastAsia="Times New Roman" w:hAnsiTheme="minorHAnsi" w:cs="Arial"/>
          <w:bCs/>
          <w:sz w:val="22"/>
          <w:szCs w:val="22"/>
          <w:lang w:val="cs-CZ" w:eastAsia="cs-CZ"/>
        </w:rPr>
        <w:t>:</w:t>
      </w:r>
      <w:r w:rsidR="001A1E36" w:rsidRPr="008D53C9">
        <w:rPr>
          <w:rFonts w:asciiTheme="minorHAnsi" w:eastAsia="Times New Roman" w:hAnsiTheme="minorHAnsi" w:cs="Arial"/>
          <w:bCs/>
          <w:sz w:val="22"/>
          <w:szCs w:val="22"/>
          <w:lang w:val="cs-CZ" w:eastAsia="cs-CZ"/>
        </w:rPr>
        <w:t xml:space="preserve">   </w:t>
      </w:r>
      <w:proofErr w:type="gramEnd"/>
      <w:r w:rsidR="001A1E36" w:rsidRPr="008D53C9">
        <w:rPr>
          <w:rFonts w:asciiTheme="minorHAnsi" w:eastAsia="Times New Roman" w:hAnsiTheme="minorHAnsi" w:cs="Arial"/>
          <w:bCs/>
          <w:sz w:val="22"/>
          <w:szCs w:val="22"/>
          <w:lang w:val="cs-CZ" w:eastAsia="cs-CZ"/>
        </w:rPr>
        <w:t xml:space="preserve">                    </w:t>
      </w:r>
      <w:r w:rsidR="006549D0" w:rsidRPr="008D53C9">
        <w:rPr>
          <w:rFonts w:asciiTheme="minorHAnsi" w:eastAsia="Times New Roman" w:hAnsiTheme="minorHAnsi" w:cs="Arial"/>
          <w:bCs/>
          <w:sz w:val="22"/>
          <w:szCs w:val="22"/>
          <w:lang w:val="cs-CZ" w:eastAsia="cs-CZ"/>
        </w:rPr>
        <w:tab/>
      </w:r>
      <w:r w:rsidR="006549D0" w:rsidRPr="008D53C9">
        <w:rPr>
          <w:rFonts w:asciiTheme="minorHAnsi" w:eastAsia="Times New Roman" w:hAnsiTheme="minorHAnsi" w:cs="Arial"/>
          <w:bCs/>
          <w:sz w:val="22"/>
          <w:szCs w:val="22"/>
          <w:lang w:val="cs-CZ" w:eastAsia="cs-CZ"/>
        </w:rPr>
        <w:tab/>
      </w:r>
      <w:r w:rsidR="008D53C9" w:rsidRPr="008D53C9">
        <w:rPr>
          <w:rFonts w:asciiTheme="minorHAnsi" w:eastAsia="Times New Roman" w:hAnsiTheme="minorHAnsi" w:cs="Arial"/>
          <w:bCs/>
          <w:sz w:val="22"/>
          <w:szCs w:val="22"/>
          <w:lang w:val="cs-CZ" w:eastAsia="cs-CZ"/>
        </w:rPr>
        <w:t>CZ46350110</w:t>
      </w:r>
    </w:p>
    <w:p w14:paraId="75D14D8F" w14:textId="1B355A53" w:rsidR="006549D0" w:rsidRPr="008D53C9" w:rsidRDefault="00A530F2" w:rsidP="009F59AE">
      <w:pPr>
        <w:widowControl w:val="0"/>
        <w:ind w:left="0"/>
        <w:rPr>
          <w:rFonts w:asciiTheme="minorHAnsi" w:eastAsia="Times New Roman" w:hAnsiTheme="minorHAnsi" w:cs="Arial"/>
          <w:bCs/>
          <w:sz w:val="22"/>
          <w:szCs w:val="22"/>
          <w:lang w:val="cs-CZ" w:eastAsia="cs-CZ"/>
        </w:rPr>
      </w:pPr>
      <w:r w:rsidRPr="008D53C9">
        <w:rPr>
          <w:rFonts w:asciiTheme="minorHAnsi" w:eastAsia="Times New Roman" w:hAnsiTheme="minorHAnsi" w:cs="Arial"/>
          <w:bCs/>
          <w:sz w:val="22"/>
          <w:szCs w:val="22"/>
          <w:lang w:val="cs-CZ" w:eastAsia="cs-CZ"/>
        </w:rPr>
        <w:t>Sídlo/místo podnikání:</w:t>
      </w:r>
      <w:r w:rsidRPr="008D53C9">
        <w:rPr>
          <w:rFonts w:asciiTheme="minorHAnsi" w:eastAsia="Times New Roman" w:hAnsiTheme="minorHAnsi" w:cs="Arial"/>
          <w:bCs/>
          <w:sz w:val="22"/>
          <w:szCs w:val="22"/>
          <w:lang w:val="cs-CZ" w:eastAsia="cs-CZ"/>
        </w:rPr>
        <w:tab/>
      </w:r>
      <w:r w:rsidRPr="008D53C9">
        <w:rPr>
          <w:rFonts w:asciiTheme="minorHAnsi" w:eastAsia="Times New Roman" w:hAnsiTheme="minorHAnsi" w:cs="Arial"/>
          <w:bCs/>
          <w:sz w:val="22"/>
          <w:szCs w:val="22"/>
          <w:lang w:val="cs-CZ" w:eastAsia="cs-CZ"/>
        </w:rPr>
        <w:tab/>
      </w:r>
      <w:r w:rsidR="008D53C9" w:rsidRPr="008D53C9">
        <w:rPr>
          <w:rFonts w:asciiTheme="minorHAnsi" w:eastAsia="Times New Roman" w:hAnsiTheme="minorHAnsi" w:cs="Arial"/>
          <w:bCs/>
          <w:sz w:val="22"/>
          <w:szCs w:val="22"/>
          <w:lang w:val="cs-CZ" w:eastAsia="cs-CZ"/>
        </w:rPr>
        <w:t>Západní 93, 251 01 Čestlice</w:t>
      </w:r>
    </w:p>
    <w:p w14:paraId="799963DA" w14:textId="66890150" w:rsidR="006549D0" w:rsidRPr="008D53C9" w:rsidRDefault="006549D0" w:rsidP="009F59AE">
      <w:pPr>
        <w:widowControl w:val="0"/>
        <w:ind w:left="0"/>
        <w:rPr>
          <w:rFonts w:asciiTheme="minorHAnsi" w:eastAsia="Times New Roman" w:hAnsiTheme="minorHAnsi" w:cs="Arial"/>
          <w:bCs/>
          <w:sz w:val="22"/>
          <w:szCs w:val="22"/>
          <w:lang w:val="cs-CZ" w:eastAsia="cs-CZ"/>
        </w:rPr>
      </w:pPr>
      <w:r w:rsidRPr="008D53C9">
        <w:rPr>
          <w:rFonts w:asciiTheme="minorHAnsi" w:eastAsia="Times New Roman" w:hAnsiTheme="minorHAnsi" w:cs="Arial"/>
          <w:bCs/>
          <w:sz w:val="22"/>
          <w:szCs w:val="22"/>
          <w:lang w:val="cs-CZ" w:eastAsia="cs-CZ"/>
        </w:rPr>
        <w:t>Zastoupený/á:</w:t>
      </w:r>
      <w:r w:rsidRPr="008D53C9">
        <w:rPr>
          <w:rFonts w:asciiTheme="minorHAnsi" w:eastAsia="Times New Roman" w:hAnsiTheme="minorHAnsi" w:cs="Arial"/>
          <w:bCs/>
          <w:sz w:val="22"/>
          <w:szCs w:val="22"/>
          <w:lang w:val="cs-CZ" w:eastAsia="cs-CZ"/>
        </w:rPr>
        <w:tab/>
      </w:r>
      <w:r w:rsidRPr="008D53C9">
        <w:rPr>
          <w:rFonts w:asciiTheme="minorHAnsi" w:eastAsia="Times New Roman" w:hAnsiTheme="minorHAnsi" w:cs="Arial"/>
          <w:bCs/>
          <w:sz w:val="22"/>
          <w:szCs w:val="22"/>
          <w:lang w:val="cs-CZ" w:eastAsia="cs-CZ"/>
        </w:rPr>
        <w:tab/>
      </w:r>
      <w:r w:rsidRPr="008D53C9">
        <w:rPr>
          <w:rFonts w:asciiTheme="minorHAnsi" w:eastAsia="Times New Roman" w:hAnsiTheme="minorHAnsi" w:cs="Arial"/>
          <w:bCs/>
          <w:sz w:val="22"/>
          <w:szCs w:val="22"/>
          <w:lang w:val="cs-CZ" w:eastAsia="cs-CZ"/>
        </w:rPr>
        <w:tab/>
      </w:r>
      <w:proofErr w:type="spellStart"/>
      <w:r w:rsidR="001D6B65" w:rsidRPr="001D6B65">
        <w:rPr>
          <w:rFonts w:asciiTheme="minorHAnsi" w:eastAsia="Times New Roman" w:hAnsiTheme="minorHAnsi" w:cs="Arial"/>
          <w:bCs/>
          <w:sz w:val="22"/>
          <w:szCs w:val="22"/>
          <w:highlight w:val="yellow"/>
          <w:lang w:val="cs-CZ" w:eastAsia="cs-CZ"/>
        </w:rPr>
        <w:t>xxx</w:t>
      </w:r>
      <w:proofErr w:type="spellEnd"/>
      <w:r w:rsidR="008D53C9" w:rsidRPr="008D53C9">
        <w:rPr>
          <w:rFonts w:asciiTheme="minorHAnsi" w:eastAsia="Times New Roman" w:hAnsiTheme="minorHAnsi" w:cs="Arial"/>
          <w:bCs/>
          <w:sz w:val="22"/>
          <w:szCs w:val="22"/>
          <w:lang w:val="cs-CZ" w:eastAsia="cs-CZ"/>
        </w:rPr>
        <w:t>, jednatel</w:t>
      </w:r>
    </w:p>
    <w:p w14:paraId="2C0EB4BF" w14:textId="59F828A6" w:rsidR="003F463D" w:rsidRPr="008D53C9" w:rsidRDefault="003F463D" w:rsidP="009F59AE">
      <w:pPr>
        <w:widowControl w:val="0"/>
        <w:ind w:left="0"/>
        <w:rPr>
          <w:rFonts w:asciiTheme="minorHAnsi" w:eastAsia="Times New Roman" w:hAnsiTheme="minorHAnsi" w:cs="Arial"/>
          <w:bCs/>
          <w:sz w:val="22"/>
          <w:szCs w:val="22"/>
          <w:lang w:val="cs-CZ" w:eastAsia="cs-CZ"/>
        </w:rPr>
      </w:pPr>
      <w:r w:rsidRPr="008D53C9">
        <w:rPr>
          <w:rFonts w:asciiTheme="minorHAnsi" w:eastAsia="Times New Roman" w:hAnsiTheme="minorHAnsi" w:cs="Arial"/>
          <w:bCs/>
          <w:sz w:val="22"/>
          <w:szCs w:val="22"/>
          <w:lang w:val="cs-CZ" w:eastAsia="cs-CZ"/>
        </w:rPr>
        <w:t xml:space="preserve">ID datové </w:t>
      </w:r>
      <w:proofErr w:type="gramStart"/>
      <w:r w:rsidRPr="008D53C9">
        <w:rPr>
          <w:rFonts w:asciiTheme="minorHAnsi" w:eastAsia="Times New Roman" w:hAnsiTheme="minorHAnsi" w:cs="Arial"/>
          <w:bCs/>
          <w:sz w:val="22"/>
          <w:szCs w:val="22"/>
          <w:lang w:val="cs-CZ" w:eastAsia="cs-CZ"/>
        </w:rPr>
        <w:t xml:space="preserve">schránky:   </w:t>
      </w:r>
      <w:proofErr w:type="gramEnd"/>
      <w:r w:rsidRPr="008D53C9">
        <w:rPr>
          <w:rFonts w:asciiTheme="minorHAnsi" w:eastAsia="Times New Roman" w:hAnsiTheme="minorHAnsi" w:cs="Arial"/>
          <w:bCs/>
          <w:sz w:val="22"/>
          <w:szCs w:val="22"/>
          <w:lang w:val="cs-CZ" w:eastAsia="cs-CZ"/>
        </w:rPr>
        <w:t xml:space="preserve">                  </w:t>
      </w:r>
      <w:r w:rsidRPr="008D53C9">
        <w:rPr>
          <w:rFonts w:asciiTheme="minorHAnsi" w:eastAsia="Times New Roman" w:hAnsiTheme="minorHAnsi" w:cs="Arial"/>
          <w:bCs/>
          <w:sz w:val="22"/>
          <w:szCs w:val="22"/>
          <w:highlight w:val="lightGray"/>
          <w:lang w:val="cs-CZ" w:eastAsia="cs-CZ"/>
        </w:rPr>
        <w:t xml:space="preserve"> </w:t>
      </w:r>
      <w:r w:rsidR="008D53C9" w:rsidRPr="008D53C9">
        <w:rPr>
          <w:rFonts w:asciiTheme="minorHAnsi" w:eastAsia="Times New Roman" w:hAnsiTheme="minorHAnsi" w:cs="Arial"/>
          <w:bCs/>
          <w:sz w:val="22"/>
          <w:szCs w:val="22"/>
          <w:lang w:val="cs-CZ" w:eastAsia="cs-CZ"/>
        </w:rPr>
        <w:t>q8j8bz9</w:t>
      </w:r>
    </w:p>
    <w:p w14:paraId="0C989A9C" w14:textId="7CB28097" w:rsidR="006549D0" w:rsidRPr="008D53C9" w:rsidRDefault="006549D0" w:rsidP="009F59AE">
      <w:pPr>
        <w:widowControl w:val="0"/>
        <w:ind w:left="0"/>
        <w:rPr>
          <w:rFonts w:asciiTheme="minorHAnsi" w:eastAsia="Times New Roman" w:hAnsiTheme="minorHAnsi" w:cs="Arial"/>
          <w:bCs/>
          <w:sz w:val="22"/>
          <w:szCs w:val="22"/>
          <w:lang w:val="cs-CZ" w:eastAsia="cs-CZ"/>
        </w:rPr>
      </w:pPr>
      <w:r w:rsidRPr="008D53C9">
        <w:rPr>
          <w:rFonts w:asciiTheme="minorHAnsi" w:eastAsia="Times New Roman" w:hAnsiTheme="minorHAnsi" w:cs="Arial"/>
          <w:bCs/>
          <w:sz w:val="22"/>
          <w:szCs w:val="22"/>
          <w:lang w:val="cs-CZ" w:eastAsia="cs-CZ"/>
        </w:rPr>
        <w:t>Bankovní spojení:</w:t>
      </w:r>
      <w:r w:rsidRPr="008D53C9">
        <w:rPr>
          <w:rFonts w:asciiTheme="minorHAnsi" w:eastAsia="Times New Roman" w:hAnsiTheme="minorHAnsi" w:cs="Arial"/>
          <w:bCs/>
          <w:sz w:val="22"/>
          <w:szCs w:val="22"/>
          <w:lang w:val="cs-CZ" w:eastAsia="cs-CZ"/>
        </w:rPr>
        <w:tab/>
      </w:r>
      <w:r w:rsidRPr="008D53C9">
        <w:rPr>
          <w:rFonts w:asciiTheme="minorHAnsi" w:eastAsia="Times New Roman" w:hAnsiTheme="minorHAnsi" w:cs="Arial"/>
          <w:bCs/>
          <w:sz w:val="22"/>
          <w:szCs w:val="22"/>
          <w:lang w:val="cs-CZ" w:eastAsia="cs-CZ"/>
        </w:rPr>
        <w:tab/>
      </w:r>
      <w:r w:rsidR="008D53C9" w:rsidRPr="008D53C9">
        <w:rPr>
          <w:rFonts w:asciiTheme="minorHAnsi" w:eastAsia="Times New Roman" w:hAnsiTheme="minorHAnsi" w:cs="Arial"/>
          <w:bCs/>
          <w:sz w:val="22"/>
          <w:szCs w:val="22"/>
          <w:lang w:val="cs-CZ" w:eastAsia="cs-CZ"/>
        </w:rPr>
        <w:t>ČSOB, a.s.</w:t>
      </w:r>
    </w:p>
    <w:p w14:paraId="55700240" w14:textId="313AF805" w:rsidR="006549D0" w:rsidRPr="008D53C9" w:rsidRDefault="006549D0" w:rsidP="009F59AE">
      <w:pPr>
        <w:widowControl w:val="0"/>
        <w:ind w:left="0"/>
        <w:rPr>
          <w:rFonts w:asciiTheme="minorHAnsi" w:eastAsia="Times New Roman" w:hAnsiTheme="minorHAnsi" w:cs="Arial"/>
          <w:bCs/>
          <w:sz w:val="22"/>
          <w:szCs w:val="22"/>
          <w:lang w:val="cs-CZ" w:eastAsia="cs-CZ"/>
        </w:rPr>
      </w:pPr>
      <w:r w:rsidRPr="008D53C9">
        <w:rPr>
          <w:rFonts w:asciiTheme="minorHAnsi" w:eastAsia="Times New Roman" w:hAnsiTheme="minorHAnsi" w:cs="Arial"/>
          <w:bCs/>
          <w:sz w:val="22"/>
          <w:szCs w:val="22"/>
          <w:lang w:val="cs-CZ" w:eastAsia="cs-CZ"/>
        </w:rPr>
        <w:t>číslo účtu:</w:t>
      </w:r>
      <w:r w:rsidRPr="008D53C9">
        <w:rPr>
          <w:rFonts w:asciiTheme="minorHAnsi" w:eastAsia="Times New Roman" w:hAnsiTheme="minorHAnsi" w:cs="Arial"/>
          <w:bCs/>
          <w:sz w:val="22"/>
          <w:szCs w:val="22"/>
          <w:lang w:val="cs-CZ" w:eastAsia="cs-CZ"/>
        </w:rPr>
        <w:tab/>
      </w:r>
      <w:r w:rsidRPr="008D53C9">
        <w:rPr>
          <w:rFonts w:asciiTheme="minorHAnsi" w:eastAsia="Times New Roman" w:hAnsiTheme="minorHAnsi" w:cs="Arial"/>
          <w:bCs/>
          <w:sz w:val="22"/>
          <w:szCs w:val="22"/>
          <w:lang w:val="cs-CZ" w:eastAsia="cs-CZ"/>
        </w:rPr>
        <w:tab/>
      </w:r>
      <w:r w:rsidRPr="008D53C9">
        <w:rPr>
          <w:rFonts w:asciiTheme="minorHAnsi" w:eastAsia="Times New Roman" w:hAnsiTheme="minorHAnsi" w:cs="Arial"/>
          <w:bCs/>
          <w:sz w:val="22"/>
          <w:szCs w:val="22"/>
          <w:lang w:val="cs-CZ" w:eastAsia="cs-CZ"/>
        </w:rPr>
        <w:tab/>
      </w:r>
      <w:r w:rsidR="008D53C9" w:rsidRPr="008D53C9">
        <w:rPr>
          <w:rFonts w:asciiTheme="minorHAnsi" w:eastAsia="Times New Roman" w:hAnsiTheme="minorHAnsi" w:cs="Arial"/>
          <w:bCs/>
          <w:sz w:val="22"/>
          <w:szCs w:val="22"/>
          <w:lang w:val="cs-CZ" w:eastAsia="cs-CZ"/>
        </w:rPr>
        <w:t>478524663/0300</w:t>
      </w:r>
    </w:p>
    <w:p w14:paraId="45133834" w14:textId="3FA93818" w:rsidR="006549D0" w:rsidRPr="008D53C9" w:rsidRDefault="006549D0" w:rsidP="009F59AE">
      <w:pPr>
        <w:widowControl w:val="0"/>
        <w:ind w:left="0"/>
        <w:jc w:val="both"/>
        <w:rPr>
          <w:rFonts w:asciiTheme="minorHAnsi" w:eastAsia="Times New Roman" w:hAnsiTheme="minorHAnsi" w:cs="Arial"/>
          <w:bCs/>
          <w:noProof/>
          <w:sz w:val="22"/>
          <w:szCs w:val="22"/>
          <w:highlight w:val="lightGray"/>
          <w:lang w:val="cs-CZ" w:eastAsia="cs-CZ"/>
        </w:rPr>
      </w:pPr>
      <w:r w:rsidRPr="008D53C9">
        <w:rPr>
          <w:rFonts w:asciiTheme="minorHAnsi" w:eastAsia="Times New Roman" w:hAnsiTheme="minorHAnsi" w:cs="Arial"/>
          <w:bCs/>
          <w:sz w:val="22"/>
          <w:szCs w:val="22"/>
          <w:lang w:val="cs-CZ" w:eastAsia="cs-CZ"/>
        </w:rPr>
        <w:t xml:space="preserve">zapsaná v obchodním rejstříku vedeném </w:t>
      </w:r>
      <w:r w:rsidR="008D53C9" w:rsidRPr="008D53C9">
        <w:rPr>
          <w:rFonts w:asciiTheme="minorHAnsi" w:eastAsia="Times New Roman" w:hAnsiTheme="minorHAnsi" w:cs="Arial"/>
          <w:bCs/>
          <w:noProof/>
          <w:sz w:val="22"/>
          <w:szCs w:val="22"/>
          <w:lang w:val="cs-CZ" w:eastAsia="cs-CZ"/>
        </w:rPr>
        <w:t>Městským soudem v Praze,</w:t>
      </w:r>
      <w:r w:rsidRPr="008D53C9">
        <w:rPr>
          <w:rFonts w:asciiTheme="minorHAnsi" w:eastAsia="Times New Roman" w:hAnsiTheme="minorHAnsi" w:cs="Arial"/>
          <w:bCs/>
          <w:sz w:val="22"/>
          <w:szCs w:val="22"/>
          <w:lang w:val="cs-CZ" w:eastAsia="cs-CZ"/>
        </w:rPr>
        <w:t xml:space="preserve"> oddíl </w:t>
      </w:r>
      <w:r w:rsidR="008D53C9" w:rsidRPr="008D53C9">
        <w:rPr>
          <w:rFonts w:asciiTheme="minorHAnsi" w:eastAsia="Times New Roman" w:hAnsiTheme="minorHAnsi" w:cs="Arial"/>
          <w:bCs/>
          <w:noProof/>
          <w:sz w:val="22"/>
          <w:szCs w:val="22"/>
          <w:lang w:val="cs-CZ" w:eastAsia="cs-CZ"/>
        </w:rPr>
        <w:t>C</w:t>
      </w:r>
      <w:r w:rsidRPr="008D53C9">
        <w:rPr>
          <w:rFonts w:asciiTheme="minorHAnsi" w:eastAsia="Times New Roman" w:hAnsiTheme="minorHAnsi" w:cs="Arial"/>
          <w:bCs/>
          <w:sz w:val="22"/>
          <w:szCs w:val="22"/>
          <w:lang w:val="cs-CZ" w:eastAsia="cs-CZ"/>
        </w:rPr>
        <w:t xml:space="preserve"> vložka </w:t>
      </w:r>
      <w:r w:rsidR="008D53C9" w:rsidRPr="008D53C9">
        <w:rPr>
          <w:rFonts w:asciiTheme="minorHAnsi" w:eastAsia="Times New Roman" w:hAnsiTheme="minorHAnsi" w:cs="Arial"/>
          <w:bCs/>
          <w:noProof/>
          <w:sz w:val="22"/>
          <w:szCs w:val="22"/>
          <w:highlight w:val="lightGray"/>
          <w:lang w:val="cs-CZ" w:eastAsia="cs-CZ"/>
        </w:rPr>
        <w:t>11127</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4E4E4A4B"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2C7D57">
        <w:rPr>
          <w:rFonts w:asciiTheme="minorHAnsi" w:eastAsia="Times New Roman" w:hAnsiTheme="minorHAnsi" w:cs="Arial"/>
          <w:sz w:val="22"/>
          <w:szCs w:val="22"/>
          <w:lang w:val="cs-CZ" w:eastAsia="cs-CZ"/>
        </w:rPr>
        <w:t xml:space="preserve"> podlimitní </w:t>
      </w:r>
      <w:r w:rsidR="003220DA" w:rsidRPr="00225046">
        <w:rPr>
          <w:rFonts w:asciiTheme="minorHAnsi" w:eastAsia="Times New Roman" w:hAnsiTheme="minorHAnsi" w:cs="Arial"/>
          <w:sz w:val="22"/>
          <w:szCs w:val="22"/>
          <w:lang w:val="cs-CZ" w:eastAsia="cs-CZ"/>
        </w:rPr>
        <w:t>veřejné zakázce s názvem „</w:t>
      </w:r>
      <w:r w:rsidR="00914CE0">
        <w:rPr>
          <w:rFonts w:asciiTheme="minorHAnsi" w:eastAsia="Times New Roman" w:hAnsiTheme="minorHAnsi" w:cs="Arial"/>
          <w:i/>
          <w:sz w:val="22"/>
          <w:szCs w:val="22"/>
          <w:lang w:val="cs-CZ" w:eastAsia="cs-CZ"/>
        </w:rPr>
        <w:t>Dodávk</w:t>
      </w:r>
      <w:r w:rsidR="002C7D57">
        <w:rPr>
          <w:rFonts w:asciiTheme="minorHAnsi" w:eastAsia="Times New Roman" w:hAnsiTheme="minorHAnsi" w:cs="Arial"/>
          <w:i/>
          <w:sz w:val="22"/>
          <w:szCs w:val="22"/>
          <w:lang w:val="cs-CZ" w:eastAsia="cs-CZ"/>
        </w:rPr>
        <w:t>y</w:t>
      </w:r>
      <w:r w:rsidR="00CF1179">
        <w:rPr>
          <w:rFonts w:asciiTheme="minorHAnsi" w:eastAsia="Times New Roman" w:hAnsiTheme="minorHAnsi" w:cs="Arial"/>
          <w:i/>
          <w:sz w:val="22"/>
          <w:szCs w:val="22"/>
          <w:lang w:val="cs-CZ" w:eastAsia="cs-CZ"/>
        </w:rPr>
        <w:t xml:space="preserve"> </w:t>
      </w:r>
      <w:r w:rsidR="00410B07">
        <w:rPr>
          <w:rFonts w:asciiTheme="minorHAnsi" w:eastAsia="Times New Roman" w:hAnsiTheme="minorHAnsi" w:cs="Arial"/>
          <w:i/>
          <w:sz w:val="22"/>
          <w:szCs w:val="22"/>
          <w:lang w:val="cs-CZ" w:eastAsia="cs-CZ"/>
        </w:rPr>
        <w:t>přístroj</w:t>
      </w:r>
      <w:r w:rsidR="002C7D57">
        <w:rPr>
          <w:rFonts w:asciiTheme="minorHAnsi" w:eastAsia="Times New Roman" w:hAnsiTheme="minorHAnsi" w:cs="Arial"/>
          <w:i/>
          <w:sz w:val="22"/>
          <w:szCs w:val="22"/>
          <w:lang w:val="cs-CZ" w:eastAsia="cs-CZ"/>
        </w:rPr>
        <w:t>ů pro kultivační jednotku specializovanou na derivaci</w:t>
      </w:r>
      <w:r w:rsidR="00C07ACA">
        <w:rPr>
          <w:rFonts w:asciiTheme="minorHAnsi" w:eastAsia="Times New Roman" w:hAnsiTheme="minorHAnsi" w:cs="Arial"/>
          <w:i/>
          <w:sz w:val="22"/>
          <w:szCs w:val="22"/>
          <w:lang w:val="cs-CZ" w:eastAsia="cs-CZ"/>
        </w:rPr>
        <w:t>, propagaci</w:t>
      </w:r>
      <w:r w:rsidR="002C7D57">
        <w:rPr>
          <w:rFonts w:asciiTheme="minorHAnsi" w:eastAsia="Times New Roman" w:hAnsiTheme="minorHAnsi" w:cs="Arial"/>
          <w:i/>
          <w:sz w:val="22"/>
          <w:szCs w:val="22"/>
          <w:lang w:val="cs-CZ" w:eastAsia="cs-CZ"/>
        </w:rPr>
        <w:t xml:space="preserve"> a </w:t>
      </w:r>
      <w:r w:rsidR="00C07ACA">
        <w:rPr>
          <w:rFonts w:asciiTheme="minorHAnsi" w:eastAsia="Times New Roman" w:hAnsiTheme="minorHAnsi" w:cs="Arial"/>
          <w:i/>
          <w:sz w:val="22"/>
          <w:szCs w:val="22"/>
          <w:lang w:val="cs-CZ" w:eastAsia="cs-CZ"/>
        </w:rPr>
        <w:t>charakteriz</w:t>
      </w:r>
      <w:r w:rsidR="002C7D57">
        <w:rPr>
          <w:rFonts w:asciiTheme="minorHAnsi" w:eastAsia="Times New Roman" w:hAnsiTheme="minorHAnsi" w:cs="Arial"/>
          <w:i/>
          <w:sz w:val="22"/>
          <w:szCs w:val="22"/>
          <w:lang w:val="cs-CZ" w:eastAsia="cs-CZ"/>
        </w:rPr>
        <w:t xml:space="preserve">aci primordiálních </w:t>
      </w:r>
      <w:proofErr w:type="spellStart"/>
      <w:r w:rsidR="002C7D57">
        <w:rPr>
          <w:rFonts w:asciiTheme="minorHAnsi" w:eastAsia="Times New Roman" w:hAnsiTheme="minorHAnsi" w:cs="Arial"/>
          <w:i/>
          <w:sz w:val="22"/>
          <w:szCs w:val="22"/>
          <w:lang w:val="cs-CZ" w:eastAsia="cs-CZ"/>
        </w:rPr>
        <w:t>germinálních</w:t>
      </w:r>
      <w:proofErr w:type="spellEnd"/>
      <w:r w:rsidR="002C7D57">
        <w:rPr>
          <w:rFonts w:asciiTheme="minorHAnsi" w:eastAsia="Times New Roman" w:hAnsiTheme="minorHAnsi" w:cs="Arial"/>
          <w:i/>
          <w:sz w:val="22"/>
          <w:szCs w:val="22"/>
          <w:lang w:val="cs-CZ" w:eastAsia="cs-CZ"/>
        </w:rPr>
        <w:t xml:space="preserve"> buněk</w:t>
      </w:r>
      <w:r w:rsidR="003220DA" w:rsidRPr="00225046">
        <w:rPr>
          <w:rFonts w:asciiTheme="minorHAnsi" w:eastAsia="Times New Roman" w:hAnsiTheme="minorHAnsi" w:cs="Arial"/>
          <w:sz w:val="22"/>
          <w:szCs w:val="22"/>
          <w:lang w:val="cs-CZ" w:eastAsia="cs-CZ"/>
        </w:rPr>
        <w:t>“</w:t>
      </w:r>
      <w:r w:rsidR="00CF1179">
        <w:rPr>
          <w:rFonts w:asciiTheme="minorHAnsi" w:eastAsia="Times New Roman" w:hAnsiTheme="minorHAnsi" w:cs="Arial"/>
          <w:sz w:val="22"/>
          <w:szCs w:val="22"/>
          <w:lang w:val="cs-CZ" w:eastAsia="cs-CZ"/>
        </w:rPr>
        <w:t xml:space="preserve"> – </w:t>
      </w:r>
      <w:r w:rsidR="003B14DE">
        <w:rPr>
          <w:rFonts w:asciiTheme="minorHAnsi" w:eastAsia="Times New Roman" w:hAnsiTheme="minorHAnsi" w:cs="Arial"/>
          <w:i/>
          <w:sz w:val="22"/>
          <w:szCs w:val="22"/>
          <w:lang w:val="cs-CZ" w:eastAsia="cs-CZ"/>
        </w:rPr>
        <w:t xml:space="preserve">část </w:t>
      </w:r>
      <w:r w:rsidR="003F7D2C">
        <w:rPr>
          <w:rFonts w:asciiTheme="minorHAnsi" w:eastAsia="Times New Roman" w:hAnsiTheme="minorHAnsi" w:cs="Arial"/>
          <w:i/>
          <w:sz w:val="22"/>
          <w:szCs w:val="22"/>
          <w:lang w:val="cs-CZ" w:eastAsia="cs-CZ"/>
        </w:rPr>
        <w:t>3</w:t>
      </w:r>
      <w:r w:rsidR="00CF1179" w:rsidRPr="00CF1179">
        <w:rPr>
          <w:rFonts w:asciiTheme="minorHAnsi" w:eastAsia="Times New Roman" w:hAnsiTheme="minorHAnsi" w:cs="Arial"/>
          <w:i/>
          <w:sz w:val="22"/>
          <w:szCs w:val="22"/>
          <w:lang w:val="cs-CZ" w:eastAsia="cs-CZ"/>
        </w:rPr>
        <w:t xml:space="preserve">: </w:t>
      </w:r>
      <w:proofErr w:type="spellStart"/>
      <w:r w:rsidR="003F7D2C">
        <w:rPr>
          <w:rFonts w:asciiTheme="minorHAnsi" w:eastAsia="Times New Roman" w:hAnsiTheme="minorHAnsi" w:cs="Arial"/>
          <w:i/>
          <w:sz w:val="22"/>
          <w:szCs w:val="22"/>
          <w:lang w:val="cs-CZ" w:eastAsia="cs-CZ"/>
        </w:rPr>
        <w:t>Hlubokomrazící</w:t>
      </w:r>
      <w:proofErr w:type="spellEnd"/>
      <w:r w:rsidR="003F7D2C">
        <w:rPr>
          <w:rFonts w:asciiTheme="minorHAnsi" w:eastAsia="Times New Roman" w:hAnsiTheme="minorHAnsi" w:cs="Arial"/>
          <w:i/>
          <w:sz w:val="22"/>
          <w:szCs w:val="22"/>
          <w:lang w:val="cs-CZ" w:eastAsia="cs-CZ"/>
        </w:rPr>
        <w:t xml:space="preserve"> box -80</w:t>
      </w:r>
      <w:r w:rsidR="003F7D2C">
        <w:rPr>
          <w:rFonts w:asciiTheme="minorHAnsi" w:eastAsia="Times New Roman" w:hAnsiTheme="minorHAnsi" w:cs="Arial"/>
          <w:i/>
          <w:sz w:val="22"/>
          <w:szCs w:val="22"/>
          <w:vertAlign w:val="superscript"/>
          <w:lang w:val="cs-CZ" w:eastAsia="cs-CZ"/>
        </w:rPr>
        <w:t>o</w:t>
      </w:r>
      <w:r w:rsidR="003F7D2C">
        <w:rPr>
          <w:rFonts w:asciiTheme="minorHAnsi" w:eastAsia="Times New Roman" w:hAnsiTheme="minorHAnsi" w:cs="Arial"/>
          <w:i/>
          <w:sz w:val="22"/>
          <w:szCs w:val="22"/>
          <w:lang w:val="cs-CZ" w:eastAsia="cs-CZ"/>
        </w:rPr>
        <w:t>C</w:t>
      </w:r>
      <w:r w:rsidR="00FD5381">
        <w:rPr>
          <w:rFonts w:asciiTheme="minorHAnsi" w:eastAsia="Times New Roman" w:hAnsiTheme="minorHAnsi" w:cs="Arial"/>
          <w:i/>
          <w:sz w:val="22"/>
          <w:szCs w:val="22"/>
          <w:lang w:val="cs-CZ" w:eastAsia="cs-CZ"/>
        </w:rPr>
        <w:t xml:space="preserve"> (1 ks)</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2C7D57">
        <w:rPr>
          <w:rFonts w:asciiTheme="minorHAnsi" w:eastAsia="Times New Roman" w:hAnsiTheme="minorHAnsi" w:cs="Arial"/>
          <w:sz w:val="22"/>
          <w:szCs w:val="22"/>
          <w:lang w:val="cs-CZ" w:eastAsia="cs-CZ"/>
        </w:rPr>
        <w:t>3/718</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EAAF2CE"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2C7D57">
        <w:rPr>
          <w:rFonts w:asciiTheme="minorHAnsi" w:eastAsia="Times New Roman" w:hAnsiTheme="minorHAnsi" w:cs="Arial"/>
          <w:sz w:val="22"/>
          <w:szCs w:val="22"/>
          <w:lang w:val="cs-CZ" w:eastAsia="cs-CZ"/>
        </w:rPr>
        <w:t xml:space="preserve">podlimitní </w:t>
      </w:r>
      <w:r w:rsidRPr="00225046">
        <w:rPr>
          <w:rFonts w:asciiTheme="minorHAnsi" w:eastAsia="Times New Roman" w:hAnsiTheme="minorHAnsi" w:cs="Arial"/>
          <w:sz w:val="22"/>
          <w:szCs w:val="22"/>
          <w:lang w:val="cs-CZ" w:eastAsia="cs-CZ"/>
        </w:rPr>
        <w:t>veřejnou zakázku</w:t>
      </w:r>
      <w:r w:rsidR="002C7D5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12C76574"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5D3FA9">
        <w:rPr>
          <w:rFonts w:asciiTheme="minorHAnsi" w:eastAsia="Times New Roman" w:hAnsiTheme="minorHAnsi" w:cs="Arial"/>
          <w:sz w:val="22"/>
          <w:szCs w:val="22"/>
          <w:lang w:val="cs-CZ" w:eastAsia="cs-CZ"/>
        </w:rPr>
        <w:t>jednoho</w:t>
      </w:r>
      <w:r w:rsidR="002C7D57">
        <w:rPr>
          <w:rFonts w:asciiTheme="minorHAnsi" w:eastAsia="Times New Roman" w:hAnsiTheme="minorHAnsi" w:cs="Arial"/>
          <w:sz w:val="22"/>
          <w:szCs w:val="22"/>
          <w:lang w:val="cs-CZ" w:eastAsia="cs-CZ"/>
        </w:rPr>
        <w:t xml:space="preserve"> kus</w:t>
      </w:r>
      <w:r w:rsidR="005D3FA9">
        <w:rPr>
          <w:rFonts w:asciiTheme="minorHAnsi" w:eastAsia="Times New Roman" w:hAnsiTheme="minorHAnsi" w:cs="Arial"/>
          <w:sz w:val="22"/>
          <w:szCs w:val="22"/>
          <w:lang w:val="cs-CZ" w:eastAsia="cs-CZ"/>
        </w:rPr>
        <w:t>u</w:t>
      </w:r>
      <w:r w:rsidR="002C7D57">
        <w:rPr>
          <w:rFonts w:asciiTheme="minorHAnsi" w:eastAsia="Times New Roman" w:hAnsiTheme="minorHAnsi" w:cs="Arial"/>
          <w:sz w:val="22"/>
          <w:szCs w:val="22"/>
          <w:lang w:val="cs-CZ" w:eastAsia="cs-CZ"/>
        </w:rPr>
        <w:t xml:space="preserve"> </w:t>
      </w:r>
      <w:r w:rsidR="00870948">
        <w:rPr>
          <w:rFonts w:asciiTheme="minorHAnsi" w:eastAsia="Times New Roman" w:hAnsiTheme="minorHAnsi" w:cs="Arial"/>
          <w:sz w:val="22"/>
          <w:szCs w:val="22"/>
          <w:lang w:val="cs-CZ" w:eastAsia="cs-CZ"/>
        </w:rPr>
        <w:t>nov</w:t>
      </w:r>
      <w:r w:rsidR="005D3FA9">
        <w:rPr>
          <w:rFonts w:asciiTheme="minorHAnsi" w:eastAsia="Times New Roman" w:hAnsiTheme="minorHAnsi" w:cs="Arial"/>
          <w:sz w:val="22"/>
          <w:szCs w:val="22"/>
          <w:lang w:val="cs-CZ" w:eastAsia="cs-CZ"/>
        </w:rPr>
        <w:t>é</w:t>
      </w:r>
      <w:r w:rsidR="002C7D57">
        <w:rPr>
          <w:rFonts w:asciiTheme="minorHAnsi" w:eastAsia="Times New Roman" w:hAnsiTheme="minorHAnsi" w:cs="Arial"/>
          <w:sz w:val="22"/>
          <w:szCs w:val="22"/>
          <w:lang w:val="cs-CZ" w:eastAsia="cs-CZ"/>
        </w:rPr>
        <w:t>h</w:t>
      </w:r>
      <w:r w:rsidR="005D3FA9">
        <w:rPr>
          <w:rFonts w:asciiTheme="minorHAnsi" w:eastAsia="Times New Roman" w:hAnsiTheme="minorHAnsi" w:cs="Arial"/>
          <w:sz w:val="22"/>
          <w:szCs w:val="22"/>
          <w:lang w:val="cs-CZ" w:eastAsia="cs-CZ"/>
        </w:rPr>
        <w:t>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w:t>
      </w:r>
      <w:r w:rsidR="005D3FA9">
        <w:rPr>
          <w:rFonts w:asciiTheme="minorHAnsi" w:eastAsia="Times New Roman" w:hAnsiTheme="minorHAnsi" w:cs="Arial"/>
          <w:sz w:val="22"/>
          <w:szCs w:val="22"/>
          <w:lang w:val="cs-CZ" w:eastAsia="cs-CZ"/>
        </w:rPr>
        <w:t>é</w:t>
      </w:r>
      <w:r w:rsidR="002C7D57">
        <w:rPr>
          <w:rFonts w:asciiTheme="minorHAnsi" w:eastAsia="Times New Roman" w:hAnsiTheme="minorHAnsi" w:cs="Arial"/>
          <w:sz w:val="22"/>
          <w:szCs w:val="22"/>
          <w:lang w:val="cs-CZ" w:eastAsia="cs-CZ"/>
        </w:rPr>
        <w:t>h</w:t>
      </w:r>
      <w:r w:rsidR="005D3FA9">
        <w:rPr>
          <w:rFonts w:asciiTheme="minorHAnsi" w:eastAsia="Times New Roman" w:hAnsiTheme="minorHAnsi" w:cs="Arial"/>
          <w:sz w:val="22"/>
          <w:szCs w:val="22"/>
          <w:lang w:val="cs-CZ" w:eastAsia="cs-CZ"/>
        </w:rPr>
        <w:t>o</w:t>
      </w:r>
      <w:r w:rsidR="00870948">
        <w:rPr>
          <w:rFonts w:asciiTheme="minorHAnsi" w:eastAsia="Times New Roman" w:hAnsiTheme="minorHAnsi" w:cs="Arial"/>
          <w:sz w:val="22"/>
          <w:szCs w:val="22"/>
          <w:lang w:val="cs-CZ" w:eastAsia="cs-CZ"/>
        </w:rPr>
        <w:t>, nerepasovan</w:t>
      </w:r>
      <w:r w:rsidR="005D3FA9">
        <w:rPr>
          <w:rFonts w:asciiTheme="minorHAnsi" w:eastAsia="Times New Roman" w:hAnsiTheme="minorHAnsi" w:cs="Arial"/>
          <w:sz w:val="22"/>
          <w:szCs w:val="22"/>
          <w:lang w:val="cs-CZ" w:eastAsia="cs-CZ"/>
        </w:rPr>
        <w:t>é</w:t>
      </w:r>
      <w:r w:rsidR="002C7D57">
        <w:rPr>
          <w:rFonts w:asciiTheme="minorHAnsi" w:eastAsia="Times New Roman" w:hAnsiTheme="minorHAnsi" w:cs="Arial"/>
          <w:sz w:val="22"/>
          <w:szCs w:val="22"/>
          <w:lang w:val="cs-CZ" w:eastAsia="cs-CZ"/>
        </w:rPr>
        <w:t>h</w:t>
      </w:r>
      <w:r w:rsidR="005D3FA9">
        <w:rPr>
          <w:rFonts w:asciiTheme="minorHAnsi" w:eastAsia="Times New Roman" w:hAnsiTheme="minorHAnsi" w:cs="Arial"/>
          <w:sz w:val="22"/>
          <w:szCs w:val="22"/>
          <w:lang w:val="cs-CZ" w:eastAsia="cs-CZ"/>
        </w:rPr>
        <w:t>o</w:t>
      </w:r>
      <w:r w:rsidR="002C7D57">
        <w:rPr>
          <w:rFonts w:asciiTheme="minorHAnsi" w:eastAsia="Times New Roman" w:hAnsiTheme="minorHAnsi" w:cs="Arial"/>
          <w:sz w:val="22"/>
          <w:szCs w:val="22"/>
          <w:lang w:val="cs-CZ" w:eastAsia="cs-CZ"/>
        </w:rPr>
        <w:t xml:space="preserve"> </w:t>
      </w:r>
      <w:proofErr w:type="spellStart"/>
      <w:r w:rsidR="005D3FA9">
        <w:rPr>
          <w:rFonts w:asciiTheme="minorHAnsi" w:eastAsia="Times New Roman" w:hAnsiTheme="minorHAnsi" w:cs="Arial"/>
          <w:sz w:val="22"/>
          <w:szCs w:val="22"/>
          <w:lang w:val="cs-CZ" w:eastAsia="cs-CZ"/>
        </w:rPr>
        <w:t>hlubokomrazícího</w:t>
      </w:r>
      <w:proofErr w:type="spellEnd"/>
      <w:r w:rsidR="005D3FA9">
        <w:rPr>
          <w:rFonts w:asciiTheme="minorHAnsi" w:eastAsia="Times New Roman" w:hAnsiTheme="minorHAnsi" w:cs="Arial"/>
          <w:sz w:val="22"/>
          <w:szCs w:val="22"/>
          <w:lang w:val="cs-CZ" w:eastAsia="cs-CZ"/>
        </w:rPr>
        <w:t xml:space="preserve"> boxu</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003F06A4">
        <w:rPr>
          <w:rFonts w:asciiTheme="minorHAnsi" w:eastAsia="Times New Roman" w:hAnsiTheme="minorHAnsi" w:cs="Arial"/>
          <w:sz w:val="22"/>
          <w:szCs w:val="22"/>
          <w:lang w:val="cs-CZ" w:eastAsia="cs-CZ"/>
        </w:rPr>
        <w:t xml:space="preserve"> a </w:t>
      </w:r>
      <w:r w:rsidR="003F06A4" w:rsidRPr="00620930">
        <w:rPr>
          <w:rFonts w:asciiTheme="minorHAnsi" w:eastAsia="Times New Roman" w:hAnsiTheme="minorHAnsi" w:cs="Arial"/>
          <w:sz w:val="22"/>
          <w:szCs w:val="22"/>
          <w:lang w:val="cs-CZ" w:eastAsia="cs-CZ"/>
        </w:rPr>
        <w:t>garance pozáručního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w:t>
      </w:r>
      <w:proofErr w:type="spellStart"/>
      <w:r w:rsidR="006549D0" w:rsidRPr="00225046">
        <w:rPr>
          <w:rFonts w:asciiTheme="minorHAnsi" w:eastAsia="Times New Roman" w:hAnsiTheme="minorHAnsi" w:cs="Arial"/>
          <w:sz w:val="22"/>
          <w:szCs w:val="22"/>
          <w:lang w:val="cs-CZ" w:eastAsia="cs-CZ"/>
        </w:rPr>
        <w:t>metadat</w:t>
      </w:r>
      <w:proofErr w:type="spellEnd"/>
      <w:r w:rsidR="006549D0" w:rsidRPr="00225046">
        <w:rPr>
          <w:rFonts w:asciiTheme="minorHAnsi" w:eastAsia="Times New Roman" w:hAnsiTheme="minorHAnsi" w:cs="Arial"/>
          <w:sz w:val="22"/>
          <w:szCs w:val="22"/>
          <w:lang w:val="cs-CZ" w:eastAsia="cs-CZ"/>
        </w:rPr>
        <w:t xml:space="preserve">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11009B5C"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proofErr w:type="gramStart"/>
      <w:r w:rsidR="006549D0" w:rsidRPr="00225046">
        <w:rPr>
          <w:rFonts w:asciiTheme="minorHAnsi" w:eastAsia="Times New Roman" w:hAnsiTheme="minorHAnsi" w:cs="Arial"/>
          <w:sz w:val="22"/>
          <w:szCs w:val="22"/>
          <w:highlight w:val="lightGray"/>
          <w:lang w:val="cs-CZ" w:eastAsia="cs-CZ"/>
        </w:rPr>
        <w:t xml:space="preserve">je </w:t>
      </w:r>
      <w:r w:rsidR="008D53C9">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plátce</w:t>
      </w:r>
      <w:proofErr w:type="gramEnd"/>
      <w:r w:rsidR="006549D0" w:rsidRPr="00225046">
        <w:rPr>
          <w:rFonts w:asciiTheme="minorHAnsi" w:eastAsia="Times New Roman" w:hAnsiTheme="minorHAnsi" w:cs="Arial"/>
          <w:sz w:val="22"/>
          <w:szCs w:val="22"/>
          <w:lang w:val="cs-CZ" w:eastAsia="cs-CZ"/>
        </w:rPr>
        <w:t xml:space="preserv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54D8FA71"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Předmět smlouvy, práva a povinnosti sml</w:t>
      </w:r>
      <w:r w:rsidR="001A0813">
        <w:rPr>
          <w:rFonts w:asciiTheme="minorHAnsi" w:eastAsia="Times New Roman" w:hAnsiTheme="minorHAnsi" w:cs="Arial"/>
          <w:b/>
          <w:sz w:val="22"/>
          <w:szCs w:val="22"/>
          <w:lang w:val="cs-CZ" w:eastAsia="cs-CZ"/>
        </w:rPr>
        <w:t>uvních stran</w:t>
      </w:r>
    </w:p>
    <w:p w14:paraId="601EE2CF" w14:textId="63F5FC49" w:rsidR="003E75C2" w:rsidRPr="00E22B34"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005D3FA9">
        <w:rPr>
          <w:rFonts w:asciiTheme="minorHAnsi" w:eastAsia="Times New Roman" w:hAnsiTheme="minorHAnsi" w:cstheme="minorHAnsi"/>
          <w:sz w:val="22"/>
          <w:szCs w:val="22"/>
          <w:lang w:val="cs-CZ" w:eastAsia="cs-CZ"/>
        </w:rPr>
        <w:t xml:space="preserve">jeden </w:t>
      </w:r>
      <w:r w:rsidR="002C7D57">
        <w:rPr>
          <w:rFonts w:asciiTheme="minorHAnsi" w:eastAsia="Times New Roman" w:hAnsiTheme="minorHAnsi" w:cstheme="minorHAnsi"/>
          <w:sz w:val="22"/>
          <w:szCs w:val="22"/>
          <w:lang w:val="cs-CZ" w:eastAsia="cs-CZ"/>
        </w:rPr>
        <w:t xml:space="preserve">kus </w:t>
      </w:r>
      <w:r w:rsidRPr="00E22B34">
        <w:rPr>
          <w:rFonts w:asciiTheme="minorHAnsi" w:eastAsia="Times New Roman" w:hAnsiTheme="minorHAnsi" w:cstheme="minorHAnsi"/>
          <w:sz w:val="22"/>
          <w:szCs w:val="22"/>
          <w:lang w:val="cs-CZ" w:eastAsia="cs-CZ"/>
        </w:rPr>
        <w:t>nov</w:t>
      </w:r>
      <w:r w:rsidR="005D3FA9">
        <w:rPr>
          <w:rFonts w:asciiTheme="minorHAnsi" w:eastAsia="Times New Roman" w:hAnsiTheme="minorHAnsi" w:cstheme="minorHAnsi"/>
          <w:sz w:val="22"/>
          <w:szCs w:val="22"/>
          <w:lang w:val="cs-CZ" w:eastAsia="cs-CZ"/>
        </w:rPr>
        <w:t>é</w:t>
      </w:r>
      <w:r w:rsidR="002C7D57">
        <w:rPr>
          <w:rFonts w:asciiTheme="minorHAnsi" w:eastAsia="Times New Roman" w:hAnsiTheme="minorHAnsi" w:cstheme="minorHAnsi"/>
          <w:sz w:val="22"/>
          <w:szCs w:val="22"/>
          <w:lang w:val="cs-CZ" w:eastAsia="cs-CZ"/>
        </w:rPr>
        <w:t>h</w:t>
      </w:r>
      <w:r w:rsidR="005D3FA9">
        <w:rPr>
          <w:rFonts w:asciiTheme="minorHAnsi" w:eastAsia="Times New Roman" w:hAnsiTheme="minorHAnsi" w:cstheme="minorHAnsi"/>
          <w:sz w:val="22"/>
          <w:szCs w:val="22"/>
          <w:lang w:val="cs-CZ" w:eastAsia="cs-CZ"/>
        </w:rPr>
        <w:t>o</w:t>
      </w:r>
      <w:r w:rsidR="00741DD3" w:rsidRPr="00E22B34">
        <w:rPr>
          <w:rFonts w:asciiTheme="minorHAnsi" w:eastAsia="Times New Roman" w:hAnsiTheme="minorHAnsi" w:cstheme="minorHAnsi"/>
          <w:sz w:val="22"/>
          <w:szCs w:val="22"/>
          <w:lang w:val="cs-CZ" w:eastAsia="cs-CZ"/>
        </w:rPr>
        <w:t>, nerepasovan</w:t>
      </w:r>
      <w:r w:rsidR="005D3FA9">
        <w:rPr>
          <w:rFonts w:asciiTheme="minorHAnsi" w:eastAsia="Times New Roman" w:hAnsiTheme="minorHAnsi" w:cstheme="minorHAnsi"/>
          <w:sz w:val="22"/>
          <w:szCs w:val="22"/>
          <w:lang w:val="cs-CZ" w:eastAsia="cs-CZ"/>
        </w:rPr>
        <w:t>é</w:t>
      </w:r>
      <w:r w:rsidR="002C7D57">
        <w:rPr>
          <w:rFonts w:asciiTheme="minorHAnsi" w:eastAsia="Times New Roman" w:hAnsiTheme="minorHAnsi" w:cstheme="minorHAnsi"/>
          <w:sz w:val="22"/>
          <w:szCs w:val="22"/>
          <w:lang w:val="cs-CZ" w:eastAsia="cs-CZ"/>
        </w:rPr>
        <w:t>h</w:t>
      </w:r>
      <w:r w:rsidR="005D3FA9">
        <w:rPr>
          <w:rFonts w:asciiTheme="minorHAnsi" w:eastAsia="Times New Roman" w:hAnsiTheme="minorHAnsi" w:cstheme="minorHAnsi"/>
          <w:sz w:val="22"/>
          <w:szCs w:val="22"/>
          <w:lang w:val="cs-CZ" w:eastAsia="cs-CZ"/>
        </w:rPr>
        <w:t>o</w:t>
      </w:r>
      <w:r w:rsidR="00741DD3" w:rsidRPr="00E22B34">
        <w:rPr>
          <w:rFonts w:asciiTheme="minorHAnsi" w:eastAsia="Times New Roman" w:hAnsiTheme="minorHAnsi" w:cstheme="minorHAnsi"/>
          <w:sz w:val="22"/>
          <w:szCs w:val="22"/>
          <w:lang w:val="cs-CZ" w:eastAsia="cs-CZ"/>
        </w:rPr>
        <w:t>, dosud neužívan</w:t>
      </w:r>
      <w:r w:rsidR="005D3FA9">
        <w:rPr>
          <w:rFonts w:asciiTheme="minorHAnsi" w:eastAsia="Times New Roman" w:hAnsiTheme="minorHAnsi" w:cstheme="minorHAnsi"/>
          <w:sz w:val="22"/>
          <w:szCs w:val="22"/>
          <w:lang w:val="cs-CZ" w:eastAsia="cs-CZ"/>
        </w:rPr>
        <w:t>é</w:t>
      </w:r>
      <w:r w:rsidR="002C7D57">
        <w:rPr>
          <w:rFonts w:asciiTheme="minorHAnsi" w:eastAsia="Times New Roman" w:hAnsiTheme="minorHAnsi" w:cstheme="minorHAnsi"/>
          <w:sz w:val="22"/>
          <w:szCs w:val="22"/>
          <w:lang w:val="cs-CZ" w:eastAsia="cs-CZ"/>
        </w:rPr>
        <w:t>h</w:t>
      </w:r>
      <w:r w:rsidR="005D3FA9">
        <w:rPr>
          <w:rFonts w:asciiTheme="minorHAnsi" w:eastAsia="Times New Roman" w:hAnsiTheme="minorHAnsi" w:cstheme="minorHAnsi"/>
          <w:sz w:val="22"/>
          <w:szCs w:val="22"/>
          <w:lang w:val="cs-CZ" w:eastAsia="cs-CZ"/>
        </w:rPr>
        <w:t>o</w:t>
      </w:r>
      <w:r w:rsidR="00741DD3" w:rsidRPr="00E22B34">
        <w:rPr>
          <w:rFonts w:asciiTheme="minorHAnsi" w:eastAsia="Times New Roman" w:hAnsiTheme="minorHAnsi" w:cstheme="minorHAnsi"/>
          <w:sz w:val="22"/>
          <w:szCs w:val="22"/>
          <w:lang w:val="cs-CZ" w:eastAsia="cs-CZ"/>
        </w:rPr>
        <w:t xml:space="preserve"> plně funkční</w:t>
      </w:r>
      <w:r w:rsidR="002C7D57">
        <w:rPr>
          <w:rFonts w:asciiTheme="minorHAnsi" w:eastAsia="Times New Roman" w:hAnsiTheme="minorHAnsi" w:cstheme="minorHAnsi"/>
          <w:sz w:val="22"/>
          <w:szCs w:val="22"/>
          <w:lang w:val="cs-CZ" w:eastAsia="cs-CZ"/>
        </w:rPr>
        <w:t>h</w:t>
      </w:r>
      <w:r w:rsidR="005D3FA9">
        <w:rPr>
          <w:rFonts w:asciiTheme="minorHAnsi" w:eastAsia="Times New Roman" w:hAnsiTheme="minorHAnsi" w:cstheme="minorHAnsi"/>
          <w:sz w:val="22"/>
          <w:szCs w:val="22"/>
          <w:lang w:val="cs-CZ" w:eastAsia="cs-CZ"/>
        </w:rPr>
        <w:t xml:space="preserve">o </w:t>
      </w:r>
      <w:proofErr w:type="spellStart"/>
      <w:r w:rsidR="005D3FA9">
        <w:rPr>
          <w:rFonts w:asciiTheme="minorHAnsi" w:eastAsia="Times New Roman" w:hAnsiTheme="minorHAnsi" w:cstheme="minorHAnsi"/>
          <w:sz w:val="22"/>
          <w:szCs w:val="22"/>
          <w:lang w:val="cs-CZ" w:eastAsia="cs-CZ"/>
        </w:rPr>
        <w:t>hlubokomrazícího</w:t>
      </w:r>
      <w:proofErr w:type="spellEnd"/>
      <w:r w:rsidR="005D3FA9">
        <w:rPr>
          <w:rFonts w:asciiTheme="minorHAnsi" w:eastAsia="Times New Roman" w:hAnsiTheme="minorHAnsi" w:cstheme="minorHAnsi"/>
          <w:sz w:val="22"/>
          <w:szCs w:val="22"/>
          <w:lang w:val="cs-CZ" w:eastAsia="cs-CZ"/>
        </w:rPr>
        <w:t xml:space="preserve"> boxu -80</w:t>
      </w:r>
      <w:r w:rsidR="005D3FA9">
        <w:rPr>
          <w:rFonts w:asciiTheme="minorHAnsi" w:eastAsia="Times New Roman" w:hAnsiTheme="minorHAnsi" w:cstheme="minorHAnsi"/>
          <w:sz w:val="22"/>
          <w:szCs w:val="22"/>
          <w:vertAlign w:val="superscript"/>
          <w:lang w:val="cs-CZ" w:eastAsia="cs-CZ"/>
        </w:rPr>
        <w:t>o</w:t>
      </w:r>
      <w:r w:rsidR="005D3FA9">
        <w:rPr>
          <w:rFonts w:asciiTheme="minorHAnsi" w:eastAsia="Times New Roman" w:hAnsiTheme="minorHAnsi" w:cstheme="minorHAnsi"/>
          <w:sz w:val="22"/>
          <w:szCs w:val="22"/>
          <w:lang w:val="cs-CZ" w:eastAsia="cs-CZ"/>
        </w:rPr>
        <w:t>C</w:t>
      </w:r>
      <w:r w:rsidR="002C7D57">
        <w:rPr>
          <w:rFonts w:asciiTheme="minorHAnsi" w:eastAsia="Times New Roman" w:hAnsiTheme="minorHAnsi" w:cstheme="minorHAnsi"/>
          <w:sz w:val="22"/>
          <w:szCs w:val="22"/>
          <w:lang w:val="cs-CZ" w:eastAsia="cs-CZ"/>
        </w:rPr>
        <w:t xml:space="preserve">, s </w:t>
      </w:r>
      <w:r w:rsidR="007F57C6" w:rsidRPr="00E22B34">
        <w:rPr>
          <w:rFonts w:asciiTheme="minorHAnsi" w:hAnsiTheme="minorHAnsi" w:cstheme="minorHAnsi"/>
          <w:sz w:val="22"/>
          <w:szCs w:val="22"/>
          <w:lang w:val="cs-CZ"/>
        </w:rPr>
        <w:t>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2C7D57">
        <w:rPr>
          <w:rFonts w:asciiTheme="minorHAnsi" w:hAnsiTheme="minorHAnsi" w:cstheme="minorHAnsi"/>
          <w:sz w:val="22"/>
          <w:szCs w:val="22"/>
          <w:lang w:val="cs-CZ"/>
        </w:rPr>
        <w:t xml:space="preserve">, a to včetně </w:t>
      </w:r>
      <w:r w:rsidRPr="00E22B34">
        <w:rPr>
          <w:rFonts w:asciiTheme="minorHAnsi" w:eastAsia="Times New Roman" w:hAnsiTheme="minorHAnsi" w:cstheme="minorHAnsi"/>
          <w:sz w:val="22"/>
          <w:szCs w:val="22"/>
          <w:lang w:val="cs-CZ" w:eastAsia="cs-CZ"/>
        </w:rPr>
        <w:t>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62C011F7" w14:textId="0134F9F8" w:rsidR="00596942" w:rsidRPr="00E22B34" w:rsidRDefault="00572706"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lastRenderedPageBreak/>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w:t>
      </w:r>
      <w:r w:rsidR="005D3FA9">
        <w:rPr>
          <w:rFonts w:asciiTheme="minorHAnsi" w:eastAsia="Calibri" w:hAnsiTheme="minorHAnsi" w:cstheme="minorHAnsi"/>
          <w:color w:val="000000"/>
          <w:sz w:val="22"/>
          <w:szCs w:val="22"/>
          <w:lang w:val="cs-CZ"/>
        </w:rPr>
        <w:t xml:space="preserve">e jeden kus </w:t>
      </w:r>
      <w:proofErr w:type="spellStart"/>
      <w:r w:rsidR="005D3FA9">
        <w:rPr>
          <w:rFonts w:asciiTheme="minorHAnsi" w:eastAsia="Calibri" w:hAnsiTheme="minorHAnsi" w:cstheme="minorHAnsi"/>
          <w:color w:val="000000"/>
          <w:sz w:val="22"/>
          <w:szCs w:val="22"/>
          <w:lang w:val="cs-CZ"/>
        </w:rPr>
        <w:t>hlubokomrazícího</w:t>
      </w:r>
      <w:proofErr w:type="spellEnd"/>
      <w:r w:rsidR="005D3FA9">
        <w:rPr>
          <w:rFonts w:asciiTheme="minorHAnsi" w:eastAsia="Calibri" w:hAnsiTheme="minorHAnsi" w:cstheme="minorHAnsi"/>
          <w:color w:val="000000"/>
          <w:sz w:val="22"/>
          <w:szCs w:val="22"/>
          <w:lang w:val="cs-CZ"/>
        </w:rPr>
        <w:t xml:space="preserve"> boxu ve skříňovém provedení s objemem alespoň 700 l, s možností nastavení teploty od -50</w:t>
      </w:r>
      <w:r w:rsidR="005D3FA9">
        <w:rPr>
          <w:rFonts w:asciiTheme="minorHAnsi" w:eastAsia="Calibri" w:hAnsiTheme="minorHAnsi" w:cstheme="minorHAnsi"/>
          <w:color w:val="000000"/>
          <w:sz w:val="22"/>
          <w:szCs w:val="22"/>
          <w:vertAlign w:val="superscript"/>
          <w:lang w:val="cs-CZ"/>
        </w:rPr>
        <w:t>o</w:t>
      </w:r>
      <w:r w:rsidR="005D3FA9">
        <w:rPr>
          <w:rFonts w:asciiTheme="minorHAnsi" w:eastAsia="Calibri" w:hAnsiTheme="minorHAnsi" w:cstheme="minorHAnsi"/>
          <w:color w:val="000000"/>
          <w:sz w:val="22"/>
          <w:szCs w:val="22"/>
          <w:lang w:val="cs-CZ"/>
        </w:rPr>
        <w:t>C do 90</w:t>
      </w:r>
      <w:r w:rsidR="005D3FA9">
        <w:rPr>
          <w:rFonts w:asciiTheme="minorHAnsi" w:eastAsia="Calibri" w:hAnsiTheme="minorHAnsi" w:cstheme="minorHAnsi"/>
          <w:color w:val="000000"/>
          <w:sz w:val="22"/>
          <w:szCs w:val="22"/>
          <w:vertAlign w:val="superscript"/>
          <w:lang w:val="cs-CZ"/>
        </w:rPr>
        <w:t>o</w:t>
      </w:r>
      <w:r w:rsidR="005D3FA9">
        <w:rPr>
          <w:rFonts w:asciiTheme="minorHAnsi" w:eastAsia="Calibri" w:hAnsiTheme="minorHAnsi" w:cstheme="minorHAnsi"/>
          <w:color w:val="000000"/>
          <w:sz w:val="22"/>
          <w:szCs w:val="22"/>
          <w:lang w:val="cs-CZ"/>
        </w:rPr>
        <w:t>C s trvale udržitelnou teplotou -86</w:t>
      </w:r>
      <w:r w:rsidR="005D3FA9">
        <w:rPr>
          <w:rFonts w:asciiTheme="minorHAnsi" w:eastAsia="Calibri" w:hAnsiTheme="minorHAnsi" w:cstheme="minorHAnsi"/>
          <w:color w:val="000000"/>
          <w:sz w:val="22"/>
          <w:szCs w:val="22"/>
          <w:vertAlign w:val="superscript"/>
          <w:lang w:val="cs-CZ"/>
        </w:rPr>
        <w:t>o</w:t>
      </w:r>
      <w:r w:rsidR="00252110">
        <w:rPr>
          <w:rFonts w:asciiTheme="minorHAnsi" w:eastAsia="Calibri" w:hAnsiTheme="minorHAnsi" w:cstheme="minorHAnsi"/>
          <w:color w:val="000000"/>
          <w:sz w:val="22"/>
          <w:szCs w:val="22"/>
          <w:lang w:val="cs-CZ"/>
        </w:rPr>
        <w:t>C při</w:t>
      </w:r>
      <w:r w:rsidR="005D3FA9">
        <w:rPr>
          <w:rFonts w:asciiTheme="minorHAnsi" w:eastAsia="Calibri" w:hAnsiTheme="minorHAnsi" w:cstheme="minorHAnsi"/>
          <w:color w:val="000000"/>
          <w:sz w:val="22"/>
          <w:szCs w:val="22"/>
          <w:lang w:val="cs-CZ"/>
        </w:rPr>
        <w:t xml:space="preserve"> okolní teplotě až +30</w:t>
      </w:r>
      <w:r w:rsidR="005D3FA9">
        <w:rPr>
          <w:rFonts w:asciiTheme="minorHAnsi" w:eastAsia="Calibri" w:hAnsiTheme="minorHAnsi" w:cstheme="minorHAnsi"/>
          <w:color w:val="000000"/>
          <w:sz w:val="22"/>
          <w:szCs w:val="22"/>
          <w:vertAlign w:val="superscript"/>
          <w:lang w:val="cs-CZ"/>
        </w:rPr>
        <w:t>o</w:t>
      </w:r>
      <w:r w:rsidR="005D3FA9">
        <w:rPr>
          <w:rFonts w:asciiTheme="minorHAnsi" w:eastAsia="Calibri" w:hAnsiTheme="minorHAnsi" w:cstheme="minorHAnsi"/>
          <w:color w:val="000000"/>
          <w:sz w:val="22"/>
          <w:szCs w:val="22"/>
          <w:lang w:val="cs-CZ"/>
        </w:rPr>
        <w:t>C</w:t>
      </w:r>
      <w:r w:rsidR="001A0813">
        <w:rPr>
          <w:rFonts w:asciiTheme="minorHAnsi" w:eastAsia="Calibri" w:hAnsiTheme="minorHAnsi" w:cstheme="minorHAnsi"/>
          <w:color w:val="000000"/>
          <w:sz w:val="22"/>
          <w:szCs w:val="22"/>
          <w:lang w:val="cs-CZ"/>
        </w:rPr>
        <w:t>.</w:t>
      </w:r>
      <w:r w:rsidR="005D3FA9">
        <w:rPr>
          <w:rFonts w:asciiTheme="minorHAnsi" w:eastAsia="Calibri" w:hAnsiTheme="minorHAnsi" w:cstheme="minorHAnsi"/>
          <w:color w:val="000000"/>
          <w:sz w:val="22"/>
          <w:szCs w:val="22"/>
          <w:lang w:val="cs-CZ"/>
        </w:rPr>
        <w:t xml:space="preserve"> Musí se jednat o </w:t>
      </w:r>
      <w:proofErr w:type="spellStart"/>
      <w:r w:rsidR="005D3FA9">
        <w:rPr>
          <w:rFonts w:asciiTheme="minorHAnsi" w:eastAsia="Calibri" w:hAnsiTheme="minorHAnsi" w:cstheme="minorHAnsi"/>
          <w:color w:val="000000"/>
          <w:sz w:val="22"/>
          <w:szCs w:val="22"/>
          <w:lang w:val="cs-CZ"/>
        </w:rPr>
        <w:t>bezfiltrový</w:t>
      </w:r>
      <w:proofErr w:type="spellEnd"/>
      <w:r w:rsidR="005D3FA9">
        <w:rPr>
          <w:rFonts w:asciiTheme="minorHAnsi" w:eastAsia="Calibri" w:hAnsiTheme="minorHAnsi" w:cstheme="minorHAnsi"/>
          <w:color w:val="000000"/>
          <w:sz w:val="22"/>
          <w:szCs w:val="22"/>
          <w:lang w:val="cs-CZ"/>
        </w:rPr>
        <w:t xml:space="preserve"> bezúdržbový systém. Součástí dodávky musí být vnitřní úložný systém z nerezového materiálu s vysouvacími šuplíky.</w:t>
      </w:r>
    </w:p>
    <w:p w14:paraId="0D8AA116" w14:textId="38A476AF" w:rsidR="00DF59EC" w:rsidRPr="008E5758"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 xml:space="preserve">Předmět plnění je blíže specifikován v odst. </w:t>
      </w:r>
      <w:r w:rsidR="002B7BDE" w:rsidRPr="008E5758">
        <w:rPr>
          <w:rFonts w:asciiTheme="minorHAnsi" w:eastAsia="Times New Roman" w:hAnsiTheme="minorHAnsi" w:cstheme="minorHAnsi"/>
          <w:sz w:val="22"/>
          <w:szCs w:val="22"/>
          <w:lang w:val="cs-CZ" w:eastAsia="cs-CZ"/>
        </w:rPr>
        <w:t>1</w:t>
      </w:r>
      <w:r w:rsidR="00014224">
        <w:rPr>
          <w:rFonts w:asciiTheme="minorHAnsi" w:eastAsia="Times New Roman" w:hAnsiTheme="minorHAnsi" w:cstheme="minorHAnsi"/>
          <w:sz w:val="22"/>
          <w:szCs w:val="22"/>
          <w:lang w:val="cs-CZ" w:eastAsia="cs-CZ"/>
        </w:rPr>
        <w:t xml:space="preserve"> až 8</w:t>
      </w:r>
      <w:r w:rsidRPr="008E5758">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8E5758">
        <w:rPr>
          <w:rFonts w:asciiTheme="minorHAnsi" w:eastAsia="Times New Roman" w:hAnsiTheme="minorHAnsi" w:cstheme="minorHAnsi"/>
          <w:sz w:val="22"/>
          <w:szCs w:val="22"/>
          <w:lang w:val="cs-CZ" w:eastAsia="cs-CZ"/>
        </w:rPr>
        <w:t>Předmětem plnění</w:t>
      </w:r>
      <w:r w:rsidR="006549D0" w:rsidRPr="008E5758">
        <w:rPr>
          <w:rFonts w:asciiTheme="minorHAnsi" w:eastAsia="Times New Roman" w:hAnsiTheme="minorHAnsi" w:cstheme="minorHAnsi"/>
          <w:sz w:val="22"/>
          <w:szCs w:val="22"/>
          <w:lang w:val="cs-CZ" w:eastAsia="cs-CZ"/>
        </w:rPr>
        <w:t xml:space="preserve"> je rovněž závazek </w:t>
      </w:r>
      <w:r w:rsidR="003220DA" w:rsidRPr="008E5758">
        <w:rPr>
          <w:rFonts w:asciiTheme="minorHAnsi" w:eastAsia="Times New Roman" w:hAnsiTheme="minorHAnsi" w:cstheme="minorHAnsi"/>
          <w:sz w:val="22"/>
          <w:szCs w:val="22"/>
          <w:lang w:val="cs-CZ" w:eastAsia="cs-CZ"/>
        </w:rPr>
        <w:t>Kupujícího</w:t>
      </w:r>
      <w:r w:rsidR="006549D0" w:rsidRPr="008E5758">
        <w:rPr>
          <w:rFonts w:asciiTheme="minorHAnsi" w:eastAsia="Times New Roman" w:hAnsiTheme="minorHAnsi" w:cstheme="minorHAnsi"/>
          <w:sz w:val="22"/>
          <w:szCs w:val="22"/>
          <w:lang w:val="cs-CZ" w:eastAsia="cs-CZ"/>
        </w:rPr>
        <w:t xml:space="preserve"> </w:t>
      </w:r>
      <w:r w:rsidR="00DF59EC" w:rsidRPr="008E5758">
        <w:rPr>
          <w:rFonts w:asciiTheme="minorHAnsi" w:eastAsia="Times New Roman" w:hAnsiTheme="minorHAnsi" w:cstheme="minorHAnsi"/>
          <w:sz w:val="22"/>
          <w:szCs w:val="22"/>
          <w:lang w:val="cs-CZ" w:eastAsia="cs-CZ"/>
        </w:rPr>
        <w:t>Předmět plnění</w:t>
      </w:r>
      <w:r w:rsidR="006549D0" w:rsidRPr="008E5758">
        <w:rPr>
          <w:rFonts w:asciiTheme="minorHAnsi" w:eastAsia="Times New Roman" w:hAnsiTheme="minorHAnsi" w:cstheme="minorHAnsi"/>
          <w:sz w:val="22"/>
          <w:szCs w:val="22"/>
          <w:lang w:val="cs-CZ" w:eastAsia="cs-CZ"/>
        </w:rPr>
        <w:t xml:space="preserve"> převzít a uhradit </w:t>
      </w:r>
      <w:r w:rsidR="003220DA" w:rsidRPr="008E5758">
        <w:rPr>
          <w:rFonts w:asciiTheme="minorHAnsi" w:eastAsia="Times New Roman" w:hAnsiTheme="minorHAnsi" w:cstheme="minorHAnsi"/>
          <w:sz w:val="22"/>
          <w:szCs w:val="22"/>
          <w:lang w:val="cs-CZ" w:eastAsia="cs-CZ"/>
        </w:rPr>
        <w:t>Prodávajícím</w:t>
      </w:r>
      <w:r w:rsidR="006549D0" w:rsidRPr="008E5758">
        <w:rPr>
          <w:rFonts w:asciiTheme="minorHAnsi" w:eastAsia="Times New Roman" w:hAnsiTheme="minorHAnsi" w:cstheme="minorHAnsi"/>
          <w:sz w:val="22"/>
          <w:szCs w:val="22"/>
          <w:lang w:val="cs-CZ" w:eastAsia="cs-CZ"/>
        </w:rPr>
        <w:t>u kupní cenu specifikovanou v čl. 2 této smlouvy.</w:t>
      </w:r>
      <w:r w:rsidR="00491AA6" w:rsidRPr="008E5758">
        <w:rPr>
          <w:rFonts w:asciiTheme="minorHAnsi" w:eastAsia="Times New Roman" w:hAnsiTheme="minorHAnsi" w:cstheme="minorHAnsi"/>
          <w:sz w:val="22"/>
          <w:szCs w:val="22"/>
          <w:lang w:val="cs-CZ" w:eastAsia="cs-CZ"/>
        </w:rPr>
        <w:t xml:space="preserve"> </w:t>
      </w:r>
    </w:p>
    <w:p w14:paraId="48C5DA16" w14:textId="23698CA2" w:rsidR="00DF59EC" w:rsidRPr="008E5758" w:rsidRDefault="00DF59EC" w:rsidP="001B476A">
      <w:pPr>
        <w:pStyle w:val="Zkladntextodsazen"/>
        <w:ind w:left="0"/>
      </w:pP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8E5758" w:rsidRDefault="008245E3" w:rsidP="008245E3">
      <w:pPr>
        <w:ind w:left="0"/>
      </w:pPr>
    </w:p>
    <w:p w14:paraId="5901EF9E" w14:textId="087B68C0" w:rsidR="008245E3" w:rsidRPr="008B3A0F" w:rsidRDefault="008245E3" w:rsidP="008245E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Součástí předmětu plnění je rovněž proškolení pracovníků Kupujícího v českém nebo anglickém jazyce v nezbytném rozsahu v místě plnění kvalifikovaným pracovníkem prodávajícího dle požadavků kupujícího a uvedení Předmětu plnění do provozu a provedení veškerých úvodních nastavení a kalibrace.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8B3A0F" w:rsidRDefault="003220DA" w:rsidP="009F59AE">
      <w:pPr>
        <w:pStyle w:val="Zkladntextodsazen"/>
        <w:numPr>
          <w:ilvl w:val="0"/>
          <w:numId w:val="12"/>
        </w:numPr>
        <w:tabs>
          <w:tab w:val="left" w:pos="540"/>
        </w:tabs>
        <w:ind w:left="540" w:hanging="540"/>
      </w:pPr>
      <w:r w:rsidRPr="008B3A0F">
        <w:t>Prodávající</w:t>
      </w:r>
      <w:r w:rsidR="00EE34E6" w:rsidRPr="008B3A0F">
        <w:t xml:space="preserve"> zajistí</w:t>
      </w:r>
      <w:r w:rsidR="007E01D9" w:rsidRPr="008B3A0F">
        <w:t xml:space="preserve"> </w:t>
      </w:r>
      <w:r w:rsidR="004263B2" w:rsidRPr="008B3A0F">
        <w:rPr>
          <w:rFonts w:cs="Calibri"/>
        </w:rPr>
        <w:t xml:space="preserve">poskytování </w:t>
      </w:r>
      <w:r w:rsidR="0020226E" w:rsidRPr="008B3A0F">
        <w:rPr>
          <w:rFonts w:cs="Calibri"/>
        </w:rPr>
        <w:t xml:space="preserve">záručního </w:t>
      </w:r>
      <w:r w:rsidR="004263B2" w:rsidRPr="008B3A0F">
        <w:rPr>
          <w:rFonts w:cs="Calibri"/>
        </w:rPr>
        <w:t xml:space="preserve">servisu a podpory pro dodávaný Předmět plnění </w:t>
      </w:r>
      <w:r w:rsidR="001A04F0" w:rsidRPr="008B3A0F">
        <w:t xml:space="preserve">plně v souladu se všemi doporučeními výrobce a manuály k Předmětu </w:t>
      </w:r>
      <w:proofErr w:type="gramStart"/>
      <w:r w:rsidR="001A04F0" w:rsidRPr="008B3A0F">
        <w:t>plnění</w:t>
      </w:r>
      <w:proofErr w:type="gramEnd"/>
      <w:r w:rsidR="001A04F0" w:rsidRPr="008B3A0F">
        <w:rPr>
          <w:rFonts w:cs="Calibri"/>
        </w:rPr>
        <w:t xml:space="preserve"> </w:t>
      </w:r>
      <w:r w:rsidR="004263B2" w:rsidRPr="008B3A0F">
        <w:rPr>
          <w:rFonts w:cs="Calibri"/>
        </w:rPr>
        <w:t>a to minimálně po dobu trvání záruky</w:t>
      </w:r>
      <w:r w:rsidR="008B3A0F" w:rsidRPr="008B3A0F">
        <w:rPr>
          <w:rFonts w:cs="Calibri"/>
        </w:rPr>
        <w:t xml:space="preserve"> dle čl. 5 této smlouvy</w:t>
      </w:r>
      <w:r w:rsidR="006549D0" w:rsidRPr="008B3A0F">
        <w:t>.</w:t>
      </w:r>
    </w:p>
    <w:p w14:paraId="200F0B20" w14:textId="77777777" w:rsidR="006549D0" w:rsidRPr="008B3A0F" w:rsidRDefault="006549D0" w:rsidP="009F59AE">
      <w:pPr>
        <w:ind w:left="0"/>
        <w:rPr>
          <w:lang w:val="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5F3744CD" w14:textId="11EC90BC" w:rsidR="00423AFA" w:rsidRPr="002C7D57" w:rsidRDefault="00423AFA" w:rsidP="002C7D57">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2C7D57">
        <w:rPr>
          <w:rFonts w:asciiTheme="minorHAnsi" w:eastAsia="Times New Roman" w:hAnsiTheme="minorHAnsi" w:cs="Arial"/>
          <w:sz w:val="22"/>
          <w:szCs w:val="22"/>
          <w:lang w:val="cs-CZ" w:eastAsia="cs-CZ"/>
        </w:rPr>
        <w:t xml:space="preserve"> a jeho vybalení</w:t>
      </w:r>
      <w:r w:rsidRPr="002C7D57">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70D23C44"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Předmětu plnění v českém nebo anglickém jazy</w:t>
      </w:r>
      <w:r w:rsidR="002E10A8" w:rsidRPr="008E5758">
        <w:rPr>
          <w:rFonts w:asciiTheme="minorHAnsi" w:hAnsiTheme="minorHAnsi" w:cs="Arial"/>
          <w:sz w:val="22"/>
          <w:szCs w:val="22"/>
          <w:lang w:val="cs-CZ"/>
        </w:rPr>
        <w:t>ce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3B534394"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t>zajištění bezplatného záručního se</w:t>
      </w:r>
      <w:r w:rsidR="006901EE" w:rsidRPr="00E22B34">
        <w:rPr>
          <w:rFonts w:asciiTheme="minorHAnsi" w:hAnsiTheme="minorHAnsi" w:cs="Arial"/>
          <w:sz w:val="22"/>
          <w:szCs w:val="22"/>
          <w:lang w:val="cs-CZ"/>
        </w:rPr>
        <w:t>rvisu Předmětu plnění dle čl.</w:t>
      </w:r>
      <w:r w:rsidRPr="00E22B34">
        <w:rPr>
          <w:rFonts w:asciiTheme="minorHAnsi" w:hAnsiTheme="minorHAnsi" w:cs="Arial"/>
          <w:sz w:val="22"/>
          <w:szCs w:val="22"/>
          <w:lang w:val="cs-CZ"/>
        </w:rPr>
        <w:t xml:space="preserve"> 5 této smlouvy a garance </w:t>
      </w:r>
      <w:r w:rsidR="00B80641" w:rsidRPr="00E22B34">
        <w:rPr>
          <w:rFonts w:asciiTheme="minorHAnsi" w:hAnsiTheme="minorHAnsi" w:cs="Arial"/>
          <w:sz w:val="22"/>
          <w:szCs w:val="22"/>
          <w:lang w:val="cs-CZ"/>
        </w:rPr>
        <w:t xml:space="preserve">dostupnosti </w:t>
      </w:r>
      <w:r w:rsidRPr="00E22B34">
        <w:rPr>
          <w:rFonts w:asciiTheme="minorHAnsi" w:hAnsiTheme="minorHAnsi" w:cs="Arial"/>
          <w:sz w:val="22"/>
          <w:szCs w:val="22"/>
          <w:lang w:val="cs-CZ"/>
        </w:rPr>
        <w:t xml:space="preserve">pozáručního servisu </w:t>
      </w:r>
      <w:r w:rsidR="00B80641" w:rsidRPr="00E22B34">
        <w:rPr>
          <w:rFonts w:asciiTheme="minorHAnsi" w:hAnsiTheme="minorHAnsi" w:cs="Arial"/>
          <w:sz w:val="22"/>
          <w:szCs w:val="22"/>
          <w:lang w:val="cs-CZ"/>
        </w:rPr>
        <w:t xml:space="preserve">a dostupnosti náhradních dílů minimálně </w:t>
      </w:r>
      <w:r w:rsidR="003C5836">
        <w:rPr>
          <w:rFonts w:asciiTheme="minorHAnsi" w:hAnsiTheme="minorHAnsi" w:cs="Arial"/>
          <w:sz w:val="22"/>
          <w:szCs w:val="22"/>
          <w:lang w:val="cs-CZ"/>
        </w:rPr>
        <w:t xml:space="preserve">po dobu </w:t>
      </w:r>
      <w:r w:rsidR="004C6C05" w:rsidRPr="00E22B34">
        <w:rPr>
          <w:rFonts w:asciiTheme="minorHAnsi" w:hAnsiTheme="minorHAnsi" w:cs="Arial"/>
          <w:sz w:val="22"/>
          <w:szCs w:val="22"/>
          <w:lang w:val="cs-CZ"/>
        </w:rPr>
        <w:t>2</w:t>
      </w:r>
      <w:r w:rsidR="003C5836">
        <w:rPr>
          <w:rFonts w:asciiTheme="minorHAnsi" w:hAnsiTheme="minorHAnsi" w:cs="Arial"/>
          <w:sz w:val="22"/>
          <w:szCs w:val="22"/>
          <w:lang w:val="cs-CZ"/>
        </w:rPr>
        <w:t>4</w:t>
      </w:r>
      <w:r w:rsidRPr="00E22B34">
        <w:rPr>
          <w:rFonts w:asciiTheme="minorHAnsi" w:hAnsiTheme="minorHAnsi" w:cs="Arial"/>
          <w:sz w:val="22"/>
          <w:szCs w:val="22"/>
          <w:lang w:val="cs-CZ"/>
        </w:rPr>
        <w:t xml:space="preserve"> (slovy: </w:t>
      </w:r>
      <w:r w:rsidR="00992A82" w:rsidRPr="00E22B34">
        <w:rPr>
          <w:rFonts w:asciiTheme="minorHAnsi" w:hAnsiTheme="minorHAnsi" w:cs="Arial"/>
          <w:sz w:val="22"/>
          <w:szCs w:val="22"/>
          <w:lang w:val="cs-CZ"/>
        </w:rPr>
        <w:t>dva</w:t>
      </w:r>
      <w:r w:rsidR="003C5836">
        <w:rPr>
          <w:rFonts w:asciiTheme="minorHAnsi" w:hAnsiTheme="minorHAnsi" w:cs="Arial"/>
          <w:sz w:val="22"/>
          <w:szCs w:val="22"/>
          <w:lang w:val="cs-CZ"/>
        </w:rPr>
        <w:t>ce</w:t>
      </w:r>
      <w:r w:rsidR="004C6C05" w:rsidRPr="00E22B34">
        <w:rPr>
          <w:rFonts w:asciiTheme="minorHAnsi" w:hAnsiTheme="minorHAnsi" w:cs="Arial"/>
          <w:sz w:val="22"/>
          <w:szCs w:val="22"/>
          <w:lang w:val="cs-CZ"/>
        </w:rPr>
        <w:t>ti</w:t>
      </w:r>
      <w:r w:rsidR="003C5836">
        <w:rPr>
          <w:rFonts w:asciiTheme="minorHAnsi" w:hAnsiTheme="minorHAnsi" w:cs="Arial"/>
          <w:sz w:val="22"/>
          <w:szCs w:val="22"/>
          <w:lang w:val="cs-CZ"/>
        </w:rPr>
        <w:t xml:space="preserve"> čtyř</w:t>
      </w:r>
      <w:r w:rsidRPr="00E22B34">
        <w:rPr>
          <w:rFonts w:asciiTheme="minorHAnsi" w:hAnsiTheme="minorHAnsi" w:cs="Arial"/>
          <w:sz w:val="22"/>
          <w:szCs w:val="22"/>
          <w:lang w:val="cs-CZ"/>
        </w:rPr>
        <w:t>) kalendářních měsíců</w:t>
      </w:r>
      <w:r w:rsidR="00965B4C" w:rsidRPr="00E22B34">
        <w:rPr>
          <w:rFonts w:asciiTheme="minorHAnsi" w:hAnsiTheme="minorHAnsi" w:cs="Arial"/>
          <w:sz w:val="22"/>
          <w:szCs w:val="22"/>
          <w:lang w:val="cs-CZ"/>
        </w:rPr>
        <w:t xml:space="preserve"> ode dne </w:t>
      </w:r>
      <w:r w:rsidRPr="00E22B34">
        <w:rPr>
          <w:rFonts w:asciiTheme="minorHAnsi" w:hAnsiTheme="minorHAnsi" w:cs="Arial"/>
          <w:sz w:val="22"/>
          <w:szCs w:val="22"/>
          <w:lang w:val="cs-CZ"/>
        </w:rPr>
        <w:t>skončení záruční doby,</w:t>
      </w:r>
    </w:p>
    <w:p w14:paraId="483BE6AC" w14:textId="77777777"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lastRenderedPageBreak/>
        <w:t xml:space="preserve">1x bezplatná preventivní prohlídka </w:t>
      </w:r>
      <w:r w:rsidR="00965B4C" w:rsidRPr="00E22B34">
        <w:rPr>
          <w:rFonts w:asciiTheme="minorHAnsi" w:hAnsiTheme="minorHAnsi" w:cs="Arial"/>
          <w:sz w:val="22"/>
          <w:szCs w:val="22"/>
          <w:lang w:val="cs-CZ"/>
        </w:rPr>
        <w:t>P</w:t>
      </w:r>
      <w:r w:rsidRPr="00E22B34">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191E9470"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5D3FA9">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5D3FA9">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5D3FA9">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5D3FA9">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5D3FA9">
        <w:rPr>
          <w:rFonts w:asciiTheme="minorHAnsi" w:eastAsia="Times New Roman" w:hAnsiTheme="minorHAnsi" w:cs="Arial"/>
          <w:sz w:val="22"/>
          <w:szCs w:val="22"/>
          <w:lang w:val="cs-CZ" w:eastAsia="cs-CZ"/>
        </w:rPr>
        <w:t>1</w:t>
      </w:r>
      <w:r w:rsidR="002C7D57">
        <w:rPr>
          <w:rFonts w:asciiTheme="minorHAnsi" w:eastAsia="Times New Roman" w:hAnsiTheme="minorHAnsi" w:cs="Arial"/>
          <w:sz w:val="22"/>
          <w:szCs w:val="22"/>
          <w:lang w:val="cs-CZ" w:eastAsia="cs-CZ"/>
        </w:rPr>
        <w:t xml:space="preserve"> kus</w:t>
      </w:r>
      <w:r w:rsidR="005D3FA9">
        <w:rPr>
          <w:rFonts w:asciiTheme="minorHAnsi" w:eastAsia="Times New Roman" w:hAnsiTheme="minorHAnsi" w:cs="Arial"/>
          <w:sz w:val="22"/>
          <w:szCs w:val="22"/>
          <w:lang w:val="cs-CZ" w:eastAsia="cs-CZ"/>
        </w:rPr>
        <w:t xml:space="preserve"> </w:t>
      </w:r>
      <w:proofErr w:type="spellStart"/>
      <w:r w:rsidR="005D3FA9">
        <w:rPr>
          <w:rFonts w:asciiTheme="minorHAnsi" w:eastAsia="Times New Roman" w:hAnsiTheme="minorHAnsi" w:cs="Arial"/>
          <w:sz w:val="22"/>
          <w:szCs w:val="22"/>
          <w:lang w:val="cs-CZ" w:eastAsia="cs-CZ"/>
        </w:rPr>
        <w:t>hlubokomrazícího</w:t>
      </w:r>
      <w:proofErr w:type="spellEnd"/>
      <w:r w:rsidR="005D3FA9">
        <w:rPr>
          <w:rFonts w:asciiTheme="minorHAnsi" w:eastAsia="Times New Roman" w:hAnsiTheme="minorHAnsi" w:cs="Arial"/>
          <w:sz w:val="22"/>
          <w:szCs w:val="22"/>
          <w:lang w:val="cs-CZ" w:eastAsia="cs-CZ"/>
        </w:rPr>
        <w:t xml:space="preserve"> boxu</w:t>
      </w:r>
      <w:r w:rsidR="005B750C">
        <w:rPr>
          <w:rFonts w:asciiTheme="minorHAnsi" w:eastAsia="Times New Roman" w:hAnsiTheme="minorHAnsi" w:cs="Arial"/>
          <w:sz w:val="22"/>
          <w:szCs w:val="22"/>
          <w:lang w:val="cs-CZ" w:eastAsia="cs-CZ"/>
        </w:rPr>
        <w:t>, včetně veškerého příslušenství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30EF83DB" w:rsidR="006549D0" w:rsidRPr="005E7F16" w:rsidRDefault="006549D0" w:rsidP="009F59AE">
      <w:pPr>
        <w:widowControl w:val="0"/>
        <w:ind w:left="0" w:firstLine="540"/>
        <w:jc w:val="both"/>
        <w:rPr>
          <w:rFonts w:asciiTheme="minorHAnsi" w:eastAsia="Times New Roman" w:hAnsiTheme="minorHAnsi" w:cs="Arial"/>
          <w:bCs/>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5E7F16" w:rsidRPr="005E7F16">
        <w:rPr>
          <w:rFonts w:asciiTheme="minorHAnsi" w:eastAsia="Times New Roman" w:hAnsiTheme="minorHAnsi" w:cs="Arial"/>
          <w:bCs/>
          <w:sz w:val="22"/>
          <w:szCs w:val="22"/>
          <w:lang w:val="cs-CZ" w:eastAsia="cs-CZ"/>
        </w:rPr>
        <w:t>424 159,20</w:t>
      </w:r>
      <w:r w:rsidRPr="005E7F16">
        <w:rPr>
          <w:rFonts w:asciiTheme="minorHAnsi" w:eastAsia="Times New Roman" w:hAnsiTheme="minorHAnsi" w:cs="Arial"/>
          <w:bCs/>
          <w:sz w:val="22"/>
          <w:szCs w:val="22"/>
          <w:lang w:val="cs-CZ" w:eastAsia="cs-CZ"/>
        </w:rPr>
        <w:t xml:space="preserve"> Kč</w:t>
      </w:r>
    </w:p>
    <w:p w14:paraId="351362E5" w14:textId="1C2C89C8" w:rsidR="006549D0" w:rsidRPr="005E7F16" w:rsidRDefault="006549D0" w:rsidP="009F59AE">
      <w:pPr>
        <w:widowControl w:val="0"/>
        <w:ind w:left="0" w:firstLine="540"/>
        <w:jc w:val="both"/>
        <w:rPr>
          <w:rFonts w:asciiTheme="minorHAnsi" w:eastAsia="Times New Roman" w:hAnsiTheme="minorHAnsi" w:cs="Arial"/>
          <w:bCs/>
          <w:sz w:val="22"/>
          <w:szCs w:val="22"/>
          <w:lang w:val="cs-CZ" w:eastAsia="cs-CZ"/>
        </w:rPr>
      </w:pPr>
      <w:r w:rsidRPr="005E7F16">
        <w:rPr>
          <w:rFonts w:asciiTheme="minorHAnsi" w:eastAsia="Times New Roman" w:hAnsiTheme="minorHAnsi" w:cs="Arial"/>
          <w:bCs/>
          <w:sz w:val="22"/>
          <w:szCs w:val="22"/>
          <w:lang w:val="cs-CZ" w:eastAsia="cs-CZ"/>
        </w:rPr>
        <w:t xml:space="preserve">DPH  </w:t>
      </w:r>
      <w:r w:rsidR="005E7F16" w:rsidRPr="005E7F16">
        <w:rPr>
          <w:rFonts w:asciiTheme="minorHAnsi" w:eastAsia="Times New Roman" w:hAnsiTheme="minorHAnsi" w:cs="Arial"/>
          <w:bCs/>
          <w:sz w:val="22"/>
          <w:szCs w:val="22"/>
          <w:lang w:val="cs-CZ" w:eastAsia="cs-CZ"/>
        </w:rPr>
        <w:t>21 %</w:t>
      </w:r>
      <w:r w:rsidRPr="005E7F16">
        <w:rPr>
          <w:rFonts w:asciiTheme="minorHAnsi" w:eastAsia="Times New Roman" w:hAnsiTheme="minorHAnsi" w:cs="Arial"/>
          <w:bCs/>
          <w:sz w:val="22"/>
          <w:szCs w:val="22"/>
          <w:lang w:val="cs-CZ" w:eastAsia="cs-CZ"/>
        </w:rPr>
        <w:t xml:space="preserve"> </w:t>
      </w:r>
      <w:r w:rsidRPr="005E7F16">
        <w:rPr>
          <w:rFonts w:asciiTheme="minorHAnsi" w:eastAsia="Times New Roman" w:hAnsiTheme="minorHAnsi" w:cs="Arial"/>
          <w:bCs/>
          <w:sz w:val="22"/>
          <w:szCs w:val="22"/>
          <w:lang w:val="cs-CZ" w:eastAsia="cs-CZ"/>
        </w:rPr>
        <w:tab/>
      </w:r>
      <w:proofErr w:type="gramStart"/>
      <w:r w:rsidRPr="005E7F16">
        <w:rPr>
          <w:rFonts w:asciiTheme="minorHAnsi" w:eastAsia="Times New Roman" w:hAnsiTheme="minorHAnsi" w:cs="Arial"/>
          <w:bCs/>
          <w:sz w:val="22"/>
          <w:szCs w:val="22"/>
          <w:lang w:val="cs-CZ" w:eastAsia="cs-CZ"/>
        </w:rPr>
        <w:tab/>
      </w:r>
      <w:r w:rsidR="005E7F16" w:rsidRPr="005E7F16">
        <w:rPr>
          <w:rFonts w:asciiTheme="minorHAnsi" w:eastAsia="Times New Roman" w:hAnsiTheme="minorHAnsi" w:cs="Arial"/>
          <w:bCs/>
          <w:sz w:val="22"/>
          <w:szCs w:val="22"/>
          <w:lang w:val="cs-CZ" w:eastAsia="cs-CZ"/>
        </w:rPr>
        <w:t xml:space="preserve">  89</w:t>
      </w:r>
      <w:proofErr w:type="gramEnd"/>
      <w:r w:rsidR="005E7F16" w:rsidRPr="005E7F16">
        <w:rPr>
          <w:rFonts w:asciiTheme="minorHAnsi" w:eastAsia="Times New Roman" w:hAnsiTheme="minorHAnsi" w:cs="Arial"/>
          <w:bCs/>
          <w:sz w:val="22"/>
          <w:szCs w:val="22"/>
          <w:lang w:val="cs-CZ" w:eastAsia="cs-CZ"/>
        </w:rPr>
        <w:t xml:space="preserve"> 073,44 </w:t>
      </w:r>
      <w:r w:rsidRPr="005E7F16">
        <w:rPr>
          <w:rFonts w:asciiTheme="minorHAnsi" w:eastAsia="Times New Roman" w:hAnsiTheme="minorHAnsi" w:cs="Arial"/>
          <w:bCs/>
          <w:sz w:val="22"/>
          <w:szCs w:val="22"/>
          <w:lang w:val="cs-CZ" w:eastAsia="cs-CZ"/>
        </w:rPr>
        <w:t>Kč</w:t>
      </w:r>
    </w:p>
    <w:p w14:paraId="43C5AA0E" w14:textId="4D9D0744" w:rsidR="006549D0" w:rsidRPr="005E7F16" w:rsidRDefault="006549D0" w:rsidP="009F59AE">
      <w:pPr>
        <w:widowControl w:val="0"/>
        <w:ind w:left="0" w:firstLine="540"/>
        <w:jc w:val="both"/>
        <w:rPr>
          <w:rFonts w:asciiTheme="minorHAnsi" w:eastAsia="Times New Roman" w:hAnsiTheme="minorHAnsi" w:cs="Arial"/>
          <w:bCs/>
          <w:sz w:val="22"/>
          <w:szCs w:val="22"/>
          <w:lang w:val="cs-CZ" w:eastAsia="cs-CZ"/>
        </w:rPr>
      </w:pPr>
      <w:r w:rsidRPr="005E7F16">
        <w:rPr>
          <w:rFonts w:asciiTheme="minorHAnsi" w:eastAsia="Times New Roman" w:hAnsiTheme="minorHAnsi" w:cs="Arial"/>
          <w:bCs/>
          <w:sz w:val="22"/>
          <w:szCs w:val="22"/>
          <w:lang w:val="cs-CZ" w:eastAsia="cs-CZ"/>
        </w:rPr>
        <w:t>Cena s DPH</w:t>
      </w:r>
      <w:r w:rsidRPr="005E7F16">
        <w:rPr>
          <w:rFonts w:asciiTheme="minorHAnsi" w:eastAsia="Times New Roman" w:hAnsiTheme="minorHAnsi" w:cs="Arial"/>
          <w:bCs/>
          <w:sz w:val="22"/>
          <w:szCs w:val="22"/>
          <w:lang w:val="cs-CZ" w:eastAsia="cs-CZ"/>
        </w:rPr>
        <w:tab/>
      </w:r>
      <w:r w:rsidRPr="005E7F16">
        <w:rPr>
          <w:rFonts w:asciiTheme="minorHAnsi" w:eastAsia="Times New Roman" w:hAnsiTheme="minorHAnsi" w:cs="Arial"/>
          <w:bCs/>
          <w:sz w:val="22"/>
          <w:szCs w:val="22"/>
          <w:lang w:val="cs-CZ" w:eastAsia="cs-CZ"/>
        </w:rPr>
        <w:tab/>
      </w:r>
      <w:r w:rsidR="005E7F16" w:rsidRPr="005E7F16">
        <w:rPr>
          <w:rFonts w:asciiTheme="minorHAnsi" w:eastAsia="Times New Roman" w:hAnsiTheme="minorHAnsi" w:cs="Arial"/>
          <w:bCs/>
          <w:sz w:val="22"/>
          <w:szCs w:val="22"/>
          <w:lang w:val="cs-CZ" w:eastAsia="cs-CZ"/>
        </w:rPr>
        <w:t>513 232,64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6506B945"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014224">
        <w:rPr>
          <w:rFonts w:asciiTheme="minorHAnsi" w:eastAsia="Times New Roman" w:hAnsiTheme="minorHAnsi" w:cs="Arial"/>
          <w:sz w:val="22"/>
          <w:szCs w:val="22"/>
          <w:lang w:val="cs-CZ" w:eastAsia="cs-CZ"/>
        </w:rPr>
        <w:t>8</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smlouva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a po uvedení Předmětu plnění do provozu.</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6A7AA585"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Kupní cena bude uhrazena po řádném předání Předmětu plnění (tj. bez jakýchkoli vad a nedodělků)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2B07BE9E"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21AC04FA"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w:t>
      </w:r>
      <w:r w:rsidRPr="00225046">
        <w:rPr>
          <w:rFonts w:asciiTheme="minorHAnsi" w:eastAsia="Times New Roman" w:hAnsiTheme="minorHAnsi" w:cs="Arial"/>
          <w:iCs/>
          <w:sz w:val="22"/>
          <w:szCs w:val="22"/>
          <w:lang w:val="cs-CZ" w:eastAsia="cs-CZ"/>
        </w:rPr>
        <w:lastRenderedPageBreak/>
        <w:t xml:space="preserve">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a dále povinný údaj ve formátu „</w:t>
      </w:r>
      <w:r w:rsidR="0069382E" w:rsidRPr="0069382E">
        <w:rPr>
          <w:rFonts w:asciiTheme="minorHAnsi" w:eastAsia="Times New Roman" w:hAnsiTheme="minorHAnsi" w:cs="Arial"/>
          <w:i/>
          <w:iCs/>
          <w:sz w:val="22"/>
          <w:szCs w:val="22"/>
          <w:lang w:val="cs-CZ" w:eastAsia="cs-CZ"/>
        </w:rPr>
        <w:t xml:space="preserve">Financováno Evropskou unií – </w:t>
      </w:r>
      <w:proofErr w:type="spellStart"/>
      <w:r w:rsidR="0069382E" w:rsidRPr="0069382E">
        <w:rPr>
          <w:rFonts w:asciiTheme="minorHAnsi" w:eastAsia="Times New Roman" w:hAnsiTheme="minorHAnsi" w:cs="Arial"/>
          <w:i/>
          <w:iCs/>
          <w:sz w:val="22"/>
          <w:szCs w:val="22"/>
          <w:lang w:val="cs-CZ" w:eastAsia="cs-CZ"/>
        </w:rPr>
        <w:t>Next</w:t>
      </w:r>
      <w:proofErr w:type="spellEnd"/>
      <w:r w:rsidR="0069382E" w:rsidRPr="0069382E">
        <w:rPr>
          <w:rFonts w:asciiTheme="minorHAnsi" w:eastAsia="Times New Roman" w:hAnsiTheme="minorHAnsi" w:cs="Arial"/>
          <w:i/>
          <w:iCs/>
          <w:sz w:val="22"/>
          <w:szCs w:val="22"/>
          <w:lang w:val="cs-CZ" w:eastAsia="cs-CZ"/>
        </w:rPr>
        <w:t xml:space="preserve"> </w:t>
      </w:r>
      <w:proofErr w:type="spellStart"/>
      <w:r w:rsidR="0069382E" w:rsidRPr="0069382E">
        <w:rPr>
          <w:rFonts w:asciiTheme="minorHAnsi" w:eastAsia="Times New Roman" w:hAnsiTheme="minorHAnsi" w:cs="Arial"/>
          <w:i/>
          <w:iCs/>
          <w:sz w:val="22"/>
          <w:szCs w:val="22"/>
          <w:lang w:val="cs-CZ" w:eastAsia="cs-CZ"/>
        </w:rPr>
        <w:t>Generation</w:t>
      </w:r>
      <w:proofErr w:type="spellEnd"/>
      <w:r w:rsidR="0069382E" w:rsidRPr="0069382E">
        <w:rPr>
          <w:rFonts w:asciiTheme="minorHAnsi" w:eastAsia="Times New Roman" w:hAnsiTheme="minorHAnsi" w:cs="Arial"/>
          <w:i/>
          <w:iCs/>
          <w:sz w:val="22"/>
          <w:szCs w:val="22"/>
          <w:lang w:val="cs-CZ" w:eastAsia="cs-CZ"/>
        </w:rPr>
        <w:t xml:space="preserve"> EU, registrační číslo Projektu: LX22NPO5103</w:t>
      </w:r>
      <w:r w:rsidR="0069382E">
        <w:rPr>
          <w:rFonts w:asciiTheme="minorHAnsi" w:eastAsia="Times New Roman" w:hAnsiTheme="minorHAnsi" w:cs="Arial"/>
          <w:iCs/>
          <w:sz w:val="22"/>
          <w:szCs w:val="22"/>
          <w:lang w:val="cs-CZ" w:eastAsia="cs-CZ"/>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proofErr w:type="spellStart"/>
      <w:r w:rsidR="001D6B65" w:rsidRPr="001D6B65">
        <w:rPr>
          <w:rFonts w:asciiTheme="minorHAnsi" w:eastAsia="Times New Roman" w:hAnsiTheme="minorHAnsi" w:cs="Arial"/>
          <w:iCs/>
          <w:sz w:val="22"/>
          <w:szCs w:val="22"/>
          <w:highlight w:val="yellow"/>
          <w:lang w:val="cs-CZ" w:eastAsia="cs-CZ"/>
        </w:rPr>
        <w:t>xxx</w:t>
      </w:r>
      <w:proofErr w:type="spellEnd"/>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3510560B"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CF7917">
        <w:rPr>
          <w:rFonts w:asciiTheme="minorHAnsi" w:eastAsia="Times New Roman" w:hAnsiTheme="minorHAnsi" w:cs="Arial"/>
          <w:sz w:val="22"/>
          <w:szCs w:val="22"/>
          <w:lang w:val="cs-CZ" w:eastAsia="cs-CZ"/>
        </w:rPr>
        <w:t xml:space="preserve"> se zavazuje dodat a </w:t>
      </w:r>
      <w:r w:rsidR="006549D0" w:rsidRPr="00225046">
        <w:rPr>
          <w:rFonts w:asciiTheme="minorHAnsi" w:eastAsia="Times New Roman" w:hAnsiTheme="minorHAnsi" w:cs="Arial"/>
          <w:sz w:val="22"/>
          <w:szCs w:val="22"/>
          <w:lang w:val="cs-CZ" w:eastAsia="cs-CZ"/>
        </w:rPr>
        <w:t xml:space="preserve">předat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w:t>
      </w:r>
      <w:r w:rsidR="00FE1AB0">
        <w:rPr>
          <w:rFonts w:asciiTheme="minorHAnsi" w:eastAsia="Times New Roman" w:hAnsiTheme="minorHAnsi" w:cs="Arial"/>
          <w:sz w:val="22"/>
          <w:szCs w:val="22"/>
          <w:lang w:val="cs-CZ" w:eastAsia="cs-CZ"/>
        </w:rPr>
        <w:t xml:space="preserve"> </w:t>
      </w:r>
      <w:r w:rsidR="00CC6B87">
        <w:rPr>
          <w:rFonts w:asciiTheme="minorHAnsi" w:eastAsia="Times New Roman" w:hAnsiTheme="minorHAnsi" w:cs="Arial"/>
          <w:sz w:val="22"/>
          <w:szCs w:val="22"/>
          <w:lang w:val="cs-CZ" w:eastAsia="cs-CZ"/>
        </w:rPr>
        <w:t xml:space="preserve">a nainstalovat </w:t>
      </w:r>
      <w:r w:rsidR="00CF7917">
        <w:rPr>
          <w:rFonts w:asciiTheme="minorHAnsi" w:eastAsia="Times New Roman" w:hAnsiTheme="minorHAnsi" w:cs="Arial"/>
          <w:sz w:val="22"/>
          <w:szCs w:val="22"/>
          <w:lang w:val="cs-CZ" w:eastAsia="cs-CZ"/>
        </w:rPr>
        <w:t>Předmět smlouvy</w:t>
      </w:r>
      <w:r w:rsidR="00061348">
        <w:rPr>
          <w:rFonts w:asciiTheme="minorHAnsi" w:eastAsia="Times New Roman" w:hAnsiTheme="minorHAnsi" w:cs="Arial"/>
          <w:sz w:val="22"/>
          <w:szCs w:val="22"/>
          <w:lang w:val="cs-CZ" w:eastAsia="cs-CZ"/>
        </w:rPr>
        <w:t xml:space="preserve"> v místě plnění</w:t>
      </w:r>
      <w:r w:rsidR="00CC6B87">
        <w:rPr>
          <w:rFonts w:asciiTheme="minorHAnsi" w:eastAsia="Times New Roman" w:hAnsiTheme="minorHAnsi" w:cs="Arial"/>
          <w:sz w:val="22"/>
          <w:szCs w:val="22"/>
          <w:lang w:val="cs-CZ" w:eastAsia="cs-CZ"/>
        </w:rPr>
        <w:t xml:space="preserve"> nejpozději</w:t>
      </w:r>
      <w:r w:rsidR="006549D0" w:rsidRPr="00225046">
        <w:rPr>
          <w:rFonts w:asciiTheme="minorHAnsi" w:eastAsia="Times New Roman" w:hAnsiTheme="minorHAnsi" w:cs="Arial"/>
          <w:sz w:val="22"/>
          <w:szCs w:val="22"/>
          <w:lang w:val="cs-CZ" w:eastAsia="cs-CZ"/>
        </w:rPr>
        <w:t xml:space="preserve"> </w:t>
      </w:r>
      <w:r w:rsidR="006549D0" w:rsidRPr="008E5758">
        <w:rPr>
          <w:rFonts w:asciiTheme="minorHAnsi" w:eastAsia="Times New Roman" w:hAnsiTheme="minorHAnsi" w:cs="Arial"/>
          <w:b/>
          <w:sz w:val="22"/>
          <w:szCs w:val="22"/>
          <w:lang w:val="cs-CZ" w:eastAsia="cs-CZ"/>
        </w:rPr>
        <w:t>do</w:t>
      </w:r>
      <w:r w:rsidR="002E10A8" w:rsidRPr="008E5758">
        <w:rPr>
          <w:rFonts w:asciiTheme="minorHAnsi" w:eastAsia="Times New Roman" w:hAnsiTheme="minorHAnsi" w:cs="Arial"/>
          <w:b/>
          <w:sz w:val="22"/>
          <w:szCs w:val="22"/>
          <w:lang w:val="cs-CZ" w:eastAsia="cs-CZ"/>
        </w:rPr>
        <w:t xml:space="preserve"> </w:t>
      </w:r>
      <w:r w:rsidR="001A0813">
        <w:rPr>
          <w:rFonts w:asciiTheme="minorHAnsi" w:eastAsia="Times New Roman" w:hAnsiTheme="minorHAnsi" w:cs="Arial"/>
          <w:b/>
          <w:sz w:val="22"/>
          <w:szCs w:val="22"/>
          <w:lang w:val="cs-CZ" w:eastAsia="cs-CZ"/>
        </w:rPr>
        <w:t>tří</w:t>
      </w:r>
      <w:r w:rsidR="00AB1324" w:rsidRPr="00F508C7">
        <w:rPr>
          <w:rFonts w:asciiTheme="minorHAnsi" w:eastAsia="Times New Roman" w:hAnsiTheme="minorHAnsi" w:cs="Arial"/>
          <w:b/>
          <w:sz w:val="22"/>
          <w:szCs w:val="22"/>
          <w:lang w:val="cs-CZ" w:eastAsia="cs-CZ"/>
        </w:rPr>
        <w:t xml:space="preserve"> (</w:t>
      </w:r>
      <w:r w:rsidR="001A0813">
        <w:rPr>
          <w:rFonts w:asciiTheme="minorHAnsi" w:eastAsia="Times New Roman" w:hAnsiTheme="minorHAnsi" w:cs="Arial"/>
          <w:b/>
          <w:sz w:val="22"/>
          <w:szCs w:val="22"/>
          <w:lang w:val="cs-CZ" w:eastAsia="cs-CZ"/>
        </w:rPr>
        <w:t>3</w:t>
      </w:r>
      <w:r w:rsidR="00AB1324" w:rsidRPr="00F508C7">
        <w:rPr>
          <w:rFonts w:asciiTheme="minorHAnsi" w:eastAsia="Times New Roman" w:hAnsiTheme="minorHAnsi" w:cs="Arial"/>
          <w:b/>
          <w:sz w:val="22"/>
          <w:szCs w:val="22"/>
          <w:lang w:val="cs-CZ" w:eastAsia="cs-CZ"/>
        </w:rPr>
        <w:t>)</w:t>
      </w:r>
      <w:r w:rsidR="00722DE6" w:rsidRPr="00F508C7">
        <w:rPr>
          <w:rFonts w:asciiTheme="minorHAnsi" w:eastAsia="Times New Roman" w:hAnsiTheme="minorHAnsi" w:cs="Arial"/>
          <w:b/>
          <w:sz w:val="22"/>
          <w:szCs w:val="22"/>
          <w:lang w:val="cs-CZ" w:eastAsia="cs-CZ"/>
        </w:rPr>
        <w:t xml:space="preserve"> </w:t>
      </w:r>
      <w:r w:rsidR="002E10A8" w:rsidRPr="00F508C7">
        <w:rPr>
          <w:rFonts w:asciiTheme="minorHAnsi" w:eastAsia="Times New Roman" w:hAnsiTheme="minorHAnsi" w:cs="Arial"/>
          <w:b/>
          <w:sz w:val="22"/>
          <w:szCs w:val="22"/>
          <w:lang w:val="cs-CZ" w:eastAsia="cs-CZ"/>
        </w:rPr>
        <w:t xml:space="preserve">kalendářních </w:t>
      </w:r>
      <w:r w:rsidR="00AB1324" w:rsidRPr="00F508C7">
        <w:rPr>
          <w:rFonts w:asciiTheme="minorHAnsi" w:eastAsia="Times New Roman" w:hAnsiTheme="minorHAnsi" w:cs="Arial"/>
          <w:b/>
          <w:sz w:val="22"/>
          <w:szCs w:val="22"/>
          <w:lang w:val="cs-CZ" w:eastAsia="cs-CZ"/>
        </w:rPr>
        <w:t>tý</w:t>
      </w:r>
      <w:r w:rsidR="002E10A8" w:rsidRPr="00F508C7">
        <w:rPr>
          <w:rFonts w:asciiTheme="minorHAnsi" w:eastAsia="Times New Roman" w:hAnsiTheme="minorHAnsi" w:cs="Arial"/>
          <w:b/>
          <w:sz w:val="22"/>
          <w:szCs w:val="22"/>
          <w:lang w:val="cs-CZ" w:eastAsia="cs-CZ"/>
        </w:rPr>
        <w:t>dnů</w:t>
      </w:r>
      <w:r w:rsidR="006549D0" w:rsidRPr="00F508C7">
        <w:rPr>
          <w:rFonts w:asciiTheme="minorHAnsi" w:eastAsia="Times New Roman" w:hAnsiTheme="minorHAnsi" w:cs="Arial"/>
          <w:b/>
          <w:sz w:val="22"/>
          <w:szCs w:val="22"/>
          <w:lang w:val="cs-CZ" w:eastAsia="cs-CZ"/>
        </w:rPr>
        <w:t xml:space="preserve"> ode dne účinnosti této smlouvy</w:t>
      </w:r>
      <w:r w:rsidR="006549D0" w:rsidRPr="00F508C7">
        <w:rPr>
          <w:rFonts w:asciiTheme="minorHAnsi" w:eastAsia="Times New Roman" w:hAnsiTheme="minorHAnsi" w:cs="Arial"/>
          <w:sz w:val="22"/>
          <w:szCs w:val="22"/>
          <w:lang w:val="cs-CZ" w:eastAsia="cs-CZ"/>
        </w:rPr>
        <w:t>.</w:t>
      </w:r>
      <w:r w:rsidR="006549D0" w:rsidRPr="008E5758">
        <w:rPr>
          <w:rFonts w:asciiTheme="minorHAnsi" w:eastAsia="Times New Roman" w:hAnsiTheme="minorHAnsi" w:cs="Arial"/>
          <w:sz w:val="22"/>
          <w:szCs w:val="22"/>
          <w:lang w:val="cs-CZ" w:eastAsia="cs-CZ"/>
        </w:rPr>
        <w:t xml:space="preserve"> Ohledně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min. 5 pracovních dnů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7D909E37" w:rsidR="002E10A8" w:rsidRPr="008E5758"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7D1997">
        <w:rPr>
          <w:rFonts w:asciiTheme="minorHAnsi" w:eastAsia="Times New Roman" w:hAnsiTheme="minorHAnsi" w:cstheme="minorHAnsi"/>
          <w:sz w:val="22"/>
          <w:szCs w:val="22"/>
          <w:lang w:val="cs-CZ" w:eastAsia="cs-CZ"/>
        </w:rPr>
        <w:t>sídlo</w:t>
      </w:r>
      <w:r w:rsidR="002E10A8" w:rsidRPr="008E5758">
        <w:rPr>
          <w:rFonts w:asciiTheme="minorHAnsi" w:eastAsia="Times New Roman" w:hAnsiTheme="minorHAnsi" w:cstheme="minorHAnsi"/>
          <w:sz w:val="22"/>
          <w:szCs w:val="22"/>
          <w:lang w:val="cs-CZ" w:eastAsia="cs-CZ"/>
        </w:rPr>
        <w:t xml:space="preserve"> </w:t>
      </w:r>
      <w:proofErr w:type="gramStart"/>
      <w:r w:rsidR="002E10A8" w:rsidRPr="008E5758">
        <w:rPr>
          <w:rFonts w:asciiTheme="minorHAnsi" w:eastAsia="Times New Roman" w:hAnsiTheme="minorHAnsi" w:cstheme="minorHAnsi"/>
          <w:sz w:val="22"/>
          <w:szCs w:val="22"/>
          <w:lang w:val="cs-CZ" w:eastAsia="cs-CZ"/>
        </w:rPr>
        <w:t>zadavatele  -</w:t>
      </w:r>
      <w:proofErr w:type="gramEnd"/>
      <w:r w:rsidR="002E10A8" w:rsidRPr="008E5758">
        <w:rPr>
          <w:rFonts w:asciiTheme="minorHAnsi" w:eastAsia="Times New Roman" w:hAnsiTheme="minorHAnsi" w:cstheme="minorHAnsi"/>
          <w:sz w:val="22"/>
          <w:szCs w:val="22"/>
          <w:lang w:val="cs-CZ" w:eastAsia="cs-CZ"/>
        </w:rPr>
        <w:t xml:space="preserve">  </w:t>
      </w:r>
      <w:r w:rsidR="007D1997">
        <w:rPr>
          <w:rFonts w:asciiTheme="minorHAnsi" w:eastAsia="Times New Roman" w:hAnsiTheme="minorHAnsi" w:cstheme="minorHAnsi"/>
          <w:sz w:val="22"/>
          <w:szCs w:val="22"/>
          <w:lang w:val="cs-CZ" w:eastAsia="cs-CZ"/>
        </w:rPr>
        <w:t>Vídeňská 1083, 142 20 Praha 4, budova F</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9F537F" w:rsidRDefault="009F537F" w:rsidP="009F537F">
      <w:pPr>
        <w:ind w:left="0"/>
        <w:rPr>
          <w:rFonts w:asciiTheme="minorHAnsi" w:hAnsiTheme="minorHAnsi" w:cstheme="minorHAnsi"/>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F24FB6" w:rsidRDefault="009F537F" w:rsidP="009F537F">
      <w:pPr>
        <w:ind w:left="0"/>
        <w:rPr>
          <w:rFonts w:asciiTheme="minorHAnsi" w:hAnsiTheme="minorHAnsi" w:cstheme="minorHAnsi"/>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2EFBEFA1"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546E25" w:rsidRPr="0041656B">
        <w:rPr>
          <w:rFonts w:asciiTheme="minorHAnsi" w:eastAsia="Times New Roman" w:hAnsiTheme="minorHAnsi" w:cs="Arial"/>
          <w:b/>
          <w:sz w:val="22"/>
          <w:szCs w:val="22"/>
          <w:lang w:val="cs-CZ" w:eastAsia="cs-CZ"/>
        </w:rPr>
        <w:t>24 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5E7F16" w:rsidRPr="005E7F16">
        <w:rPr>
          <w:rFonts w:asciiTheme="minorHAnsi" w:hAnsiTheme="minorHAnsi" w:cs="Arial"/>
          <w:sz w:val="22"/>
          <w:szCs w:val="22"/>
          <w:shd w:val="clear" w:color="auto" w:fill="E7E6E6" w:themeFill="background2"/>
        </w:rPr>
        <w:t xml:space="preserve">24 </w:t>
      </w:r>
      <w:proofErr w:type="spellStart"/>
      <w:r w:rsidR="005E7F16" w:rsidRPr="005E7F16">
        <w:rPr>
          <w:rFonts w:asciiTheme="minorHAnsi" w:hAnsiTheme="minorHAnsi" w:cs="Arial"/>
          <w:sz w:val="22"/>
          <w:szCs w:val="22"/>
          <w:shd w:val="clear" w:color="auto" w:fill="E7E6E6" w:themeFill="background2"/>
        </w:rPr>
        <w:t>m</w:t>
      </w:r>
      <w:r w:rsidR="00C76FE4">
        <w:rPr>
          <w:rFonts w:asciiTheme="minorHAnsi" w:hAnsiTheme="minorHAnsi" w:cs="Arial"/>
          <w:sz w:val="22"/>
          <w:szCs w:val="22"/>
          <w:shd w:val="clear" w:color="auto" w:fill="E7E6E6" w:themeFill="background2"/>
        </w:rPr>
        <w:t>ě</w:t>
      </w:r>
      <w:r w:rsidR="005E7F16" w:rsidRPr="005E7F16">
        <w:rPr>
          <w:rFonts w:asciiTheme="minorHAnsi" w:hAnsiTheme="minorHAnsi" w:cs="Arial"/>
          <w:sz w:val="22"/>
          <w:szCs w:val="22"/>
          <w:shd w:val="clear" w:color="auto" w:fill="E7E6E6" w:themeFill="background2"/>
        </w:rPr>
        <w:t>s</w:t>
      </w:r>
      <w:r w:rsidR="005E7F16">
        <w:rPr>
          <w:rFonts w:asciiTheme="minorHAnsi" w:hAnsiTheme="minorHAnsi" w:cs="Arial"/>
          <w:sz w:val="22"/>
          <w:szCs w:val="22"/>
          <w:shd w:val="clear" w:color="auto" w:fill="E7E6E6" w:themeFill="background2"/>
        </w:rPr>
        <w:t>íců</w:t>
      </w:r>
      <w:proofErr w:type="spellEnd"/>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3DCC7884" w:rsidR="006549D0" w:rsidRPr="00F508C7"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F508C7">
        <w:rPr>
          <w:rFonts w:asciiTheme="minorHAnsi" w:hAnsiTheme="minorHAnsi" w:cstheme="minorHAnsi"/>
          <w:sz w:val="22"/>
          <w:szCs w:val="22"/>
          <w:lang w:val="cs-CZ"/>
        </w:rPr>
        <w:t>Prodávající</w:t>
      </w:r>
      <w:r w:rsidR="006549D0" w:rsidRPr="00F508C7">
        <w:rPr>
          <w:rFonts w:asciiTheme="minorHAnsi" w:hAnsiTheme="minorHAnsi" w:cstheme="minorHAnsi"/>
          <w:sz w:val="22"/>
          <w:szCs w:val="22"/>
          <w:lang w:val="cs-CZ"/>
        </w:rPr>
        <w:t xml:space="preserve"> </w:t>
      </w:r>
      <w:r w:rsidR="00317AAB" w:rsidRPr="00F508C7">
        <w:rPr>
          <w:rFonts w:asciiTheme="minorHAnsi" w:hAnsiTheme="minorHAnsi" w:cstheme="minorHAnsi"/>
          <w:sz w:val="22"/>
          <w:szCs w:val="22"/>
          <w:lang w:val="cs-CZ"/>
        </w:rPr>
        <w:t>se zavazuje zajišťovat bezplatný záruční servis k Předmětu plnění dle této smlouvy</w:t>
      </w:r>
      <w:r w:rsidR="003431A5" w:rsidRPr="00F508C7">
        <w:rPr>
          <w:rFonts w:asciiTheme="minorHAnsi" w:hAnsiTheme="minorHAnsi" w:cstheme="minorHAnsi"/>
          <w:sz w:val="22"/>
          <w:szCs w:val="22"/>
          <w:lang w:val="cs-CZ"/>
        </w:rPr>
        <w:t xml:space="preserve"> </w:t>
      </w:r>
      <w:r w:rsidR="00317AAB" w:rsidRPr="00F508C7">
        <w:rPr>
          <w:rFonts w:asciiTheme="minorHAnsi" w:hAnsiTheme="minorHAnsi" w:cstheme="minorHAnsi"/>
          <w:sz w:val="22"/>
          <w:szCs w:val="22"/>
          <w:lang w:val="cs-CZ"/>
        </w:rPr>
        <w:t>a garantuje dostupnost placeného</w:t>
      </w:r>
      <w:r w:rsidR="006B2BAA" w:rsidRPr="00F508C7">
        <w:rPr>
          <w:rFonts w:asciiTheme="minorHAnsi" w:hAnsiTheme="minorHAnsi" w:cstheme="minorHAnsi"/>
          <w:sz w:val="22"/>
          <w:szCs w:val="22"/>
          <w:lang w:val="cs-CZ"/>
        </w:rPr>
        <w:t xml:space="preserve"> </w:t>
      </w:r>
      <w:r w:rsidR="00317AAB" w:rsidRPr="00F508C7">
        <w:rPr>
          <w:rFonts w:asciiTheme="minorHAnsi" w:hAnsiTheme="minorHAnsi" w:cstheme="minorHAnsi"/>
          <w:sz w:val="22"/>
          <w:szCs w:val="22"/>
          <w:lang w:val="cs-CZ"/>
        </w:rPr>
        <w:t xml:space="preserve">pozáručního servisu a </w:t>
      </w:r>
      <w:r w:rsidR="009B12C0" w:rsidRPr="00F508C7">
        <w:rPr>
          <w:rFonts w:asciiTheme="minorHAnsi" w:hAnsiTheme="minorHAnsi" w:cstheme="minorHAnsi"/>
          <w:sz w:val="22"/>
          <w:szCs w:val="22"/>
          <w:lang w:val="cs-CZ"/>
        </w:rPr>
        <w:t xml:space="preserve">náhradních dílů k Předmětu plnění </w:t>
      </w:r>
      <w:r w:rsidR="006549D0" w:rsidRPr="00F508C7">
        <w:rPr>
          <w:rFonts w:asciiTheme="minorHAnsi" w:hAnsiTheme="minorHAnsi" w:cstheme="minorHAnsi"/>
          <w:sz w:val="22"/>
          <w:szCs w:val="22"/>
          <w:lang w:val="cs-CZ"/>
        </w:rPr>
        <w:t xml:space="preserve">minimálně po dobu </w:t>
      </w:r>
      <w:r w:rsidR="008B3A0F">
        <w:rPr>
          <w:rFonts w:asciiTheme="minorHAnsi" w:hAnsiTheme="minorHAnsi" w:cstheme="minorHAnsi"/>
          <w:sz w:val="22"/>
          <w:szCs w:val="22"/>
          <w:lang w:val="cs-CZ"/>
        </w:rPr>
        <w:t>dvaceti čtyř (24</w:t>
      </w:r>
      <w:r w:rsidR="00317AAB" w:rsidRPr="00F508C7">
        <w:rPr>
          <w:rFonts w:asciiTheme="minorHAnsi" w:hAnsiTheme="minorHAnsi" w:cstheme="minorHAnsi"/>
          <w:sz w:val="22"/>
          <w:szCs w:val="22"/>
          <w:lang w:val="cs-CZ"/>
        </w:rPr>
        <w:t>) kalendářních měsíců od skončení záruční doby</w:t>
      </w:r>
      <w:r w:rsidR="006549D0" w:rsidRPr="00F508C7">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58728F"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27A24D2C" w14:textId="35501AD4" w:rsidR="007D1997" w:rsidRPr="008B3A0F" w:rsidRDefault="007D1997" w:rsidP="007D1997">
      <w:pPr>
        <w:widowControl w:val="0"/>
        <w:numPr>
          <w:ilvl w:val="2"/>
          <w:numId w:val="1"/>
        </w:numPr>
        <w:ind w:hanging="644"/>
        <w:jc w:val="both"/>
        <w:rPr>
          <w:rFonts w:asciiTheme="minorHAnsi" w:hAnsiTheme="minorHAnsi" w:cs="Arial"/>
          <w:sz w:val="22"/>
          <w:szCs w:val="22"/>
          <w:lang w:val="cs-CZ"/>
        </w:rPr>
      </w:pPr>
      <w:r w:rsidRPr="008B3A0F">
        <w:rPr>
          <w:rFonts w:asciiTheme="minorHAnsi" w:hAnsiTheme="minorHAnsi" w:cs="Arial"/>
          <w:sz w:val="22"/>
          <w:szCs w:val="22"/>
          <w:lang w:val="cs-CZ"/>
        </w:rPr>
        <w:t xml:space="preserve">Nahlášení závady se provádí e-mailem, telefonicky nebo prostřednictvím webového rozhraní v pracovních dnech mezi 8.00 – 16.00 hodinou a je požadováno e-mailové potvrzení přijetí požadavku. Prodávající zajistí servisní </w:t>
      </w:r>
      <w:proofErr w:type="spellStart"/>
      <w:r w:rsidRPr="008B3A0F">
        <w:rPr>
          <w:rFonts w:asciiTheme="minorHAnsi" w:hAnsiTheme="minorHAnsi" w:cs="Arial"/>
          <w:sz w:val="22"/>
          <w:szCs w:val="22"/>
          <w:lang w:val="cs-CZ"/>
        </w:rPr>
        <w:t>responzní</w:t>
      </w:r>
      <w:proofErr w:type="spellEnd"/>
      <w:r w:rsidRPr="008B3A0F">
        <w:rPr>
          <w:rFonts w:asciiTheme="minorHAnsi" w:hAnsiTheme="minorHAnsi" w:cs="Arial"/>
          <w:sz w:val="22"/>
          <w:szCs w:val="22"/>
          <w:lang w:val="cs-CZ"/>
        </w:rPr>
        <w:t xml:space="preserve"> dobu nejpozději do 24 hod od nahlášení závady a reakční dobu servisu maximálně do 48 hodin od nahlášení závady.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(5) pracovních dnů od nahlášení závady. Kontakty pro nahlášení závad jsou: email: </w:t>
      </w:r>
      <w:r w:rsidR="001D6B65" w:rsidRPr="001D6B65">
        <w:rPr>
          <w:highlight w:val="yellow"/>
        </w:rPr>
        <w:t>xxx</w:t>
      </w:r>
      <w:r w:rsidRPr="008B3A0F">
        <w:rPr>
          <w:rFonts w:asciiTheme="minorHAnsi" w:hAnsiTheme="minorHAnsi" w:cs="Arial"/>
          <w:sz w:val="22"/>
          <w:szCs w:val="22"/>
          <w:lang w:val="cs-CZ"/>
        </w:rPr>
        <w:t xml:space="preserve">, web: </w:t>
      </w:r>
      <w:hyperlink r:id="rId9" w:history="1">
        <w:r w:rsidR="008D53C9" w:rsidRPr="001D39CA">
          <w:rPr>
            <w:rStyle w:val="Hypertextovodkaz"/>
            <w:rFonts w:asciiTheme="minorHAnsi" w:hAnsiTheme="minorHAnsi" w:cstheme="minorHAnsi"/>
            <w:sz w:val="22"/>
            <w:szCs w:val="22"/>
            <w:lang w:val="cs-CZ"/>
          </w:rPr>
          <w:t>www.trigonplus.cz</w:t>
        </w:r>
      </w:hyperlink>
      <w:r w:rsidR="008D53C9">
        <w:rPr>
          <w:rFonts w:asciiTheme="minorHAnsi" w:hAnsiTheme="minorHAnsi" w:cstheme="minorHAnsi"/>
          <w:sz w:val="22"/>
          <w:szCs w:val="22"/>
          <w:lang w:val="cs-CZ"/>
        </w:rPr>
        <w:t xml:space="preserve"> </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0AF48D69"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w:t>
      </w:r>
      <w:r w:rsidRPr="00225046">
        <w:rPr>
          <w:rFonts w:asciiTheme="minorHAnsi" w:eastAsia="Times New Roman" w:hAnsiTheme="minorHAnsi" w:cs="Arial"/>
          <w:lang w:eastAsia="cs-CZ"/>
        </w:rPr>
        <w:t xml:space="preserve">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77777777" w:rsidR="0064238B" w:rsidRPr="008B3A0F"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této údržby a náhradních dílů, a seřízení systému předmětu plnění,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3AE91381" w:rsidR="0064238B" w:rsidRPr="008B3A0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Po uplynutí záruky a bez uzavření smlouvy na údržbu („</w:t>
      </w:r>
      <w:proofErr w:type="spellStart"/>
      <w:r w:rsidRPr="008B3A0F">
        <w:rPr>
          <w:rFonts w:asciiTheme="minorHAnsi" w:hAnsiTheme="minorHAnsi" w:cs="Arial"/>
          <w:sz w:val="22"/>
          <w:szCs w:val="22"/>
          <w:lang w:val="cs-CZ"/>
        </w:rPr>
        <w:t>maintenance</w:t>
      </w:r>
      <w:proofErr w:type="spellEnd"/>
      <w:r w:rsidRPr="008B3A0F">
        <w:rPr>
          <w:rFonts w:asciiTheme="minorHAnsi" w:hAnsiTheme="minorHAnsi" w:cs="Arial"/>
          <w:sz w:val="22"/>
          <w:szCs w:val="22"/>
          <w:lang w:val="cs-CZ"/>
        </w:rPr>
        <w:t xml:space="preserve"> </w:t>
      </w:r>
      <w:proofErr w:type="spellStart"/>
      <w:r w:rsidRPr="008B3A0F">
        <w:rPr>
          <w:rFonts w:asciiTheme="minorHAnsi" w:hAnsiTheme="minorHAnsi" w:cs="Arial"/>
          <w:sz w:val="22"/>
          <w:szCs w:val="22"/>
          <w:lang w:val="cs-CZ"/>
        </w:rPr>
        <w:t>contract</w:t>
      </w:r>
      <w:proofErr w:type="spellEnd"/>
      <w:r w:rsidRPr="008B3A0F">
        <w:rPr>
          <w:rFonts w:asciiTheme="minorHAnsi" w:hAnsiTheme="minorHAnsi" w:cs="Arial"/>
          <w:sz w:val="22"/>
          <w:szCs w:val="22"/>
          <w:lang w:val="cs-CZ"/>
        </w:rPr>
        <w:t xml:space="preserve">“) a pokud nedojde k jiné dohodě mezi Prodávajícím a Kupujícím zajistí </w:t>
      </w:r>
      <w:r w:rsidR="00560367" w:rsidRPr="008B3A0F">
        <w:rPr>
          <w:rFonts w:asciiTheme="minorHAnsi" w:hAnsiTheme="minorHAnsi" w:cs="Arial"/>
          <w:sz w:val="22"/>
          <w:szCs w:val="22"/>
          <w:lang w:val="cs-CZ"/>
        </w:rPr>
        <w:t>Prodávající reakční dobu servisu</w:t>
      </w:r>
      <w:r w:rsidRPr="008B3A0F">
        <w:rPr>
          <w:rFonts w:asciiTheme="minorHAnsi" w:hAnsiTheme="minorHAnsi" w:cs="Arial"/>
          <w:sz w:val="22"/>
          <w:szCs w:val="22"/>
          <w:lang w:val="cs-CZ"/>
        </w:rPr>
        <w:t xml:space="preserve"> maximálně d</w:t>
      </w:r>
      <w:r w:rsidR="009705D3" w:rsidRPr="008B3A0F">
        <w:rPr>
          <w:rFonts w:asciiTheme="minorHAnsi" w:hAnsiTheme="minorHAnsi" w:cs="Arial"/>
          <w:sz w:val="22"/>
          <w:szCs w:val="22"/>
          <w:lang w:val="cs-CZ"/>
        </w:rPr>
        <w:t xml:space="preserve">o </w:t>
      </w:r>
      <w:r w:rsidR="00781C55" w:rsidRPr="008B3A0F">
        <w:rPr>
          <w:rFonts w:asciiTheme="minorHAnsi" w:hAnsiTheme="minorHAnsi" w:cs="Arial"/>
          <w:sz w:val="22"/>
          <w:szCs w:val="22"/>
          <w:lang w:val="cs-CZ"/>
        </w:rPr>
        <w:t>3</w:t>
      </w:r>
      <w:r w:rsidRPr="008B3A0F">
        <w:rPr>
          <w:rFonts w:asciiTheme="minorHAnsi" w:hAnsiTheme="minorHAnsi" w:cs="Arial"/>
          <w:sz w:val="22"/>
          <w:szCs w:val="22"/>
          <w:lang w:val="cs-CZ"/>
        </w:rPr>
        <w:t xml:space="preserve"> pracovních dnů od oznámení závady na Předmětu plnění.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w:t>
      </w:r>
      <w:r w:rsidRPr="008B3A0F">
        <w:rPr>
          <w:rFonts w:asciiTheme="minorHAnsi" w:hAnsiTheme="minorHAnsi" w:cs="Arial"/>
          <w:sz w:val="22"/>
          <w:szCs w:val="22"/>
          <w:lang w:val="cs-CZ"/>
        </w:rPr>
        <w:lastRenderedPageBreak/>
        <w:t>je-li to třeba.</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4DCCF86E" w14:textId="7B443BEE" w:rsidR="00F666BD" w:rsidRDefault="00F666BD" w:rsidP="008E5758">
      <w:pPr>
        <w:widowControl w:val="0"/>
        <w:ind w:left="0"/>
        <w:jc w:val="both"/>
        <w:rPr>
          <w:rFonts w:asciiTheme="minorHAnsi" w:eastAsia="Times New Roman" w:hAnsiTheme="minorHAnsi" w:cs="Arial"/>
          <w:lang w:eastAsia="cs-CZ"/>
        </w:rPr>
      </w:pPr>
    </w:p>
    <w:p w14:paraId="03BC1206" w14:textId="77777777" w:rsidR="00A777CD" w:rsidRPr="008E5758" w:rsidRDefault="00A777CD" w:rsidP="008E5758">
      <w:pPr>
        <w:widowControl w:val="0"/>
        <w:ind w:left="0"/>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47AAB602"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ředmětu plnění jeho předáním</w:t>
      </w:r>
      <w:r w:rsidR="009841E8">
        <w:rPr>
          <w:rFonts w:asciiTheme="minorHAnsi" w:eastAsia="Times New Roman" w:hAnsiTheme="minorHAnsi" w:cs="Arial"/>
          <w:sz w:val="22"/>
          <w:szCs w:val="22"/>
          <w:lang w:val="cs-CZ" w:eastAsia="cs-CZ"/>
        </w:rPr>
        <w:t xml:space="preserve"> a převzetím</w:t>
      </w:r>
      <w:r w:rsidR="006549D0" w:rsidRPr="00225046">
        <w:rPr>
          <w:rFonts w:asciiTheme="minorHAnsi" w:eastAsia="Times New Roman" w:hAnsiTheme="minorHAnsi" w:cs="Arial"/>
          <w:sz w:val="22"/>
          <w:szCs w:val="22"/>
          <w:lang w:val="cs-CZ" w:eastAsia="cs-CZ"/>
        </w:rPr>
        <w:t xml:space="preserve"> a podepsáním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368C9E8D"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i potvrzení o splnění technických parametrů uvedených v technické specifikaci k této smlouvě.</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lastRenderedPageBreak/>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78B35AC8"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65807491"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71D6A4B5"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014224">
        <w:rPr>
          <w:rFonts w:asciiTheme="minorHAnsi" w:eastAsia="Times New Roman" w:hAnsiTheme="minorHAnsi" w:cs="Arial"/>
          <w:sz w:val="22"/>
          <w:szCs w:val="22"/>
          <w:lang w:val="cs-CZ" w:eastAsia="cs-CZ"/>
        </w:rPr>
        <w:t>8</w:t>
      </w:r>
      <w:r w:rsidR="00C3631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w:t>
      </w:r>
      <w:r w:rsidR="00D13105">
        <w:rPr>
          <w:rFonts w:asciiTheme="minorHAnsi" w:eastAsia="Times New Roman" w:hAnsiTheme="minorHAnsi" w:cs="Arial"/>
          <w:sz w:val="22"/>
          <w:szCs w:val="22"/>
          <w:lang w:val="cs-CZ" w:eastAsia="cs-CZ"/>
        </w:rPr>
        <w:t xml:space="preserve"> smluvní pokutu ve výši 2</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A57714" w:rsidRDefault="00A57714" w:rsidP="00A57714">
      <w:pPr>
        <w:ind w:left="0"/>
        <w:rPr>
          <w:rFonts w:asciiTheme="minorHAnsi" w:eastAsia="Times New Roman" w:hAnsiTheme="minorHAnsi" w:cs="Arial"/>
          <w:lang w:eastAsia="cs-CZ"/>
        </w:rPr>
      </w:pPr>
    </w:p>
    <w:p w14:paraId="739EB4E1" w14:textId="32AE4553" w:rsid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Kupujícímu smluvní pokutu ve výši 1000 Kč za každý i započatý den prodlení s odstraněním záruční vady Předmětu smlouvy.</w:t>
      </w:r>
    </w:p>
    <w:p w14:paraId="717718DD" w14:textId="77777777" w:rsidR="00A57714" w:rsidRPr="00A57714" w:rsidRDefault="00A57714" w:rsidP="00A57714">
      <w:pPr>
        <w:ind w:left="0"/>
        <w:rPr>
          <w:rFonts w:asciiTheme="minorHAnsi" w:eastAsia="Times New Roman" w:hAnsiTheme="minorHAnsi" w:cs="Arial"/>
          <w:lang w:eastAsia="cs-CZ"/>
        </w:rPr>
      </w:pPr>
    </w:p>
    <w:p w14:paraId="29C43370" w14:textId="4C137516"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 v čl. 5 odst. 5 a/nebo odst. 10 a/nebo odst. 11 a/nebo odst. 12 této smlouvy je Prodávající povinen zaplatit Kupujícímu smluvní pokutu ve výši 5000 Kč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59BCCC7B"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 xml:space="preserve">ebo </w:t>
      </w:r>
      <w:r w:rsidR="002C3439">
        <w:rPr>
          <w:rFonts w:asciiTheme="minorHAnsi" w:eastAsia="Times New Roman" w:hAnsiTheme="minorHAnsi" w:cs="Arial"/>
          <w:sz w:val="22"/>
          <w:szCs w:val="22"/>
          <w:lang w:val="cs-CZ" w:eastAsia="cs-CZ"/>
        </w:rPr>
        <w:lastRenderedPageBreak/>
        <w:t>pojistku dle čl. 12 odst. 10</w:t>
      </w:r>
      <w:r>
        <w:rPr>
          <w:rFonts w:asciiTheme="minorHAnsi" w:eastAsia="Times New Roman" w:hAnsiTheme="minorHAnsi" w:cs="Arial"/>
          <w:sz w:val="22"/>
          <w:szCs w:val="22"/>
          <w:lang w:val="cs-CZ" w:eastAsia="cs-CZ"/>
        </w:rPr>
        <w:t xml:space="preserve"> věta druhá této smlouvy je Prodávající povinen zaplatit Kupujícímu smluvní pokutu ve výši 2000 Kč za každý i započatý den prodlení.</w:t>
      </w:r>
    </w:p>
    <w:p w14:paraId="03C1733E" w14:textId="77777777" w:rsidR="0078657A" w:rsidRPr="00EB686C" w:rsidRDefault="0078657A" w:rsidP="00EB686C">
      <w:pPr>
        <w:ind w:left="0"/>
        <w:rPr>
          <w:rFonts w:asciiTheme="minorHAnsi" w:eastAsia="Times New Roman" w:hAnsiTheme="minorHAnsi" w:cs="Arial"/>
          <w:lang w:eastAsia="cs-CZ"/>
        </w:rPr>
      </w:pPr>
    </w:p>
    <w:p w14:paraId="3AFD6306" w14:textId="2F9789BF"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A33815" w:rsidRDefault="00A33815" w:rsidP="00A33815">
      <w:pPr>
        <w:ind w:left="0"/>
        <w:rPr>
          <w:rFonts w:asciiTheme="minorHAnsi" w:eastAsia="Times New Roman" w:hAnsiTheme="minorHAnsi" w:cs="Arial"/>
          <w:lang w:eastAsia="cs-CZ"/>
        </w:rPr>
      </w:pPr>
    </w:p>
    <w:p w14:paraId="4784B74A" w14:textId="30FF9085"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Kupujícímu smluvní pokutu ve výši 10 000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77777777"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0EAA02A6" w:rsidR="006549D0" w:rsidRPr="008D53C9"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1D6B65" w:rsidRPr="001D6B65">
        <w:rPr>
          <w:rFonts w:asciiTheme="minorHAnsi" w:hAnsiTheme="minorHAnsi" w:cs="Arial"/>
          <w:highlight w:val="yellow"/>
          <w:shd w:val="clear" w:color="auto" w:fill="E7E6E6" w:themeFill="background2"/>
        </w:rPr>
        <w:t>xxx</w:t>
      </w:r>
      <w:proofErr w:type="spellEnd"/>
    </w:p>
    <w:p w14:paraId="56CAE749" w14:textId="7434784A" w:rsidR="006549D0" w:rsidRPr="008D53C9"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8D53C9">
        <w:rPr>
          <w:rFonts w:asciiTheme="minorHAnsi" w:eastAsia="Times New Roman" w:hAnsiTheme="minorHAnsi" w:cs="Arial"/>
          <w:lang w:eastAsia="cs-CZ"/>
        </w:rPr>
        <w:t>doručovací adresa:</w:t>
      </w:r>
      <w:r w:rsidRPr="008D53C9">
        <w:rPr>
          <w:rFonts w:asciiTheme="minorHAnsi" w:eastAsia="Times New Roman" w:hAnsiTheme="minorHAnsi" w:cs="Arial"/>
          <w:lang w:eastAsia="cs-CZ"/>
        </w:rPr>
        <w:tab/>
      </w:r>
      <w:r w:rsidR="008D53C9" w:rsidRPr="008D53C9">
        <w:rPr>
          <w:rFonts w:asciiTheme="minorHAnsi" w:hAnsiTheme="minorHAnsi" w:cs="Arial"/>
          <w:shd w:val="clear" w:color="auto" w:fill="E7E6E6" w:themeFill="background2"/>
        </w:rPr>
        <w:t xml:space="preserve">Západní 93, 251 01 Čestlice </w:t>
      </w:r>
    </w:p>
    <w:p w14:paraId="2474DF22" w14:textId="14CBB1E4" w:rsidR="00B80641" w:rsidRPr="008D53C9" w:rsidRDefault="00167852" w:rsidP="009F59AE">
      <w:pPr>
        <w:pStyle w:val="Odstavecseseznamem"/>
        <w:widowControl w:val="0"/>
        <w:spacing w:line="240" w:lineRule="auto"/>
        <w:ind w:left="1440"/>
        <w:jc w:val="both"/>
        <w:rPr>
          <w:rFonts w:asciiTheme="minorHAnsi" w:hAnsiTheme="minorHAnsi" w:cs="Arial"/>
        </w:rPr>
      </w:pPr>
      <w:r w:rsidRPr="008D53C9">
        <w:rPr>
          <w:rFonts w:asciiTheme="minorHAnsi" w:eastAsia="Times New Roman" w:hAnsiTheme="minorHAnsi" w:cs="Arial"/>
          <w:lang w:eastAsia="cs-CZ"/>
        </w:rPr>
        <w:t>telefon:</w:t>
      </w:r>
      <w:r w:rsidRPr="008D53C9">
        <w:rPr>
          <w:rFonts w:asciiTheme="minorHAnsi" w:eastAsia="Times New Roman" w:hAnsiTheme="minorHAnsi" w:cs="Arial"/>
          <w:lang w:eastAsia="cs-CZ"/>
        </w:rPr>
        <w:tab/>
      </w:r>
      <w:r w:rsidRPr="008D53C9">
        <w:rPr>
          <w:rFonts w:asciiTheme="minorHAnsi" w:eastAsia="Times New Roman" w:hAnsiTheme="minorHAnsi" w:cs="Arial"/>
          <w:lang w:eastAsia="cs-CZ"/>
        </w:rPr>
        <w:tab/>
      </w:r>
      <w:proofErr w:type="spellStart"/>
      <w:r w:rsidR="001D6B65" w:rsidRPr="001D6B65">
        <w:rPr>
          <w:rFonts w:asciiTheme="minorHAnsi" w:hAnsiTheme="minorHAnsi" w:cs="Arial"/>
          <w:highlight w:val="yellow"/>
          <w:shd w:val="clear" w:color="auto" w:fill="E7E6E6" w:themeFill="background2"/>
        </w:rPr>
        <w:t>xxx</w:t>
      </w:r>
      <w:proofErr w:type="spellEnd"/>
    </w:p>
    <w:p w14:paraId="465E930A" w14:textId="2EFC476D"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8D53C9">
        <w:rPr>
          <w:rFonts w:asciiTheme="minorHAnsi" w:eastAsia="Times New Roman" w:hAnsiTheme="minorHAnsi" w:cs="Arial"/>
          <w:lang w:eastAsia="cs-CZ"/>
        </w:rPr>
        <w:t>email:</w:t>
      </w:r>
      <w:r w:rsidRPr="008D53C9">
        <w:rPr>
          <w:rFonts w:asciiTheme="minorHAnsi" w:eastAsia="Times New Roman" w:hAnsiTheme="minorHAnsi" w:cs="Arial"/>
          <w:lang w:eastAsia="cs-CZ"/>
        </w:rPr>
        <w:tab/>
      </w:r>
      <w:r w:rsidRPr="008D53C9">
        <w:rPr>
          <w:rFonts w:asciiTheme="minorHAnsi" w:eastAsia="Times New Roman" w:hAnsiTheme="minorHAnsi" w:cs="Arial"/>
          <w:lang w:eastAsia="cs-CZ"/>
        </w:rPr>
        <w:tab/>
      </w:r>
      <w:r w:rsidRPr="008D53C9">
        <w:rPr>
          <w:rFonts w:asciiTheme="minorHAnsi" w:eastAsia="Times New Roman" w:hAnsiTheme="minorHAnsi" w:cs="Arial"/>
          <w:lang w:eastAsia="cs-CZ"/>
        </w:rPr>
        <w:tab/>
      </w:r>
      <w:proofErr w:type="spellStart"/>
      <w:r w:rsidR="001D6B65" w:rsidRPr="001D6B65">
        <w:rPr>
          <w:highlight w:val="yellow"/>
        </w:rPr>
        <w:t>xxx</w:t>
      </w:r>
      <w:proofErr w:type="spellEnd"/>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lastRenderedPageBreak/>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2B42FF" w:rsidRDefault="006549D0" w:rsidP="008E5758">
      <w:pPr>
        <w:widowControl w:val="0"/>
        <w:ind w:left="0"/>
        <w:jc w:val="both"/>
        <w:rPr>
          <w:rFonts w:asciiTheme="minorHAnsi" w:eastAsia="Times New Roman" w:hAnsiTheme="minorHAnsi" w:cs="Arial"/>
          <w:highlight w:val="yellow"/>
          <w:lang w:eastAsia="cs-CZ"/>
        </w:rPr>
      </w:pPr>
    </w:p>
    <w:p w14:paraId="18502B64" w14:textId="5952B259"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1D6B65" w:rsidRPr="001D6B65">
        <w:rPr>
          <w:rFonts w:asciiTheme="minorHAnsi" w:eastAsia="Times New Roman" w:hAnsiTheme="minorHAnsi" w:cs="Arial"/>
          <w:sz w:val="22"/>
          <w:szCs w:val="22"/>
          <w:highlight w:val="yellow"/>
          <w:lang w:val="cs-CZ" w:eastAsia="cs-CZ"/>
        </w:rPr>
        <w:t>xxx</w:t>
      </w:r>
      <w:proofErr w:type="spellEnd"/>
      <w:r w:rsidR="005B750C" w:rsidRPr="008B3A0F">
        <w:rPr>
          <w:rFonts w:asciiTheme="minorHAnsi" w:eastAsia="Times New Roman" w:hAnsiTheme="minorHAnsi" w:cs="Arial"/>
          <w:sz w:val="22"/>
          <w:szCs w:val="22"/>
          <w:lang w:val="cs-CZ" w:eastAsia="cs-CZ"/>
        </w:rPr>
        <w:t>, CSc.</w:t>
      </w:r>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008EC8E1"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V</w:t>
      </w:r>
      <w:r w:rsidR="007D1997" w:rsidRPr="008B3A0F">
        <w:rPr>
          <w:rFonts w:asciiTheme="minorHAnsi" w:eastAsia="Times New Roman" w:hAnsiTheme="minorHAnsi" w:cs="Arial"/>
          <w:sz w:val="22"/>
          <w:szCs w:val="22"/>
          <w:lang w:val="cs-CZ" w:eastAsia="cs-CZ"/>
        </w:rPr>
        <w:t>ídeňská 1083, 142 20 Praha 4</w:t>
      </w:r>
    </w:p>
    <w:p w14:paraId="04967B8B" w14:textId="7CFB9CE4"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1D6B65" w:rsidRPr="001D6B65">
        <w:rPr>
          <w:rFonts w:asciiTheme="minorHAnsi" w:hAnsiTheme="minorHAnsi" w:cs="Arial"/>
          <w:color w:val="000000"/>
          <w:sz w:val="22"/>
          <w:szCs w:val="22"/>
          <w:highlight w:val="yellow"/>
          <w:lang w:val="cs-CZ"/>
        </w:rPr>
        <w:t>xxx</w:t>
      </w:r>
      <w:proofErr w:type="spellEnd"/>
    </w:p>
    <w:p w14:paraId="6DD3CAE9" w14:textId="35BE1080" w:rsidR="00844DAC" w:rsidRPr="00EE6115" w:rsidRDefault="00844DAC" w:rsidP="008E5758">
      <w:pPr>
        <w:widowControl w:val="0"/>
        <w:ind w:left="1440"/>
        <w:jc w:val="both"/>
        <w:rPr>
          <w:rFonts w:asciiTheme="minorHAnsi" w:eastAsia="Times New Roman" w:hAnsiTheme="minorHAnsi" w:cs="Arial"/>
          <w:lang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7D1997" w:rsidRPr="008B3A0F">
        <w:rPr>
          <w:rFonts w:asciiTheme="minorHAnsi" w:eastAsia="Times New Roman" w:hAnsiTheme="minorHAnsi" w:cs="Arial"/>
          <w:sz w:val="22"/>
          <w:szCs w:val="22"/>
          <w:lang w:val="cs-CZ" w:eastAsia="cs-CZ"/>
        </w:rPr>
        <w:t xml:space="preserve"> </w:t>
      </w:r>
      <w:proofErr w:type="spellStart"/>
      <w:r w:rsidR="001D6B65" w:rsidRPr="001D6B65">
        <w:rPr>
          <w:rFonts w:asciiTheme="minorHAnsi" w:eastAsia="Times New Roman" w:hAnsiTheme="minorHAnsi" w:cs="Arial"/>
          <w:sz w:val="22"/>
          <w:szCs w:val="22"/>
          <w:highlight w:val="yellow"/>
          <w:lang w:val="cs-CZ" w:eastAsia="cs-CZ"/>
        </w:rPr>
        <w:t>xxx</w:t>
      </w:r>
      <w:proofErr w:type="spellEnd"/>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lastRenderedPageBreak/>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77777777"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36EFCFF1"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2</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398B5E64" w14:textId="364838E1" w:rsidR="00DF463E" w:rsidRPr="00193CF4" w:rsidRDefault="00DF463E" w:rsidP="0001182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Prodávající je povinen archivovat originální vyhotovení kupní smlouvy včetně jejích dodatků, originály účetních dokladů, předávací protokoly, záznamy o elektronických úkonech a dalších dokla</w:t>
      </w:r>
      <w:r w:rsidR="00F92CAC" w:rsidRPr="00193CF4">
        <w:rPr>
          <w:rFonts w:asciiTheme="minorHAnsi" w:hAnsiTheme="minorHAnsi" w:cstheme="minorHAnsi"/>
          <w:noProof/>
          <w:sz w:val="22"/>
          <w:szCs w:val="22"/>
        </w:rPr>
        <w:t>dů vztahujících se k realizaci P</w:t>
      </w:r>
      <w:r w:rsidRPr="00193CF4">
        <w:rPr>
          <w:rFonts w:asciiTheme="minorHAnsi" w:hAnsiTheme="minorHAnsi" w:cstheme="minorHAnsi"/>
          <w:noProof/>
          <w:sz w:val="22"/>
          <w:szCs w:val="22"/>
        </w:rPr>
        <w:t xml:space="preserve">ředmětu smlouvy </w:t>
      </w:r>
      <w:r w:rsidR="00F92CAC" w:rsidRPr="00193CF4">
        <w:rPr>
          <w:rFonts w:asciiTheme="minorHAnsi" w:hAnsiTheme="minorHAnsi" w:cstheme="minorHAnsi"/>
          <w:noProof/>
          <w:sz w:val="22"/>
          <w:szCs w:val="22"/>
        </w:rPr>
        <w:t xml:space="preserve">a veřejné zakázky </w:t>
      </w:r>
      <w:r w:rsidRPr="00193CF4">
        <w:rPr>
          <w:rFonts w:asciiTheme="minorHAnsi" w:hAnsiTheme="minorHAnsi" w:cstheme="minorHAnsi"/>
          <w:noProof/>
          <w:sz w:val="22"/>
          <w:szCs w:val="22"/>
        </w:rPr>
        <w:t>po dobu 10 let od ukončení zadávacího řízení nebo od změny závazku z kupní smlouvy na veřejnou zakázku</w:t>
      </w:r>
      <w:r w:rsidR="00F92CAC" w:rsidRPr="00193CF4">
        <w:rPr>
          <w:rFonts w:asciiTheme="minorHAnsi" w:hAnsiTheme="minorHAnsi" w:cstheme="minorHAnsi"/>
          <w:noProof/>
          <w:sz w:val="22"/>
          <w:szCs w:val="22"/>
        </w:rPr>
        <w:t xml:space="preserve"> a v případě financování P</w:t>
      </w:r>
      <w:r w:rsidRPr="00193CF4">
        <w:rPr>
          <w:rFonts w:asciiTheme="minorHAnsi" w:hAnsiTheme="minorHAnsi" w:cstheme="minorHAnsi"/>
          <w:noProof/>
          <w:sz w:val="22"/>
          <w:szCs w:val="22"/>
        </w:rPr>
        <w:t xml:space="preserve">ředmětu plnění z </w:t>
      </w:r>
      <w:r w:rsidR="007539E1" w:rsidRPr="00193CF4">
        <w:rPr>
          <w:rFonts w:asciiTheme="minorHAnsi" w:hAnsiTheme="minorHAnsi" w:cstheme="minorHAnsi"/>
          <w:noProof/>
          <w:sz w:val="22"/>
          <w:szCs w:val="22"/>
        </w:rPr>
        <w:t>program</w:t>
      </w:r>
      <w:r w:rsidR="002C690A" w:rsidRPr="00193CF4">
        <w:rPr>
          <w:rFonts w:asciiTheme="minorHAnsi" w:hAnsiTheme="minorHAnsi" w:cstheme="minorHAnsi"/>
          <w:noProof/>
          <w:sz w:val="22"/>
          <w:szCs w:val="22"/>
        </w:rPr>
        <w:t>u EXCELES</w:t>
      </w:r>
      <w:r w:rsidRPr="00193CF4">
        <w:rPr>
          <w:rFonts w:asciiTheme="minorHAnsi" w:hAnsiTheme="minorHAnsi" w:cstheme="minorHAnsi"/>
          <w:noProof/>
          <w:sz w:val="22"/>
          <w:szCs w:val="22"/>
        </w:rPr>
        <w:t xml:space="preserve"> </w:t>
      </w:r>
      <w:r w:rsidR="002C690A" w:rsidRPr="00193CF4">
        <w:rPr>
          <w:rFonts w:asciiTheme="minorHAnsi" w:hAnsiTheme="minorHAnsi" w:cstheme="minorHAnsi"/>
          <w:noProof/>
          <w:sz w:val="22"/>
          <w:szCs w:val="22"/>
        </w:rPr>
        <w:t xml:space="preserve">po dobu nejméně 10 let od ukončení poskytování podpory v </w:t>
      </w:r>
      <w:r w:rsidR="007539E1" w:rsidRPr="00193CF4">
        <w:rPr>
          <w:rFonts w:asciiTheme="minorHAnsi" w:hAnsiTheme="minorHAnsi" w:cstheme="minorHAnsi"/>
          <w:noProof/>
          <w:sz w:val="22"/>
          <w:szCs w:val="22"/>
        </w:rPr>
        <w:t xml:space="preserve">tomto </w:t>
      </w:r>
      <w:r w:rsidR="002C690A" w:rsidRPr="00193CF4">
        <w:rPr>
          <w:rFonts w:asciiTheme="minorHAnsi" w:hAnsiTheme="minorHAnsi" w:cstheme="minorHAnsi"/>
          <w:noProof/>
          <w:sz w:val="22"/>
          <w:szCs w:val="22"/>
        </w:rPr>
        <w:t xml:space="preserve">programu, tj. </w:t>
      </w:r>
      <w:r w:rsidR="00F92CAC" w:rsidRPr="00193CF4">
        <w:rPr>
          <w:rFonts w:asciiTheme="minorHAnsi" w:hAnsiTheme="minorHAnsi" w:cstheme="minorHAnsi"/>
          <w:noProof/>
          <w:sz w:val="22"/>
          <w:szCs w:val="22"/>
        </w:rPr>
        <w:t>d</w:t>
      </w:r>
      <w:r w:rsidR="007539E1" w:rsidRPr="00193CF4">
        <w:rPr>
          <w:rFonts w:asciiTheme="minorHAnsi" w:hAnsiTheme="minorHAnsi" w:cstheme="minorHAnsi"/>
          <w:noProof/>
          <w:sz w:val="22"/>
          <w:szCs w:val="22"/>
        </w:rPr>
        <w:t xml:space="preserve">o 15. </w:t>
      </w:r>
      <w:r w:rsidR="002C690A" w:rsidRPr="00193CF4">
        <w:rPr>
          <w:rFonts w:asciiTheme="minorHAnsi" w:hAnsiTheme="minorHAnsi" w:cstheme="minorHAnsi"/>
          <w:noProof/>
          <w:sz w:val="22"/>
          <w:szCs w:val="22"/>
        </w:rPr>
        <w:t>12. 2035</w:t>
      </w:r>
      <w:r w:rsidR="00D127D9" w:rsidRPr="00193CF4">
        <w:rPr>
          <w:rFonts w:asciiTheme="minorHAnsi" w:hAnsiTheme="minorHAnsi" w:cstheme="minorHAnsi"/>
          <w:noProof/>
          <w:sz w:val="22"/>
          <w:szCs w:val="22"/>
        </w:rPr>
        <w:t xml:space="preserve"> včetně</w:t>
      </w:r>
      <w:r w:rsidRPr="00193CF4">
        <w:rPr>
          <w:rFonts w:asciiTheme="minorHAnsi" w:hAnsiTheme="minorHAnsi" w:cstheme="minorHAnsi"/>
          <w:noProof/>
          <w:sz w:val="22"/>
          <w:szCs w:val="22"/>
        </w:rPr>
        <w:t>, po kterou musí být originální dokumenty k dispozici kontrolním orgánům, pokud legislativa nestanovuje pro některé typy dokumentů dobu delší (např. zákon č. 499/2004 Sb., o archivnictví a spisové službě a o změně některých zákonů, ve znění pozdějších předpisů). Po tuto dobu je Prodávající povinen umožnit osobám oprávněným k výkonu kontroly projekt</w:t>
      </w:r>
      <w:r w:rsidR="00D127D9" w:rsidRPr="00193CF4">
        <w:rPr>
          <w:rFonts w:asciiTheme="minorHAnsi" w:hAnsiTheme="minorHAnsi" w:cstheme="minorHAnsi"/>
          <w:noProof/>
          <w:sz w:val="22"/>
          <w:szCs w:val="22"/>
        </w:rPr>
        <w:t>u</w:t>
      </w:r>
      <w:r w:rsidRPr="00193CF4">
        <w:rPr>
          <w:rFonts w:asciiTheme="minorHAnsi" w:hAnsiTheme="minorHAnsi" w:cstheme="minorHAnsi"/>
          <w:noProof/>
          <w:sz w:val="22"/>
          <w:szCs w:val="22"/>
        </w:rPr>
        <w:t xml:space="preserve">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w:t>
      </w:r>
      <w:r w:rsidR="002C690A" w:rsidRPr="00193CF4">
        <w:rPr>
          <w:rFonts w:asciiTheme="minorHAnsi" w:hAnsiTheme="minorHAnsi" w:cstheme="minorHAnsi"/>
          <w:noProof/>
          <w:sz w:val="22"/>
          <w:szCs w:val="22"/>
        </w:rPr>
        <w:t xml:space="preserve"> proje</w:t>
      </w:r>
      <w:r w:rsidR="00D127D9" w:rsidRPr="00193CF4">
        <w:rPr>
          <w:rFonts w:asciiTheme="minorHAnsi" w:hAnsiTheme="minorHAnsi" w:cstheme="minorHAnsi"/>
          <w:noProof/>
          <w:sz w:val="22"/>
          <w:szCs w:val="22"/>
        </w:rPr>
        <w:t>k</w:t>
      </w:r>
      <w:r w:rsidR="002C690A" w:rsidRPr="00193CF4">
        <w:rPr>
          <w:rFonts w:asciiTheme="minorHAnsi" w:hAnsiTheme="minorHAnsi" w:cstheme="minorHAnsi"/>
          <w:noProof/>
          <w:sz w:val="22"/>
          <w:szCs w:val="22"/>
        </w:rPr>
        <w:t>tem</w:t>
      </w:r>
      <w:r w:rsidRPr="00193CF4">
        <w:rPr>
          <w:rFonts w:asciiTheme="minorHAnsi" w:hAnsiTheme="minorHAnsi" w:cstheme="minorHAnsi"/>
          <w:noProof/>
          <w:sz w:val="22"/>
          <w:szCs w:val="22"/>
        </w:rPr>
        <w:t xml:space="preserve"> se řídí zákonem č. 499/2004 Sb., o archivnictví a spisové službě a o změně některých zákonů, ve znění pozdějších předpisů</w:t>
      </w:r>
      <w:r w:rsidR="00F92CAC" w:rsidRPr="00193CF4">
        <w:rPr>
          <w:rFonts w:asciiTheme="minorHAnsi" w:hAnsiTheme="minorHAnsi" w:cstheme="minorHAnsi"/>
          <w:noProof/>
          <w:sz w:val="22"/>
          <w:szCs w:val="22"/>
        </w:rPr>
        <w:t>.</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w:t>
      </w:r>
      <w:r w:rsidR="006549D0" w:rsidRPr="005C00DB">
        <w:rPr>
          <w:rFonts w:asciiTheme="minorHAnsi" w:hAnsiTheme="minorHAnsi" w:cstheme="minorHAnsi"/>
          <w:sz w:val="22"/>
          <w:szCs w:val="22"/>
          <w:lang w:val="cs-CZ"/>
        </w:rPr>
        <w:lastRenderedPageBreak/>
        <w:t>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1E9B3C14"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361FD769"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8D53C9" w:rsidRPr="008D53C9">
              <w:rPr>
                <w:rFonts w:asciiTheme="minorHAnsi" w:eastAsia="Times New Roman" w:hAnsiTheme="minorHAnsi" w:cs="Arial"/>
                <w:bCs/>
                <w:sz w:val="22"/>
                <w:szCs w:val="22"/>
                <w:lang w:val="cs-CZ" w:eastAsia="cs-CZ"/>
              </w:rPr>
              <w:t>Čestlicích</w:t>
            </w:r>
            <w:r w:rsidRPr="00225046">
              <w:rPr>
                <w:rFonts w:asciiTheme="minorHAnsi" w:eastAsia="Times New Roman" w:hAnsiTheme="minorHAnsi" w:cs="Arial"/>
                <w:sz w:val="22"/>
                <w:szCs w:val="22"/>
                <w:lang w:val="cs-CZ" w:eastAsia="cs-CZ"/>
              </w:rPr>
              <w:t xml:space="preserve"> dne </w:t>
            </w:r>
            <w:r w:rsidR="008D53C9">
              <w:rPr>
                <w:rFonts w:asciiTheme="minorHAnsi" w:eastAsia="Times New Roman" w:hAnsiTheme="minorHAnsi" w:cs="Arial"/>
                <w:b/>
                <w:sz w:val="22"/>
                <w:szCs w:val="22"/>
                <w:lang w:val="cs-CZ" w:eastAsia="cs-CZ"/>
              </w:rPr>
              <w:t>……………….</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2C8E60DB" w:rsidR="006549D0" w:rsidRPr="00225046" w:rsidRDefault="008D53C9"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Pr>
                <w:rFonts w:asciiTheme="minorHAnsi" w:eastAsia="Times New Roman" w:hAnsiTheme="minorHAnsi" w:cs="Arial"/>
                <w:b/>
                <w:sz w:val="22"/>
                <w:szCs w:val="22"/>
                <w:highlight w:val="lightGray"/>
                <w:lang w:val="cs-CZ" w:eastAsia="cs-CZ"/>
              </w:rPr>
              <w:t>TRIGON PLUS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7DE84A70" w:rsidR="006549D0" w:rsidRPr="00225046" w:rsidRDefault="001D6B65" w:rsidP="009F59AE">
            <w:pPr>
              <w:widowControl w:val="0"/>
              <w:tabs>
                <w:tab w:val="left" w:pos="540"/>
              </w:tabs>
              <w:ind w:left="0"/>
              <w:jc w:val="center"/>
              <w:rPr>
                <w:rFonts w:asciiTheme="minorHAnsi" w:eastAsia="Times New Roman" w:hAnsiTheme="minorHAnsi" w:cs="Arial"/>
                <w:sz w:val="22"/>
                <w:szCs w:val="22"/>
                <w:highlight w:val="yellow"/>
                <w:lang w:val="cs-CZ" w:eastAsia="cs-CZ"/>
              </w:rPr>
            </w:pPr>
            <w:proofErr w:type="spellStart"/>
            <w:r w:rsidRPr="001D6B65">
              <w:rPr>
                <w:rFonts w:asciiTheme="minorHAnsi" w:eastAsia="Times New Roman" w:hAnsiTheme="minorHAnsi" w:cs="Arial"/>
                <w:sz w:val="22"/>
                <w:szCs w:val="22"/>
                <w:highlight w:val="yellow"/>
                <w:lang w:val="cs-CZ" w:eastAsia="cs-CZ"/>
              </w:rPr>
              <w:t>xxx</w:t>
            </w:r>
            <w:bookmarkStart w:id="0" w:name="_GoBack"/>
            <w:bookmarkEnd w:id="0"/>
            <w:proofErr w:type="spellEnd"/>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2F008E21" w14:textId="77777777" w:rsidR="00C76FE4" w:rsidRDefault="00C76FE4" w:rsidP="00C76FE4">
      <w:pPr>
        <w:ind w:left="0"/>
        <w:jc w:val="both"/>
        <w:rPr>
          <w:rFonts w:asciiTheme="minorHAnsi" w:eastAsia="Calibri" w:hAnsiTheme="minorHAnsi"/>
          <w:b/>
          <w:color w:val="000000"/>
          <w:sz w:val="22"/>
          <w:szCs w:val="22"/>
          <w:lang w:val="cs-CZ"/>
        </w:rPr>
      </w:pPr>
    </w:p>
    <w:p w14:paraId="53F17761" w14:textId="77777777" w:rsidR="00C76FE4" w:rsidRDefault="00C76FE4" w:rsidP="00C76FE4">
      <w:pPr>
        <w:ind w:left="0"/>
        <w:jc w:val="both"/>
        <w:rPr>
          <w:rFonts w:asciiTheme="minorHAnsi" w:eastAsia="Calibri" w:hAnsiTheme="minorHAnsi"/>
          <w:b/>
          <w:color w:val="000000"/>
          <w:sz w:val="22"/>
          <w:szCs w:val="22"/>
          <w:lang w:val="cs-CZ"/>
        </w:rPr>
      </w:pPr>
    </w:p>
    <w:p w14:paraId="7ECF4CC6" w14:textId="77777777" w:rsidR="00C76FE4" w:rsidRDefault="00C76FE4" w:rsidP="00C76FE4">
      <w:pPr>
        <w:ind w:left="0"/>
        <w:jc w:val="both"/>
        <w:rPr>
          <w:rFonts w:asciiTheme="minorHAnsi" w:eastAsia="Calibri" w:hAnsiTheme="minorHAnsi"/>
          <w:b/>
          <w:color w:val="000000"/>
          <w:sz w:val="22"/>
          <w:szCs w:val="22"/>
          <w:lang w:val="cs-CZ"/>
        </w:rPr>
      </w:pPr>
    </w:p>
    <w:p w14:paraId="1ECB142B" w14:textId="77777777" w:rsidR="00C76FE4" w:rsidRDefault="00C76FE4" w:rsidP="00C76FE4">
      <w:pPr>
        <w:ind w:left="0"/>
        <w:jc w:val="both"/>
        <w:rPr>
          <w:rFonts w:asciiTheme="minorHAnsi" w:eastAsia="Calibri" w:hAnsiTheme="minorHAnsi"/>
          <w:b/>
          <w:color w:val="000000"/>
          <w:sz w:val="22"/>
          <w:szCs w:val="22"/>
          <w:lang w:val="cs-CZ"/>
        </w:rPr>
      </w:pPr>
    </w:p>
    <w:p w14:paraId="54D87AC8" w14:textId="77777777" w:rsidR="00C76FE4" w:rsidRDefault="00C76FE4" w:rsidP="00C76FE4">
      <w:pPr>
        <w:ind w:left="0"/>
        <w:jc w:val="both"/>
        <w:rPr>
          <w:rFonts w:asciiTheme="minorHAnsi" w:eastAsia="Calibri" w:hAnsiTheme="minorHAnsi"/>
          <w:b/>
          <w:color w:val="000000"/>
          <w:sz w:val="22"/>
          <w:szCs w:val="22"/>
          <w:lang w:val="cs-CZ"/>
        </w:rPr>
      </w:pPr>
    </w:p>
    <w:p w14:paraId="4AEF6D4A" w14:textId="77777777" w:rsidR="00C76FE4" w:rsidRDefault="00C76FE4" w:rsidP="00C76FE4">
      <w:pPr>
        <w:ind w:left="0"/>
        <w:jc w:val="both"/>
        <w:rPr>
          <w:rFonts w:asciiTheme="minorHAnsi" w:eastAsia="Calibri" w:hAnsiTheme="minorHAnsi"/>
          <w:b/>
          <w:color w:val="000000"/>
          <w:sz w:val="22"/>
          <w:szCs w:val="22"/>
          <w:lang w:val="cs-CZ"/>
        </w:rPr>
      </w:pPr>
    </w:p>
    <w:p w14:paraId="70266AE4" w14:textId="77777777" w:rsidR="00C76FE4" w:rsidRDefault="00C76FE4" w:rsidP="00C76FE4">
      <w:pPr>
        <w:ind w:left="0"/>
        <w:jc w:val="both"/>
        <w:rPr>
          <w:rFonts w:asciiTheme="minorHAnsi" w:eastAsia="Calibri" w:hAnsiTheme="minorHAnsi"/>
          <w:b/>
          <w:color w:val="000000"/>
          <w:sz w:val="22"/>
          <w:szCs w:val="22"/>
          <w:lang w:val="cs-CZ"/>
        </w:rPr>
      </w:pPr>
    </w:p>
    <w:p w14:paraId="77C50E47" w14:textId="77777777" w:rsidR="00C76FE4" w:rsidRDefault="00C76FE4" w:rsidP="00C76FE4">
      <w:pPr>
        <w:ind w:left="0"/>
        <w:jc w:val="both"/>
        <w:rPr>
          <w:rFonts w:asciiTheme="minorHAnsi" w:eastAsia="Calibri" w:hAnsiTheme="minorHAnsi"/>
          <w:b/>
          <w:color w:val="000000"/>
          <w:sz w:val="22"/>
          <w:szCs w:val="22"/>
          <w:lang w:val="cs-CZ"/>
        </w:rPr>
      </w:pPr>
    </w:p>
    <w:p w14:paraId="69827A8E" w14:textId="77777777" w:rsidR="00C76FE4" w:rsidRDefault="00C76FE4" w:rsidP="00C76FE4">
      <w:pPr>
        <w:ind w:left="0"/>
        <w:jc w:val="both"/>
        <w:rPr>
          <w:rFonts w:asciiTheme="minorHAnsi" w:eastAsia="Calibri" w:hAnsiTheme="minorHAnsi"/>
          <w:b/>
          <w:color w:val="000000"/>
          <w:sz w:val="22"/>
          <w:szCs w:val="22"/>
          <w:lang w:val="cs-CZ"/>
        </w:rPr>
      </w:pPr>
    </w:p>
    <w:p w14:paraId="3BEC6BBD" w14:textId="77777777" w:rsidR="00C76FE4" w:rsidRDefault="00C76FE4" w:rsidP="00C76FE4">
      <w:pPr>
        <w:ind w:left="0"/>
        <w:jc w:val="both"/>
        <w:rPr>
          <w:rFonts w:asciiTheme="minorHAnsi" w:eastAsia="Calibri" w:hAnsiTheme="minorHAnsi"/>
          <w:b/>
          <w:color w:val="000000"/>
          <w:sz w:val="22"/>
          <w:szCs w:val="22"/>
          <w:lang w:val="cs-CZ"/>
        </w:rPr>
      </w:pPr>
    </w:p>
    <w:p w14:paraId="03FF4ADF" w14:textId="77777777" w:rsidR="00C76FE4" w:rsidRDefault="00C76FE4" w:rsidP="00C76FE4">
      <w:pPr>
        <w:ind w:left="0"/>
        <w:jc w:val="both"/>
        <w:rPr>
          <w:rFonts w:asciiTheme="minorHAnsi" w:eastAsia="Calibri" w:hAnsiTheme="minorHAnsi"/>
          <w:b/>
          <w:color w:val="000000"/>
          <w:sz w:val="22"/>
          <w:szCs w:val="22"/>
          <w:lang w:val="cs-CZ"/>
        </w:rPr>
      </w:pPr>
    </w:p>
    <w:p w14:paraId="271F84CF" w14:textId="77777777" w:rsidR="00C76FE4" w:rsidRDefault="00C76FE4" w:rsidP="00C76FE4">
      <w:pPr>
        <w:ind w:left="0"/>
        <w:jc w:val="both"/>
        <w:rPr>
          <w:rFonts w:asciiTheme="minorHAnsi" w:eastAsia="Calibri" w:hAnsiTheme="minorHAnsi"/>
          <w:b/>
          <w:color w:val="000000"/>
          <w:sz w:val="22"/>
          <w:szCs w:val="22"/>
          <w:lang w:val="cs-CZ"/>
        </w:rPr>
      </w:pPr>
    </w:p>
    <w:p w14:paraId="7037B2C2" w14:textId="77777777" w:rsidR="00C76FE4" w:rsidRDefault="00C76FE4" w:rsidP="00C76FE4">
      <w:pPr>
        <w:ind w:left="0"/>
        <w:jc w:val="both"/>
        <w:rPr>
          <w:rFonts w:asciiTheme="minorHAnsi" w:eastAsia="Calibri" w:hAnsiTheme="minorHAnsi"/>
          <w:b/>
          <w:color w:val="000000"/>
          <w:sz w:val="22"/>
          <w:szCs w:val="22"/>
          <w:lang w:val="cs-CZ"/>
        </w:rPr>
      </w:pPr>
    </w:p>
    <w:p w14:paraId="3DA54EF6" w14:textId="77777777" w:rsidR="00C76FE4" w:rsidRDefault="00C76FE4" w:rsidP="00C76FE4">
      <w:pPr>
        <w:ind w:left="0"/>
        <w:jc w:val="both"/>
        <w:rPr>
          <w:rFonts w:asciiTheme="minorHAnsi" w:eastAsia="Calibri" w:hAnsiTheme="minorHAnsi"/>
          <w:b/>
          <w:color w:val="000000"/>
          <w:sz w:val="22"/>
          <w:szCs w:val="22"/>
          <w:lang w:val="cs-CZ"/>
        </w:rPr>
      </w:pPr>
    </w:p>
    <w:p w14:paraId="013595DA" w14:textId="77777777" w:rsidR="00C76FE4" w:rsidRDefault="00C76FE4" w:rsidP="00C76FE4">
      <w:pPr>
        <w:ind w:left="0"/>
        <w:jc w:val="both"/>
        <w:rPr>
          <w:rFonts w:asciiTheme="minorHAnsi" w:eastAsia="Calibri" w:hAnsiTheme="minorHAnsi"/>
          <w:b/>
          <w:color w:val="000000"/>
          <w:sz w:val="22"/>
          <w:szCs w:val="22"/>
          <w:lang w:val="cs-CZ"/>
        </w:rPr>
      </w:pPr>
    </w:p>
    <w:p w14:paraId="515805F3" w14:textId="7FC27D58" w:rsidR="00C76FE4" w:rsidRPr="00C76FE4" w:rsidRDefault="00C76FE4" w:rsidP="00C76FE4">
      <w:pPr>
        <w:ind w:left="0"/>
        <w:jc w:val="both"/>
        <w:rPr>
          <w:rFonts w:asciiTheme="minorHAnsi" w:eastAsia="Calibri" w:hAnsiTheme="minorHAnsi"/>
          <w:b/>
          <w:color w:val="000000"/>
          <w:sz w:val="22"/>
          <w:szCs w:val="22"/>
          <w:lang w:val="cs-CZ"/>
        </w:rPr>
      </w:pPr>
      <w:r w:rsidRPr="00C76FE4">
        <w:rPr>
          <w:rFonts w:asciiTheme="minorHAnsi" w:eastAsia="Calibri" w:hAnsiTheme="minorHAnsi"/>
          <w:b/>
          <w:color w:val="000000"/>
          <w:sz w:val="22"/>
          <w:szCs w:val="22"/>
          <w:lang w:val="cs-CZ"/>
        </w:rPr>
        <w:lastRenderedPageBreak/>
        <w:t xml:space="preserve">Příloha č. 3 </w:t>
      </w:r>
      <w:proofErr w:type="spellStart"/>
      <w:r w:rsidRPr="00C76FE4">
        <w:rPr>
          <w:rFonts w:asciiTheme="minorHAnsi" w:eastAsia="Calibri" w:hAnsiTheme="minorHAnsi"/>
          <w:b/>
          <w:color w:val="000000"/>
          <w:sz w:val="22"/>
          <w:szCs w:val="22"/>
          <w:lang w:val="cs-CZ"/>
        </w:rPr>
        <w:t>výzvy_část</w:t>
      </w:r>
      <w:proofErr w:type="spellEnd"/>
      <w:r w:rsidRPr="00C76FE4">
        <w:rPr>
          <w:rFonts w:asciiTheme="minorHAnsi" w:eastAsia="Calibri" w:hAnsiTheme="minorHAnsi"/>
          <w:b/>
          <w:color w:val="000000"/>
          <w:sz w:val="22"/>
          <w:szCs w:val="22"/>
          <w:lang w:val="cs-CZ"/>
        </w:rPr>
        <w:t xml:space="preserve"> 3.VZ</w:t>
      </w:r>
    </w:p>
    <w:p w14:paraId="38E9291F" w14:textId="77777777" w:rsidR="00C76FE4" w:rsidRPr="00C76FE4" w:rsidRDefault="00C76FE4" w:rsidP="00C76FE4">
      <w:pPr>
        <w:ind w:left="0"/>
        <w:jc w:val="both"/>
        <w:rPr>
          <w:rFonts w:asciiTheme="minorHAnsi" w:eastAsia="Calibri" w:hAnsiTheme="minorHAnsi"/>
          <w:b/>
          <w:color w:val="000000"/>
          <w:sz w:val="22"/>
          <w:szCs w:val="22"/>
          <w:lang w:val="cs-CZ"/>
        </w:rPr>
      </w:pPr>
      <w:r w:rsidRPr="00C76FE4">
        <w:rPr>
          <w:rFonts w:asciiTheme="minorHAnsi" w:eastAsia="Calibri" w:hAnsiTheme="minorHAnsi"/>
          <w:b/>
          <w:color w:val="000000"/>
          <w:sz w:val="22"/>
          <w:szCs w:val="22"/>
          <w:lang w:val="cs-CZ"/>
        </w:rPr>
        <w:t>Příloha č. 1 kupní smlouvy</w:t>
      </w:r>
    </w:p>
    <w:p w14:paraId="63DB6F0A" w14:textId="77777777" w:rsidR="00C76FE4" w:rsidRPr="00C76FE4" w:rsidRDefault="00C76FE4" w:rsidP="00C76FE4">
      <w:pPr>
        <w:keepNext/>
        <w:shd w:val="clear" w:color="auto" w:fill="DEEAF6" w:themeFill="accent1" w:themeFillTint="33"/>
        <w:spacing w:line="276" w:lineRule="auto"/>
        <w:ind w:left="0"/>
        <w:jc w:val="center"/>
        <w:outlineLvl w:val="2"/>
        <w:rPr>
          <w:rFonts w:asciiTheme="minorHAnsi" w:eastAsia="Calibri" w:hAnsiTheme="minorHAnsi"/>
          <w:b/>
          <w:bCs/>
          <w:color w:val="000000"/>
          <w:sz w:val="28"/>
          <w:szCs w:val="28"/>
          <w:u w:val="single"/>
          <w:lang w:val="cs-CZ"/>
        </w:rPr>
      </w:pPr>
      <w:r w:rsidRPr="00C76FE4">
        <w:rPr>
          <w:rFonts w:asciiTheme="minorHAnsi" w:eastAsia="Calibri" w:hAnsiTheme="minorHAnsi"/>
          <w:b/>
          <w:bCs/>
          <w:color w:val="000000"/>
          <w:sz w:val="28"/>
          <w:szCs w:val="28"/>
          <w:u w:val="single"/>
          <w:lang w:val="cs-CZ"/>
        </w:rPr>
        <w:t>TABULKA TECHNICKÝCH PARAMETRŮ</w:t>
      </w:r>
    </w:p>
    <w:p w14:paraId="743FB83C" w14:textId="77777777" w:rsidR="00C76FE4" w:rsidRPr="00C76FE4" w:rsidRDefault="00C76FE4" w:rsidP="00C76FE4">
      <w:pPr>
        <w:spacing w:line="276" w:lineRule="auto"/>
        <w:ind w:left="0"/>
        <w:rPr>
          <w:rFonts w:eastAsia="Calibri"/>
          <w:color w:val="000000"/>
          <w:sz w:val="22"/>
          <w:szCs w:val="22"/>
          <w:lang w:val="cs-CZ"/>
        </w:rPr>
      </w:pPr>
    </w:p>
    <w:p w14:paraId="4B8BBB53" w14:textId="77777777" w:rsidR="00C76FE4" w:rsidRPr="00C76FE4" w:rsidRDefault="00C76FE4" w:rsidP="00C76FE4">
      <w:pPr>
        <w:shd w:val="clear" w:color="auto" w:fill="DEEAF6" w:themeFill="accent1" w:themeFillTint="33"/>
        <w:spacing w:line="276" w:lineRule="auto"/>
        <w:ind w:left="0"/>
        <w:jc w:val="center"/>
        <w:rPr>
          <w:rFonts w:asciiTheme="minorHAnsi" w:eastAsia="Calibri" w:hAnsiTheme="minorHAnsi"/>
          <w:sz w:val="24"/>
          <w:szCs w:val="24"/>
          <w:lang w:val="cs-CZ"/>
        </w:rPr>
      </w:pPr>
      <w:r w:rsidRPr="00C76FE4">
        <w:rPr>
          <w:rFonts w:asciiTheme="minorHAnsi" w:eastAsia="Calibri" w:hAnsiTheme="minorHAnsi"/>
          <w:b/>
          <w:sz w:val="28"/>
          <w:szCs w:val="28"/>
          <w:u w:val="single"/>
          <w:lang w:val="cs-CZ"/>
        </w:rPr>
        <w:t>„</w:t>
      </w:r>
      <w:r w:rsidRPr="00C76FE4">
        <w:rPr>
          <w:rFonts w:eastAsia="Calibri"/>
          <w:b/>
          <w:color w:val="000000"/>
          <w:sz w:val="24"/>
          <w:szCs w:val="24"/>
          <w:u w:val="single"/>
          <w:lang w:val="cs-CZ"/>
        </w:rPr>
        <w:t>DODÁVKY PŘÍSTROJŮ PRO KULTIVAČNÍ JEDNOTKU SPECIALIZOVANOU NA DERIVACI, PROPAGACI A CHARAKTERIZACI PRIMORDIÁLNÍCH GERMINÁLNÍCH BUNĚK</w:t>
      </w:r>
      <w:r w:rsidRPr="00C76FE4">
        <w:rPr>
          <w:rFonts w:asciiTheme="minorHAnsi" w:eastAsia="Calibri" w:hAnsiTheme="minorHAnsi"/>
          <w:b/>
          <w:sz w:val="28"/>
          <w:szCs w:val="28"/>
          <w:u w:val="single"/>
          <w:lang w:val="cs-CZ"/>
        </w:rPr>
        <w:t>“</w:t>
      </w:r>
    </w:p>
    <w:p w14:paraId="4A9E3DC9" w14:textId="77777777" w:rsidR="00C76FE4" w:rsidRPr="00C76FE4" w:rsidRDefault="00C76FE4" w:rsidP="00C76FE4">
      <w:pPr>
        <w:shd w:val="clear" w:color="auto" w:fill="DEEAF6" w:themeFill="accent1" w:themeFillTint="33"/>
        <w:spacing w:line="276" w:lineRule="auto"/>
        <w:ind w:left="0"/>
        <w:jc w:val="center"/>
        <w:rPr>
          <w:rFonts w:asciiTheme="minorHAnsi" w:eastAsia="Calibri" w:hAnsiTheme="minorHAnsi"/>
          <w:b/>
          <w:sz w:val="24"/>
          <w:szCs w:val="24"/>
          <w:lang w:val="cs-CZ"/>
        </w:rPr>
      </w:pPr>
      <w:r w:rsidRPr="00C76FE4">
        <w:rPr>
          <w:rFonts w:asciiTheme="minorHAnsi" w:eastAsia="Calibri" w:hAnsiTheme="minorHAnsi"/>
          <w:b/>
          <w:sz w:val="24"/>
          <w:szCs w:val="24"/>
          <w:lang w:val="cs-CZ"/>
        </w:rPr>
        <w:t xml:space="preserve">Část 3: </w:t>
      </w:r>
      <w:proofErr w:type="spellStart"/>
      <w:r w:rsidRPr="00C76FE4">
        <w:rPr>
          <w:rFonts w:asciiTheme="minorHAnsi" w:eastAsia="Calibri" w:hAnsiTheme="minorHAnsi"/>
          <w:b/>
          <w:sz w:val="24"/>
          <w:szCs w:val="24"/>
          <w:lang w:val="cs-CZ"/>
        </w:rPr>
        <w:t>Hlubokomrazící</w:t>
      </w:r>
      <w:proofErr w:type="spellEnd"/>
      <w:r w:rsidRPr="00C76FE4">
        <w:rPr>
          <w:rFonts w:asciiTheme="minorHAnsi" w:eastAsia="Calibri" w:hAnsiTheme="minorHAnsi"/>
          <w:b/>
          <w:sz w:val="24"/>
          <w:szCs w:val="24"/>
          <w:lang w:val="cs-CZ"/>
        </w:rPr>
        <w:t xml:space="preserve"> box -80</w:t>
      </w:r>
      <w:r w:rsidRPr="00C76FE4">
        <w:rPr>
          <w:rFonts w:asciiTheme="minorHAnsi" w:eastAsia="Calibri" w:hAnsiTheme="minorHAnsi"/>
          <w:b/>
          <w:sz w:val="24"/>
          <w:szCs w:val="24"/>
          <w:vertAlign w:val="superscript"/>
          <w:lang w:val="cs-CZ"/>
        </w:rPr>
        <w:t>o</w:t>
      </w:r>
      <w:r w:rsidRPr="00C76FE4">
        <w:rPr>
          <w:rFonts w:asciiTheme="minorHAnsi" w:eastAsia="Calibri" w:hAnsiTheme="minorHAnsi"/>
          <w:b/>
          <w:sz w:val="24"/>
          <w:szCs w:val="24"/>
          <w:lang w:val="cs-CZ"/>
        </w:rPr>
        <w:t>C (1 ks)</w:t>
      </w:r>
    </w:p>
    <w:p w14:paraId="33B531AB" w14:textId="77777777" w:rsidR="00C76FE4" w:rsidRPr="00C76FE4" w:rsidRDefault="00C76FE4" w:rsidP="00C76FE4">
      <w:pPr>
        <w:shd w:val="clear" w:color="auto" w:fill="DEEAF6" w:themeFill="accent1" w:themeFillTint="33"/>
        <w:spacing w:line="276" w:lineRule="auto"/>
        <w:ind w:left="0"/>
        <w:jc w:val="center"/>
        <w:rPr>
          <w:rFonts w:asciiTheme="minorHAnsi" w:eastAsia="Calibri" w:hAnsiTheme="minorHAnsi"/>
          <w:b/>
          <w:color w:val="000000"/>
          <w:sz w:val="22"/>
          <w:szCs w:val="22"/>
          <w:lang w:val="cs-CZ"/>
        </w:rPr>
      </w:pPr>
      <w:r w:rsidRPr="00C76FE4">
        <w:rPr>
          <w:rFonts w:asciiTheme="minorHAnsi" w:eastAsia="Calibri" w:hAnsiTheme="minorHAnsi"/>
          <w:b/>
          <w:color w:val="000000"/>
          <w:sz w:val="22"/>
          <w:szCs w:val="22"/>
          <w:lang w:val="cs-CZ"/>
        </w:rPr>
        <w:t>Interní evidenční číslo zakázky VZ 23/718 ÚMG</w:t>
      </w:r>
    </w:p>
    <w:p w14:paraId="493F4B4E" w14:textId="77777777" w:rsidR="00C76FE4" w:rsidRPr="00C76FE4" w:rsidRDefault="00C76FE4" w:rsidP="00C76FE4">
      <w:pPr>
        <w:tabs>
          <w:tab w:val="left" w:pos="3036"/>
          <w:tab w:val="center" w:pos="4536"/>
        </w:tabs>
        <w:spacing w:after="200" w:line="276" w:lineRule="auto"/>
        <w:ind w:left="0"/>
        <w:jc w:val="center"/>
        <w:rPr>
          <w:rFonts w:asciiTheme="minorHAnsi" w:eastAsia="Calibri" w:hAnsiTheme="minorHAnsi" w:cs="Arial"/>
          <w:color w:val="000000"/>
          <w:sz w:val="22"/>
          <w:szCs w:val="22"/>
          <w:u w:val="single"/>
          <w:lang w:val="cs-CZ"/>
        </w:rPr>
      </w:pPr>
      <w:r w:rsidRPr="00C76FE4">
        <w:rPr>
          <w:rFonts w:asciiTheme="minorHAnsi" w:eastAsia="Calibri" w:hAnsiTheme="minorHAnsi" w:cs="Arial"/>
          <w:color w:val="000000"/>
          <w:sz w:val="22"/>
          <w:szCs w:val="22"/>
          <w:u w:val="single"/>
          <w:lang w:val="cs-CZ"/>
        </w:rPr>
        <w:t>Popis předmětu plnění:</w:t>
      </w:r>
    </w:p>
    <w:p w14:paraId="1C38D58A" w14:textId="77777777" w:rsidR="00C76FE4" w:rsidRPr="00C76FE4" w:rsidRDefault="00C76FE4" w:rsidP="00C76FE4">
      <w:pPr>
        <w:ind w:left="0"/>
        <w:jc w:val="both"/>
        <w:rPr>
          <w:rFonts w:asciiTheme="minorHAnsi" w:eastAsia="Calibri" w:hAnsiTheme="minorHAnsi" w:cs="Arial"/>
          <w:color w:val="000000"/>
          <w:sz w:val="22"/>
          <w:szCs w:val="22"/>
          <w:lang w:val="cs-CZ"/>
        </w:rPr>
      </w:pPr>
      <w:r w:rsidRPr="00C76FE4">
        <w:rPr>
          <w:rFonts w:asciiTheme="minorHAnsi" w:eastAsia="Calibri" w:hAnsiTheme="minorHAnsi" w:cs="Arial"/>
          <w:color w:val="000000"/>
          <w:sz w:val="22"/>
          <w:szCs w:val="22"/>
          <w:lang w:val="cs-CZ"/>
        </w:rPr>
        <w:t xml:space="preserve">Předmětem plnění je dodávka a instalace jednoho kusu nového, dosud neužívaného, nerepasovaného, plně funkčního </w:t>
      </w:r>
      <w:proofErr w:type="spellStart"/>
      <w:r w:rsidRPr="00C76FE4">
        <w:rPr>
          <w:rFonts w:asciiTheme="minorHAnsi" w:eastAsia="Calibri" w:hAnsiTheme="minorHAnsi" w:cs="Arial"/>
          <w:color w:val="000000"/>
          <w:sz w:val="22"/>
          <w:szCs w:val="22"/>
          <w:lang w:val="cs-CZ"/>
        </w:rPr>
        <w:t>hlubokomrazícího</w:t>
      </w:r>
      <w:proofErr w:type="spellEnd"/>
      <w:r w:rsidRPr="00C76FE4">
        <w:rPr>
          <w:rFonts w:asciiTheme="minorHAnsi" w:eastAsia="Calibri" w:hAnsiTheme="minorHAnsi" w:cs="Arial"/>
          <w:color w:val="000000"/>
          <w:sz w:val="22"/>
          <w:szCs w:val="22"/>
          <w:lang w:val="cs-CZ"/>
        </w:rPr>
        <w:t xml:space="preserve"> boxu -80</w:t>
      </w:r>
      <w:r w:rsidRPr="00C76FE4">
        <w:rPr>
          <w:rFonts w:asciiTheme="minorHAnsi" w:eastAsia="Calibri" w:hAnsiTheme="minorHAnsi" w:cs="Arial"/>
          <w:color w:val="000000"/>
          <w:sz w:val="22"/>
          <w:szCs w:val="22"/>
          <w:vertAlign w:val="superscript"/>
          <w:lang w:val="cs-CZ"/>
        </w:rPr>
        <w:t>o</w:t>
      </w:r>
      <w:r w:rsidRPr="00C76FE4">
        <w:rPr>
          <w:rFonts w:asciiTheme="minorHAnsi" w:eastAsia="Calibri" w:hAnsiTheme="minorHAnsi" w:cs="Arial"/>
          <w:color w:val="000000"/>
          <w:sz w:val="22"/>
          <w:szCs w:val="22"/>
          <w:lang w:val="cs-CZ"/>
        </w:rPr>
        <w:t>C</w:t>
      </w:r>
      <w:r w:rsidRPr="00C76FE4">
        <w:rPr>
          <w:rFonts w:eastAsia="Calibri"/>
          <w:color w:val="000000"/>
          <w:sz w:val="22"/>
          <w:szCs w:val="22"/>
          <w:lang w:val="cs-CZ"/>
        </w:rPr>
        <w:t>, včetně veškerého nezbytného příslušenství, zaškolení obsluhy a záručního servisu</w:t>
      </w:r>
      <w:r w:rsidRPr="00C76FE4">
        <w:rPr>
          <w:rFonts w:asciiTheme="minorHAnsi" w:eastAsia="Calibri" w:hAnsiTheme="minorHAnsi" w:cstheme="minorHAnsi"/>
          <w:bCs/>
          <w:color w:val="000000"/>
          <w:sz w:val="22"/>
          <w:szCs w:val="22"/>
          <w:lang w:val="cs-CZ"/>
        </w:rPr>
        <w:t>.</w:t>
      </w:r>
    </w:p>
    <w:p w14:paraId="4B64DFAE" w14:textId="77777777" w:rsidR="00C76FE4" w:rsidRPr="00C76FE4" w:rsidRDefault="00C76FE4" w:rsidP="00C76FE4">
      <w:pPr>
        <w:spacing w:after="200" w:line="276" w:lineRule="auto"/>
        <w:ind w:left="0"/>
        <w:jc w:val="both"/>
        <w:rPr>
          <w:rFonts w:asciiTheme="minorHAnsi" w:eastAsia="Calibri" w:hAnsiTheme="minorHAnsi"/>
          <w:color w:val="000000"/>
          <w:sz w:val="22"/>
          <w:szCs w:val="22"/>
          <w:lang w:val="cs-CZ"/>
        </w:rPr>
      </w:pPr>
    </w:p>
    <w:p w14:paraId="77E5FA2A" w14:textId="77777777" w:rsidR="00C76FE4" w:rsidRPr="00C76FE4" w:rsidRDefault="00C76FE4" w:rsidP="00C76FE4">
      <w:pPr>
        <w:spacing w:after="200" w:line="276" w:lineRule="auto"/>
        <w:ind w:left="0"/>
        <w:jc w:val="both"/>
        <w:rPr>
          <w:rFonts w:asciiTheme="minorHAnsi" w:eastAsia="Calibri" w:hAnsiTheme="minorHAnsi"/>
          <w:color w:val="000000"/>
          <w:sz w:val="22"/>
          <w:szCs w:val="22"/>
          <w:lang w:val="cs-CZ"/>
        </w:rPr>
      </w:pPr>
      <w:r w:rsidRPr="00C76FE4">
        <w:rPr>
          <w:rFonts w:asciiTheme="minorHAnsi" w:eastAsia="Calibri" w:hAnsiTheme="minorHAnsi"/>
          <w:color w:val="000000"/>
          <w:sz w:val="22"/>
          <w:szCs w:val="22"/>
          <w:lang w:val="cs-CZ"/>
        </w:rPr>
        <w:t xml:space="preserve">Dodavatel TRIGON PLUS s.r.o. tímto </w:t>
      </w:r>
      <w:r w:rsidRPr="00C76FE4">
        <w:rPr>
          <w:rFonts w:asciiTheme="minorHAnsi" w:eastAsia="Calibri" w:hAnsiTheme="minorHAnsi"/>
          <w:b/>
          <w:color w:val="000000"/>
          <w:sz w:val="22"/>
          <w:szCs w:val="22"/>
          <w:lang w:val="cs-CZ"/>
        </w:rPr>
        <w:t>čestně prohlašuje</w:t>
      </w:r>
      <w:r w:rsidRPr="00C76FE4">
        <w:rPr>
          <w:rFonts w:asciiTheme="minorHAnsi" w:eastAsia="Calibri" w:hAnsiTheme="minorHAnsi"/>
          <w:color w:val="000000"/>
          <w:sz w:val="22"/>
          <w:szCs w:val="22"/>
          <w:lang w:val="cs-CZ"/>
        </w:rPr>
        <w:t xml:space="preserve">, že </w:t>
      </w:r>
      <w:r w:rsidRPr="00C76FE4">
        <w:rPr>
          <w:rFonts w:asciiTheme="minorHAnsi" w:eastAsia="Calibri" w:hAnsiTheme="minorHAnsi"/>
          <w:b/>
          <w:color w:val="000000"/>
          <w:sz w:val="22"/>
          <w:szCs w:val="22"/>
          <w:lang w:val="cs-CZ"/>
        </w:rPr>
        <w:t>nabízený předmět plnění má veškeré technické vlastnosti a splňuje veškeré technické parametry uvedené v kupní smlouvě a v čl. 3.5 výzvy k podání nabídek (ZD) výše uvedené veřejné zakázky</w:t>
      </w:r>
      <w:r w:rsidRPr="00C76FE4">
        <w:rPr>
          <w:rFonts w:asciiTheme="minorHAnsi" w:eastAsia="Calibri" w:hAnsiTheme="minorHAnsi"/>
          <w:color w:val="000000"/>
          <w:sz w:val="22"/>
          <w:szCs w:val="22"/>
          <w:lang w:val="cs-CZ"/>
        </w:rPr>
        <w:t>, když níže blíže specifikuje vlastnosti jím nabízeného předmětu plnění:</w:t>
      </w:r>
    </w:p>
    <w:p w14:paraId="4CBB02EF" w14:textId="77777777" w:rsidR="00C76FE4" w:rsidRPr="00C76FE4" w:rsidRDefault="00C76FE4" w:rsidP="00C76FE4">
      <w:pPr>
        <w:shd w:val="clear" w:color="auto" w:fill="DEEAF6" w:themeFill="accent1" w:themeFillTint="33"/>
        <w:ind w:left="0"/>
        <w:jc w:val="both"/>
        <w:rPr>
          <w:rFonts w:asciiTheme="minorHAnsi" w:eastAsia="Calibri" w:hAnsiTheme="minorHAnsi" w:cs="Arial"/>
          <w:b/>
          <w:color w:val="000000"/>
          <w:sz w:val="22"/>
          <w:szCs w:val="22"/>
          <w:lang w:val="cs-CZ"/>
        </w:rPr>
      </w:pPr>
      <w:r w:rsidRPr="00C76FE4">
        <w:rPr>
          <w:rFonts w:asciiTheme="minorHAnsi" w:eastAsia="Calibri" w:hAnsiTheme="minorHAnsi"/>
          <w:b/>
          <w:color w:val="000000"/>
          <w:sz w:val="22"/>
          <w:szCs w:val="22"/>
          <w:lang w:val="cs-CZ"/>
        </w:rPr>
        <w:t xml:space="preserve">Absolutní minimální požadavky zadavatele na předmět plnění, tj. </w:t>
      </w:r>
      <w:proofErr w:type="spellStart"/>
      <w:r w:rsidRPr="00C76FE4">
        <w:rPr>
          <w:rFonts w:asciiTheme="minorHAnsi" w:eastAsia="Calibri" w:hAnsiTheme="minorHAnsi"/>
          <w:b/>
          <w:color w:val="000000"/>
          <w:sz w:val="22"/>
          <w:szCs w:val="22"/>
          <w:lang w:val="cs-CZ"/>
        </w:rPr>
        <w:t>hlubokomrazící</w:t>
      </w:r>
      <w:proofErr w:type="spellEnd"/>
      <w:r w:rsidRPr="00C76FE4">
        <w:rPr>
          <w:rFonts w:asciiTheme="minorHAnsi" w:eastAsia="Calibri" w:hAnsiTheme="minorHAnsi"/>
          <w:b/>
          <w:color w:val="000000"/>
          <w:sz w:val="22"/>
          <w:szCs w:val="22"/>
          <w:lang w:val="cs-CZ"/>
        </w:rPr>
        <w:t xml:space="preserve"> box,</w:t>
      </w:r>
      <w:r w:rsidRPr="00C76FE4">
        <w:rPr>
          <w:rFonts w:asciiTheme="minorHAnsi" w:eastAsia="Calibri" w:hAnsiTheme="minorHAnsi" w:cs="Arial"/>
          <w:b/>
          <w:color w:val="000000"/>
          <w:sz w:val="22"/>
          <w:szCs w:val="22"/>
          <w:lang w:val="cs-CZ"/>
        </w:rPr>
        <w:t xml:space="preserve"> a jejich splnění dodavatelem:</w:t>
      </w:r>
    </w:p>
    <w:p w14:paraId="3D6C7765" w14:textId="77777777" w:rsidR="00C76FE4" w:rsidRPr="00C76FE4" w:rsidRDefault="00C76FE4" w:rsidP="00C76FE4">
      <w:pPr>
        <w:ind w:left="0"/>
        <w:jc w:val="both"/>
        <w:rPr>
          <w:rFonts w:eastAsia="Calibri"/>
          <w:color w:val="000000"/>
          <w:sz w:val="22"/>
          <w:szCs w:val="22"/>
          <w:lang w:val="cs-CZ"/>
        </w:rPr>
      </w:pPr>
    </w:p>
    <w:p w14:paraId="052D3F1A" w14:textId="77777777" w:rsidR="00C76FE4" w:rsidRPr="00C76FE4" w:rsidRDefault="00C76FE4" w:rsidP="00C76FE4">
      <w:pPr>
        <w:ind w:left="0"/>
        <w:jc w:val="both"/>
        <w:rPr>
          <w:rFonts w:eastAsia="Calibri"/>
          <w:b/>
          <w:color w:val="000000"/>
          <w:sz w:val="22"/>
          <w:szCs w:val="22"/>
          <w:lang w:val="cs-CZ"/>
        </w:rPr>
      </w:pPr>
      <w:proofErr w:type="spellStart"/>
      <w:r w:rsidRPr="00C76FE4">
        <w:rPr>
          <w:rFonts w:eastAsia="Calibri"/>
          <w:b/>
          <w:color w:val="000000"/>
          <w:sz w:val="22"/>
          <w:szCs w:val="22"/>
          <w:lang w:val="cs-CZ"/>
        </w:rPr>
        <w:t>Hlubokomrazící</w:t>
      </w:r>
      <w:proofErr w:type="spellEnd"/>
      <w:r w:rsidRPr="00C76FE4">
        <w:rPr>
          <w:rFonts w:eastAsia="Calibri"/>
          <w:b/>
          <w:color w:val="000000"/>
          <w:sz w:val="22"/>
          <w:szCs w:val="22"/>
          <w:lang w:val="cs-CZ"/>
        </w:rPr>
        <w:t xml:space="preserve"> box -80</w:t>
      </w:r>
      <w:r w:rsidRPr="00C76FE4">
        <w:rPr>
          <w:rFonts w:eastAsia="Calibri"/>
          <w:b/>
          <w:color w:val="000000"/>
          <w:sz w:val="22"/>
          <w:szCs w:val="22"/>
          <w:vertAlign w:val="superscript"/>
          <w:lang w:val="cs-CZ"/>
        </w:rPr>
        <w:t>o</w:t>
      </w:r>
      <w:r w:rsidRPr="00C76FE4">
        <w:rPr>
          <w:rFonts w:eastAsia="Calibri"/>
          <w:b/>
          <w:color w:val="000000"/>
          <w:sz w:val="22"/>
          <w:szCs w:val="22"/>
          <w:lang w:val="cs-CZ"/>
        </w:rPr>
        <w:t>C:</w:t>
      </w:r>
    </w:p>
    <w:p w14:paraId="33DA8104" w14:textId="77777777" w:rsidR="00C76FE4" w:rsidRPr="00C76FE4" w:rsidRDefault="00C76FE4" w:rsidP="00C76FE4">
      <w:pPr>
        <w:ind w:left="0"/>
        <w:jc w:val="both"/>
        <w:rPr>
          <w:rFonts w:eastAsia="Calibri"/>
          <w:b/>
          <w:color w:val="000000"/>
          <w:sz w:val="22"/>
          <w:szCs w:val="22"/>
          <w:lang w:val="cs-CZ"/>
        </w:rPr>
      </w:pPr>
    </w:p>
    <w:tbl>
      <w:tblPr>
        <w:tblStyle w:val="Mkatabulky3"/>
        <w:tblW w:w="9049" w:type="dxa"/>
        <w:tblInd w:w="18" w:type="dxa"/>
        <w:tblLook w:val="04A0" w:firstRow="1" w:lastRow="0" w:firstColumn="1" w:lastColumn="0" w:noHBand="0" w:noVBand="1"/>
      </w:tblPr>
      <w:tblGrid>
        <w:gridCol w:w="2529"/>
        <w:gridCol w:w="6520"/>
      </w:tblGrid>
      <w:tr w:rsidR="00C76FE4" w:rsidRPr="00C76FE4" w14:paraId="1E0B5500" w14:textId="77777777" w:rsidTr="00124EAC">
        <w:trPr>
          <w:trHeight w:val="864"/>
        </w:trPr>
        <w:tc>
          <w:tcPr>
            <w:tcW w:w="2529" w:type="dxa"/>
            <w:vAlign w:val="center"/>
          </w:tcPr>
          <w:p w14:paraId="6094559C" w14:textId="77777777" w:rsidR="00C76FE4" w:rsidRPr="00C76FE4" w:rsidRDefault="00C76FE4" w:rsidP="00C76FE4">
            <w:pPr>
              <w:spacing w:after="200" w:line="276" w:lineRule="auto"/>
              <w:ind w:left="0"/>
              <w:rPr>
                <w:rFonts w:asciiTheme="minorHAnsi" w:hAnsiTheme="minorHAnsi" w:cs="Arial"/>
                <w:bCs/>
                <w:color w:val="000000"/>
                <w:sz w:val="22"/>
                <w:szCs w:val="22"/>
                <w:lang w:val="cs-CZ"/>
              </w:rPr>
            </w:pPr>
            <w:r w:rsidRPr="00C76FE4">
              <w:rPr>
                <w:rFonts w:asciiTheme="minorHAnsi" w:hAnsiTheme="minorHAnsi" w:cs="Arial"/>
                <w:b/>
                <w:color w:val="000000"/>
                <w:sz w:val="22"/>
                <w:szCs w:val="22"/>
                <w:lang w:val="cs-CZ"/>
              </w:rPr>
              <w:t>Výrobce:</w:t>
            </w:r>
          </w:p>
        </w:tc>
        <w:tc>
          <w:tcPr>
            <w:tcW w:w="6520" w:type="dxa"/>
            <w:vAlign w:val="center"/>
          </w:tcPr>
          <w:p w14:paraId="35A535BD" w14:textId="77777777" w:rsidR="00C76FE4" w:rsidRPr="00C76FE4" w:rsidRDefault="00C76FE4" w:rsidP="00C76FE4">
            <w:pPr>
              <w:spacing w:after="200" w:line="276" w:lineRule="auto"/>
              <w:ind w:left="0"/>
              <w:rPr>
                <w:rFonts w:asciiTheme="minorHAnsi" w:hAnsiTheme="minorHAnsi" w:cs="Arial"/>
                <w:color w:val="000000"/>
                <w:sz w:val="22"/>
                <w:szCs w:val="22"/>
                <w:lang w:val="cs-CZ"/>
              </w:rPr>
            </w:pPr>
            <w:proofErr w:type="spellStart"/>
            <w:r w:rsidRPr="00C76FE4">
              <w:rPr>
                <w:rFonts w:asciiTheme="minorHAnsi" w:hAnsiTheme="minorHAnsi" w:cs="Arial"/>
                <w:color w:val="000000"/>
                <w:sz w:val="22"/>
                <w:szCs w:val="22"/>
                <w:lang w:val="cs-CZ"/>
              </w:rPr>
              <w:t>Arctiko</w:t>
            </w:r>
            <w:proofErr w:type="spellEnd"/>
          </w:p>
        </w:tc>
      </w:tr>
      <w:tr w:rsidR="00C76FE4" w:rsidRPr="00C76FE4" w14:paraId="63F7ECCB" w14:textId="77777777" w:rsidTr="00124EAC">
        <w:trPr>
          <w:trHeight w:val="864"/>
        </w:trPr>
        <w:tc>
          <w:tcPr>
            <w:tcW w:w="2529" w:type="dxa"/>
            <w:vAlign w:val="center"/>
          </w:tcPr>
          <w:p w14:paraId="33C8A376" w14:textId="77777777" w:rsidR="00C76FE4" w:rsidRPr="00C76FE4" w:rsidRDefault="00C76FE4" w:rsidP="00C76FE4">
            <w:pPr>
              <w:spacing w:after="200" w:line="276" w:lineRule="auto"/>
              <w:ind w:left="0"/>
              <w:rPr>
                <w:rFonts w:asciiTheme="minorHAnsi" w:hAnsiTheme="minorHAnsi" w:cs="Arial"/>
                <w:b/>
                <w:color w:val="000000"/>
                <w:sz w:val="22"/>
                <w:szCs w:val="22"/>
                <w:lang w:val="cs-CZ"/>
              </w:rPr>
            </w:pPr>
            <w:r w:rsidRPr="00C76FE4">
              <w:rPr>
                <w:rFonts w:asciiTheme="minorHAnsi" w:hAnsiTheme="minorHAnsi" w:cs="Arial"/>
                <w:b/>
                <w:color w:val="000000"/>
                <w:sz w:val="22"/>
                <w:szCs w:val="22"/>
                <w:lang w:val="cs-CZ"/>
              </w:rPr>
              <w:t>Typ:</w:t>
            </w:r>
          </w:p>
        </w:tc>
        <w:tc>
          <w:tcPr>
            <w:tcW w:w="6520" w:type="dxa"/>
            <w:vAlign w:val="center"/>
          </w:tcPr>
          <w:p w14:paraId="3333C421" w14:textId="77777777" w:rsidR="00C76FE4" w:rsidRPr="00C76FE4" w:rsidRDefault="00C76FE4" w:rsidP="00C76FE4">
            <w:pPr>
              <w:spacing w:after="200" w:line="276" w:lineRule="auto"/>
              <w:ind w:left="0"/>
              <w:rPr>
                <w:rFonts w:asciiTheme="minorHAnsi" w:hAnsiTheme="minorHAnsi" w:cs="Arial"/>
                <w:color w:val="000000"/>
                <w:sz w:val="22"/>
                <w:szCs w:val="22"/>
                <w:lang w:val="cs-CZ"/>
              </w:rPr>
            </w:pPr>
            <w:r w:rsidRPr="00C76FE4">
              <w:rPr>
                <w:rFonts w:asciiTheme="minorHAnsi" w:hAnsiTheme="minorHAnsi" w:cs="Arial"/>
                <w:color w:val="000000"/>
                <w:sz w:val="22"/>
                <w:szCs w:val="22"/>
                <w:lang w:val="cs-CZ"/>
              </w:rPr>
              <w:t xml:space="preserve">P820 GG </w:t>
            </w:r>
            <w:proofErr w:type="spellStart"/>
            <w:r w:rsidRPr="00C76FE4">
              <w:rPr>
                <w:rFonts w:asciiTheme="minorHAnsi" w:hAnsiTheme="minorHAnsi" w:cs="Arial"/>
                <w:color w:val="000000"/>
                <w:sz w:val="22"/>
                <w:szCs w:val="22"/>
                <w:lang w:val="cs-CZ"/>
              </w:rPr>
              <w:t>Integra</w:t>
            </w:r>
            <w:proofErr w:type="spellEnd"/>
          </w:p>
        </w:tc>
      </w:tr>
    </w:tbl>
    <w:p w14:paraId="39441A89" w14:textId="77777777" w:rsidR="00C76FE4" w:rsidRPr="00C76FE4" w:rsidRDefault="00C76FE4" w:rsidP="00C76FE4">
      <w:pPr>
        <w:ind w:left="0"/>
        <w:jc w:val="both"/>
        <w:rPr>
          <w:rFonts w:eastAsia="Calibri"/>
          <w:b/>
          <w:color w:val="000000"/>
          <w:sz w:val="22"/>
          <w:szCs w:val="22"/>
          <w:lang w:val="cs-CZ"/>
        </w:rPr>
      </w:pPr>
    </w:p>
    <w:p w14:paraId="04BADE1A" w14:textId="77777777" w:rsidR="00C76FE4" w:rsidRPr="00C76FE4" w:rsidRDefault="00C76FE4" w:rsidP="00C76FE4">
      <w:pPr>
        <w:ind w:left="0"/>
        <w:jc w:val="both"/>
        <w:rPr>
          <w:rFonts w:eastAsia="Calibri"/>
          <w:b/>
          <w:color w:val="000000"/>
          <w:sz w:val="22"/>
          <w:szCs w:val="22"/>
          <w:lang w:val="cs-CZ"/>
        </w:rPr>
      </w:pPr>
    </w:p>
    <w:tbl>
      <w:tblPr>
        <w:tblStyle w:val="Mkatabulky3"/>
        <w:tblW w:w="0" w:type="auto"/>
        <w:tblLook w:val="04A0" w:firstRow="1" w:lastRow="0" w:firstColumn="1" w:lastColumn="0" w:noHBand="0" w:noVBand="1"/>
      </w:tblPr>
      <w:tblGrid>
        <w:gridCol w:w="622"/>
        <w:gridCol w:w="2817"/>
        <w:gridCol w:w="2813"/>
        <w:gridCol w:w="2822"/>
      </w:tblGrid>
      <w:tr w:rsidR="00C76FE4" w:rsidRPr="00C76FE4" w14:paraId="79AD0353" w14:textId="77777777" w:rsidTr="00124EAC">
        <w:trPr>
          <w:trHeight w:val="685"/>
        </w:trPr>
        <w:tc>
          <w:tcPr>
            <w:tcW w:w="622" w:type="dxa"/>
          </w:tcPr>
          <w:p w14:paraId="0FE7473E" w14:textId="77777777" w:rsidR="00C76FE4" w:rsidRPr="00C76FE4" w:rsidRDefault="00C76FE4" w:rsidP="00C76FE4">
            <w:pPr>
              <w:ind w:left="0"/>
              <w:jc w:val="both"/>
              <w:rPr>
                <w:color w:val="000000"/>
                <w:lang w:eastAsia="cs-CZ"/>
              </w:rPr>
            </w:pPr>
          </w:p>
        </w:tc>
        <w:tc>
          <w:tcPr>
            <w:tcW w:w="2817" w:type="dxa"/>
          </w:tcPr>
          <w:p w14:paraId="36A4C70D"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b/>
                <w:color w:val="000000"/>
                <w:lang w:val="cs-CZ"/>
              </w:rPr>
              <w:t>Požadovaná funkce či parametr:</w:t>
            </w:r>
          </w:p>
        </w:tc>
        <w:tc>
          <w:tcPr>
            <w:tcW w:w="2813" w:type="dxa"/>
          </w:tcPr>
          <w:p w14:paraId="6A751A08" w14:textId="77777777" w:rsidR="00C76FE4" w:rsidRPr="00C76FE4" w:rsidRDefault="00C76FE4" w:rsidP="00C76FE4">
            <w:pPr>
              <w:spacing w:after="240"/>
              <w:ind w:left="0"/>
              <w:jc w:val="both"/>
              <w:rPr>
                <w:rFonts w:asciiTheme="minorHAnsi" w:hAnsiTheme="minorHAnsi" w:cstheme="minorHAnsi"/>
                <w:b/>
                <w:bCs/>
                <w:color w:val="000000"/>
                <w:lang w:val="cs-CZ" w:eastAsia="cs-CZ"/>
              </w:rPr>
            </w:pPr>
            <w:r w:rsidRPr="00C76FE4">
              <w:rPr>
                <w:rFonts w:asciiTheme="minorHAnsi" w:hAnsiTheme="minorHAnsi" w:cstheme="minorHAnsi"/>
                <w:b/>
                <w:bCs/>
                <w:color w:val="000000"/>
                <w:lang w:val="cs-CZ" w:eastAsia="cs-CZ"/>
              </w:rPr>
              <w:t>Splnění parametru:</w:t>
            </w:r>
          </w:p>
        </w:tc>
        <w:tc>
          <w:tcPr>
            <w:tcW w:w="2822" w:type="dxa"/>
          </w:tcPr>
          <w:p w14:paraId="29749CB8" w14:textId="77777777" w:rsidR="00C76FE4" w:rsidRPr="00C76FE4" w:rsidRDefault="00C76FE4" w:rsidP="00C76FE4">
            <w:pPr>
              <w:spacing w:after="240"/>
              <w:ind w:left="0"/>
              <w:jc w:val="both"/>
              <w:rPr>
                <w:rFonts w:asciiTheme="minorHAnsi" w:hAnsiTheme="minorHAnsi" w:cstheme="minorHAnsi"/>
                <w:b/>
                <w:bCs/>
                <w:color w:val="000000"/>
                <w:lang w:val="cs-CZ" w:eastAsia="cs-CZ"/>
              </w:rPr>
            </w:pPr>
            <w:r w:rsidRPr="00C76FE4">
              <w:rPr>
                <w:rFonts w:asciiTheme="minorHAnsi" w:hAnsiTheme="minorHAnsi" w:cstheme="minorHAnsi"/>
                <w:b/>
                <w:bCs/>
                <w:color w:val="000000"/>
                <w:lang w:val="cs-CZ" w:eastAsia="cs-CZ"/>
              </w:rPr>
              <w:t>Hodnota parametru/funkce u předmětu plnění nabízeného účastníkem:</w:t>
            </w:r>
          </w:p>
        </w:tc>
      </w:tr>
      <w:tr w:rsidR="00C76FE4" w:rsidRPr="00C76FE4" w14:paraId="2E6890C7" w14:textId="77777777" w:rsidTr="00124EAC">
        <w:trPr>
          <w:trHeight w:val="685"/>
        </w:trPr>
        <w:tc>
          <w:tcPr>
            <w:tcW w:w="622" w:type="dxa"/>
          </w:tcPr>
          <w:p w14:paraId="7D65881A" w14:textId="77777777" w:rsidR="00C76FE4" w:rsidRPr="00C76FE4" w:rsidRDefault="00C76FE4" w:rsidP="00C76FE4">
            <w:pPr>
              <w:ind w:left="0"/>
              <w:jc w:val="both"/>
              <w:rPr>
                <w:color w:val="000000"/>
                <w:lang w:eastAsia="cs-CZ"/>
              </w:rPr>
            </w:pPr>
            <w:r w:rsidRPr="00C76FE4">
              <w:rPr>
                <w:color w:val="000000"/>
                <w:lang w:eastAsia="cs-CZ"/>
              </w:rPr>
              <w:t>1.1</w:t>
            </w:r>
          </w:p>
        </w:tc>
        <w:tc>
          <w:tcPr>
            <w:tcW w:w="2817" w:type="dxa"/>
          </w:tcPr>
          <w:p w14:paraId="3B233E83"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rFonts w:cs="Arial"/>
                <w:color w:val="000000"/>
                <w:lang w:val="cs-CZ"/>
              </w:rPr>
              <w:t>Skříňové provedení s objemem alespoň 700 l a kapacitou alespoň 550 2´´ krabic</w:t>
            </w:r>
          </w:p>
        </w:tc>
        <w:tc>
          <w:tcPr>
            <w:tcW w:w="2813" w:type="dxa"/>
          </w:tcPr>
          <w:p w14:paraId="5222052D"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rFonts w:asciiTheme="minorHAnsi" w:hAnsiTheme="minorHAnsi" w:cstheme="minorHAnsi"/>
                <w:bCs/>
                <w:color w:val="000000"/>
                <w:lang w:val="cs-CZ" w:eastAsia="cs-CZ"/>
              </w:rPr>
              <w:t>ANO</w:t>
            </w:r>
          </w:p>
        </w:tc>
        <w:tc>
          <w:tcPr>
            <w:tcW w:w="2822" w:type="dxa"/>
          </w:tcPr>
          <w:p w14:paraId="7E2D642A" w14:textId="77777777" w:rsidR="00C76FE4" w:rsidRPr="00C76FE4" w:rsidRDefault="00C76FE4" w:rsidP="00C76FE4">
            <w:pPr>
              <w:spacing w:after="240"/>
              <w:ind w:left="0"/>
              <w:jc w:val="both"/>
              <w:rPr>
                <w:rFonts w:asciiTheme="minorHAnsi" w:hAnsiTheme="minorHAnsi" w:cstheme="minorHAnsi"/>
                <w:bCs/>
                <w:color w:val="000000"/>
                <w:lang w:eastAsia="cs-CZ"/>
              </w:rPr>
            </w:pPr>
            <w:r w:rsidRPr="00C76FE4">
              <w:rPr>
                <w:rFonts w:asciiTheme="minorHAnsi" w:hAnsiTheme="minorHAnsi" w:cstheme="minorHAnsi"/>
                <w:bCs/>
                <w:color w:val="000000"/>
                <w:lang w:eastAsia="cs-CZ"/>
              </w:rPr>
              <w:t xml:space="preserve">819 </w:t>
            </w:r>
            <w:proofErr w:type="spellStart"/>
            <w:r w:rsidRPr="00C76FE4">
              <w:rPr>
                <w:rFonts w:asciiTheme="minorHAnsi" w:hAnsiTheme="minorHAnsi" w:cstheme="minorHAnsi"/>
                <w:bCs/>
                <w:color w:val="000000"/>
                <w:lang w:eastAsia="cs-CZ"/>
              </w:rPr>
              <w:t>litrů</w:t>
            </w:r>
            <w:proofErr w:type="spellEnd"/>
            <w:r w:rsidRPr="00C76FE4">
              <w:rPr>
                <w:rFonts w:asciiTheme="minorHAnsi" w:hAnsiTheme="minorHAnsi" w:cstheme="minorHAnsi"/>
                <w:bCs/>
                <w:color w:val="000000"/>
                <w:lang w:eastAsia="cs-CZ"/>
              </w:rPr>
              <w:t xml:space="preserve">, 616 </w:t>
            </w:r>
            <w:proofErr w:type="spellStart"/>
            <w:r w:rsidRPr="00C76FE4">
              <w:rPr>
                <w:rFonts w:asciiTheme="minorHAnsi" w:hAnsiTheme="minorHAnsi" w:cstheme="minorHAnsi"/>
                <w:bCs/>
                <w:color w:val="000000"/>
                <w:lang w:eastAsia="cs-CZ"/>
              </w:rPr>
              <w:t>ks</w:t>
            </w:r>
            <w:proofErr w:type="spellEnd"/>
            <w:r w:rsidRPr="00C76FE4">
              <w:rPr>
                <w:rFonts w:asciiTheme="minorHAnsi" w:hAnsiTheme="minorHAnsi" w:cstheme="minorHAnsi"/>
                <w:bCs/>
                <w:color w:val="000000"/>
                <w:lang w:eastAsia="cs-CZ"/>
              </w:rPr>
              <w:t xml:space="preserve"> 2” </w:t>
            </w:r>
            <w:proofErr w:type="spellStart"/>
            <w:r w:rsidRPr="00C76FE4">
              <w:rPr>
                <w:rFonts w:asciiTheme="minorHAnsi" w:hAnsiTheme="minorHAnsi" w:cstheme="minorHAnsi"/>
                <w:bCs/>
                <w:color w:val="000000"/>
                <w:lang w:eastAsia="cs-CZ"/>
              </w:rPr>
              <w:t>krabiček</w:t>
            </w:r>
            <w:proofErr w:type="spellEnd"/>
          </w:p>
        </w:tc>
      </w:tr>
      <w:tr w:rsidR="00C76FE4" w:rsidRPr="00C76FE4" w14:paraId="7668AEBB" w14:textId="77777777" w:rsidTr="00124EAC">
        <w:tc>
          <w:tcPr>
            <w:tcW w:w="622" w:type="dxa"/>
          </w:tcPr>
          <w:p w14:paraId="7C86DCF5" w14:textId="77777777" w:rsidR="00C76FE4" w:rsidRPr="00C76FE4" w:rsidRDefault="00C76FE4" w:rsidP="00C76FE4">
            <w:pPr>
              <w:ind w:left="0"/>
              <w:jc w:val="both"/>
              <w:rPr>
                <w:color w:val="000000"/>
                <w:lang w:eastAsia="cs-CZ"/>
              </w:rPr>
            </w:pPr>
            <w:r w:rsidRPr="00C76FE4">
              <w:rPr>
                <w:color w:val="000000"/>
                <w:lang w:eastAsia="cs-CZ"/>
              </w:rPr>
              <w:t>1.2</w:t>
            </w:r>
          </w:p>
        </w:tc>
        <w:tc>
          <w:tcPr>
            <w:tcW w:w="2817" w:type="dxa"/>
          </w:tcPr>
          <w:p w14:paraId="5CD7ABD2"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rFonts w:eastAsia="Times New Roman" w:cs="Arial"/>
                <w:color w:val="333E48"/>
                <w:spacing w:val="-2"/>
                <w:lang w:val="cs-CZ" w:eastAsia="en-GB"/>
              </w:rPr>
              <w:t xml:space="preserve">Trvale udržitelná teplota -86 °C při okolní teplotě až +30 °C, </w:t>
            </w:r>
            <w:r w:rsidRPr="00C76FE4">
              <w:rPr>
                <w:rFonts w:eastAsia="Times New Roman" w:cs="Arial"/>
                <w:color w:val="333E48"/>
                <w:spacing w:val="-2"/>
                <w:lang w:val="cs-CZ" w:eastAsia="en-GB"/>
              </w:rPr>
              <w:lastRenderedPageBreak/>
              <w:t>nastavení teploty od -50 °C do 90 °C</w:t>
            </w:r>
          </w:p>
        </w:tc>
        <w:tc>
          <w:tcPr>
            <w:tcW w:w="2813" w:type="dxa"/>
          </w:tcPr>
          <w:p w14:paraId="58E78B34"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rFonts w:asciiTheme="minorHAnsi" w:hAnsiTheme="minorHAnsi" w:cstheme="minorHAnsi"/>
                <w:bCs/>
                <w:color w:val="000000"/>
                <w:lang w:val="cs-CZ" w:eastAsia="cs-CZ"/>
              </w:rPr>
              <w:lastRenderedPageBreak/>
              <w:t>ANO</w:t>
            </w:r>
          </w:p>
        </w:tc>
        <w:tc>
          <w:tcPr>
            <w:tcW w:w="2822" w:type="dxa"/>
          </w:tcPr>
          <w:p w14:paraId="45D423A8" w14:textId="77777777" w:rsidR="00C76FE4" w:rsidRPr="00C76FE4" w:rsidRDefault="00C76FE4" w:rsidP="00C76FE4">
            <w:pPr>
              <w:spacing w:after="240"/>
              <w:ind w:left="0"/>
              <w:jc w:val="both"/>
              <w:rPr>
                <w:rFonts w:asciiTheme="minorHAnsi" w:hAnsiTheme="minorHAnsi" w:cstheme="minorHAnsi"/>
                <w:bCs/>
                <w:color w:val="000000"/>
                <w:lang w:eastAsia="cs-CZ"/>
              </w:rPr>
            </w:pPr>
            <w:proofErr w:type="spellStart"/>
            <w:r w:rsidRPr="00C76FE4">
              <w:rPr>
                <w:rFonts w:asciiTheme="minorHAnsi" w:hAnsiTheme="minorHAnsi" w:cstheme="minorHAnsi"/>
                <w:bCs/>
                <w:color w:val="000000"/>
                <w:lang w:eastAsia="cs-CZ"/>
              </w:rPr>
              <w:t>Trvale</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udržitelná</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teplota</w:t>
            </w:r>
            <w:proofErr w:type="spellEnd"/>
            <w:r w:rsidRPr="00C76FE4">
              <w:rPr>
                <w:rFonts w:asciiTheme="minorHAnsi" w:hAnsiTheme="minorHAnsi" w:cstheme="minorHAnsi"/>
                <w:bCs/>
                <w:color w:val="000000"/>
                <w:lang w:eastAsia="cs-CZ"/>
              </w:rPr>
              <w:t xml:space="preserve"> -86°C </w:t>
            </w:r>
            <w:proofErr w:type="spellStart"/>
            <w:r w:rsidRPr="00C76FE4">
              <w:rPr>
                <w:rFonts w:asciiTheme="minorHAnsi" w:hAnsiTheme="minorHAnsi" w:cstheme="minorHAnsi"/>
                <w:bCs/>
                <w:color w:val="000000"/>
                <w:lang w:eastAsia="cs-CZ"/>
              </w:rPr>
              <w:t>při</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okolní</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teplotě</w:t>
            </w:r>
            <w:proofErr w:type="spellEnd"/>
            <w:r w:rsidRPr="00C76FE4">
              <w:rPr>
                <w:rFonts w:asciiTheme="minorHAnsi" w:hAnsiTheme="minorHAnsi" w:cstheme="minorHAnsi"/>
                <w:bCs/>
                <w:color w:val="000000"/>
                <w:lang w:eastAsia="cs-CZ"/>
              </w:rPr>
              <w:t xml:space="preserve"> +30°C, </w:t>
            </w:r>
            <w:proofErr w:type="spellStart"/>
            <w:r w:rsidRPr="00C76FE4">
              <w:rPr>
                <w:rFonts w:asciiTheme="minorHAnsi" w:hAnsiTheme="minorHAnsi" w:cstheme="minorHAnsi"/>
                <w:bCs/>
                <w:color w:val="000000"/>
                <w:lang w:eastAsia="cs-CZ"/>
              </w:rPr>
              <w:lastRenderedPageBreak/>
              <w:t>nastavení</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teploty</w:t>
            </w:r>
            <w:proofErr w:type="spellEnd"/>
            <w:r w:rsidRPr="00C76FE4">
              <w:rPr>
                <w:rFonts w:asciiTheme="minorHAnsi" w:hAnsiTheme="minorHAnsi" w:cstheme="minorHAnsi"/>
                <w:bCs/>
                <w:color w:val="000000"/>
                <w:lang w:eastAsia="cs-CZ"/>
              </w:rPr>
              <w:t xml:space="preserve"> -40°C </w:t>
            </w:r>
            <w:proofErr w:type="spellStart"/>
            <w:r w:rsidRPr="00C76FE4">
              <w:rPr>
                <w:rFonts w:asciiTheme="minorHAnsi" w:hAnsiTheme="minorHAnsi" w:cstheme="minorHAnsi"/>
                <w:bCs/>
                <w:color w:val="000000"/>
                <w:lang w:eastAsia="cs-CZ"/>
              </w:rPr>
              <w:t>až</w:t>
            </w:r>
            <w:proofErr w:type="spellEnd"/>
            <w:r w:rsidRPr="00C76FE4">
              <w:rPr>
                <w:rFonts w:asciiTheme="minorHAnsi" w:hAnsiTheme="minorHAnsi" w:cstheme="minorHAnsi"/>
                <w:bCs/>
                <w:color w:val="000000"/>
                <w:lang w:eastAsia="cs-CZ"/>
              </w:rPr>
              <w:t xml:space="preserve"> +86°C, viz. DI </w:t>
            </w:r>
          </w:p>
        </w:tc>
      </w:tr>
      <w:tr w:rsidR="00C76FE4" w:rsidRPr="00C76FE4" w14:paraId="73A4B55A" w14:textId="77777777" w:rsidTr="00124EAC">
        <w:tc>
          <w:tcPr>
            <w:tcW w:w="622" w:type="dxa"/>
          </w:tcPr>
          <w:p w14:paraId="29043FCF" w14:textId="77777777" w:rsidR="00C76FE4" w:rsidRPr="00C76FE4" w:rsidRDefault="00C76FE4" w:rsidP="00C76FE4">
            <w:pPr>
              <w:ind w:left="0"/>
              <w:jc w:val="both"/>
              <w:rPr>
                <w:color w:val="000000"/>
                <w:lang w:eastAsia="cs-CZ"/>
              </w:rPr>
            </w:pPr>
            <w:r w:rsidRPr="00C76FE4">
              <w:rPr>
                <w:color w:val="000000"/>
                <w:lang w:eastAsia="cs-CZ"/>
              </w:rPr>
              <w:lastRenderedPageBreak/>
              <w:t>1.3</w:t>
            </w:r>
          </w:p>
        </w:tc>
        <w:tc>
          <w:tcPr>
            <w:tcW w:w="2817" w:type="dxa"/>
          </w:tcPr>
          <w:p w14:paraId="2310B60D"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rFonts w:cs="Arial"/>
                <w:color w:val="000000"/>
                <w:lang w:val="cs-CZ"/>
              </w:rPr>
              <w:t xml:space="preserve">Duální systém chlazení se </w:t>
            </w:r>
            <w:r w:rsidRPr="00C76FE4">
              <w:rPr>
                <w:rFonts w:cs="Arial"/>
                <w:color w:val="333E48"/>
                <w:spacing w:val="-2"/>
                <w:shd w:val="clear" w:color="auto" w:fill="FFFFFF"/>
                <w:lang w:val="cs-CZ"/>
              </w:rPr>
              <w:t>dvěma zcela nezávislými chladicími okruhy a kompresory</w:t>
            </w:r>
          </w:p>
        </w:tc>
        <w:tc>
          <w:tcPr>
            <w:tcW w:w="2813" w:type="dxa"/>
          </w:tcPr>
          <w:p w14:paraId="5324DFFF"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rFonts w:asciiTheme="minorHAnsi" w:hAnsiTheme="minorHAnsi" w:cstheme="minorHAnsi"/>
                <w:bCs/>
                <w:color w:val="000000"/>
                <w:lang w:val="cs-CZ" w:eastAsia="cs-CZ"/>
              </w:rPr>
              <w:t>ANO</w:t>
            </w:r>
          </w:p>
        </w:tc>
        <w:tc>
          <w:tcPr>
            <w:tcW w:w="2822" w:type="dxa"/>
          </w:tcPr>
          <w:p w14:paraId="48B21A38" w14:textId="77777777" w:rsidR="00C76FE4" w:rsidRPr="00C76FE4" w:rsidRDefault="00C76FE4" w:rsidP="00C76FE4">
            <w:pPr>
              <w:spacing w:after="240"/>
              <w:ind w:left="0"/>
              <w:jc w:val="both"/>
              <w:rPr>
                <w:rFonts w:asciiTheme="minorHAnsi" w:hAnsiTheme="minorHAnsi" w:cstheme="minorHAnsi"/>
                <w:bCs/>
                <w:color w:val="000000"/>
                <w:lang w:eastAsia="cs-CZ"/>
              </w:rPr>
            </w:pPr>
            <w:proofErr w:type="spellStart"/>
            <w:r w:rsidRPr="00C76FE4">
              <w:rPr>
                <w:rFonts w:asciiTheme="minorHAnsi" w:hAnsiTheme="minorHAnsi" w:cstheme="minorHAnsi"/>
                <w:bCs/>
                <w:color w:val="000000"/>
                <w:lang w:eastAsia="cs-CZ"/>
              </w:rPr>
              <w:t>Duální</w:t>
            </w:r>
            <w:proofErr w:type="spellEnd"/>
            <w:r w:rsidRPr="00C76FE4">
              <w:rPr>
                <w:rFonts w:asciiTheme="minorHAnsi" w:hAnsiTheme="minorHAnsi" w:cstheme="minorHAnsi"/>
                <w:bCs/>
                <w:color w:val="000000"/>
                <w:lang w:eastAsia="cs-CZ"/>
              </w:rPr>
              <w:t xml:space="preserve"> system </w:t>
            </w:r>
            <w:proofErr w:type="spellStart"/>
            <w:r w:rsidRPr="00C76FE4">
              <w:rPr>
                <w:rFonts w:asciiTheme="minorHAnsi" w:hAnsiTheme="minorHAnsi" w:cstheme="minorHAnsi"/>
                <w:bCs/>
                <w:color w:val="000000"/>
                <w:lang w:eastAsia="cs-CZ"/>
              </w:rPr>
              <w:t>chlazení</w:t>
            </w:r>
            <w:proofErr w:type="spellEnd"/>
            <w:r w:rsidRPr="00C76FE4">
              <w:rPr>
                <w:rFonts w:asciiTheme="minorHAnsi" w:hAnsiTheme="minorHAnsi" w:cstheme="minorHAnsi"/>
                <w:bCs/>
                <w:color w:val="000000"/>
                <w:lang w:eastAsia="cs-CZ"/>
              </w:rPr>
              <w:t xml:space="preserve"> se </w:t>
            </w:r>
            <w:proofErr w:type="spellStart"/>
            <w:r w:rsidRPr="00C76FE4">
              <w:rPr>
                <w:rFonts w:asciiTheme="minorHAnsi" w:hAnsiTheme="minorHAnsi" w:cstheme="minorHAnsi"/>
                <w:bCs/>
                <w:color w:val="000000"/>
                <w:lang w:eastAsia="cs-CZ"/>
              </w:rPr>
              <w:t>zcela</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nezávislými</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kompresory</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chladicími</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okruhy</w:t>
            </w:r>
            <w:proofErr w:type="spellEnd"/>
            <w:r w:rsidRPr="00C76FE4">
              <w:rPr>
                <w:rFonts w:asciiTheme="minorHAnsi" w:hAnsiTheme="minorHAnsi" w:cstheme="minorHAnsi"/>
                <w:bCs/>
                <w:color w:val="000000"/>
                <w:lang w:eastAsia="cs-CZ"/>
              </w:rPr>
              <w:t>)</w:t>
            </w:r>
          </w:p>
        </w:tc>
      </w:tr>
      <w:tr w:rsidR="00C76FE4" w:rsidRPr="00C76FE4" w14:paraId="75B20EDC" w14:textId="77777777" w:rsidTr="00124EAC">
        <w:tc>
          <w:tcPr>
            <w:tcW w:w="622" w:type="dxa"/>
          </w:tcPr>
          <w:p w14:paraId="10CE23D3" w14:textId="77777777" w:rsidR="00C76FE4" w:rsidRPr="00C76FE4" w:rsidRDefault="00C76FE4" w:rsidP="00C76FE4">
            <w:pPr>
              <w:ind w:left="0"/>
              <w:jc w:val="both"/>
              <w:rPr>
                <w:color w:val="000000"/>
                <w:lang w:eastAsia="cs-CZ"/>
              </w:rPr>
            </w:pPr>
            <w:r w:rsidRPr="00C76FE4">
              <w:rPr>
                <w:color w:val="000000"/>
                <w:lang w:eastAsia="cs-CZ"/>
              </w:rPr>
              <w:t>1.4</w:t>
            </w:r>
          </w:p>
          <w:p w14:paraId="4F411F4E" w14:textId="77777777" w:rsidR="00C76FE4" w:rsidRPr="00C76FE4" w:rsidRDefault="00C76FE4" w:rsidP="00C76FE4">
            <w:pPr>
              <w:ind w:left="0"/>
              <w:jc w:val="both"/>
              <w:rPr>
                <w:color w:val="000000"/>
                <w:lang w:eastAsia="cs-CZ"/>
              </w:rPr>
            </w:pPr>
          </w:p>
        </w:tc>
        <w:tc>
          <w:tcPr>
            <w:tcW w:w="2817" w:type="dxa"/>
          </w:tcPr>
          <w:p w14:paraId="105AE262"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rFonts w:eastAsia="Times New Roman" w:cs="Arial"/>
                <w:color w:val="333E48"/>
                <w:spacing w:val="-2"/>
                <w:lang w:val="cs-CZ" w:eastAsia="en-GB"/>
              </w:rPr>
              <w:t>Dotykový barevný LCD displej s pamětí a USB výstupem</w:t>
            </w:r>
          </w:p>
        </w:tc>
        <w:tc>
          <w:tcPr>
            <w:tcW w:w="2813" w:type="dxa"/>
          </w:tcPr>
          <w:p w14:paraId="09AB846D"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rFonts w:asciiTheme="minorHAnsi" w:hAnsiTheme="minorHAnsi" w:cstheme="minorHAnsi"/>
                <w:bCs/>
                <w:color w:val="000000"/>
                <w:lang w:val="cs-CZ" w:eastAsia="cs-CZ"/>
              </w:rPr>
              <w:t>ANO</w:t>
            </w:r>
          </w:p>
        </w:tc>
        <w:tc>
          <w:tcPr>
            <w:tcW w:w="2822" w:type="dxa"/>
          </w:tcPr>
          <w:p w14:paraId="1403ED44" w14:textId="77777777" w:rsidR="00C76FE4" w:rsidRPr="00C76FE4" w:rsidRDefault="00C76FE4" w:rsidP="00C76FE4">
            <w:pPr>
              <w:spacing w:after="240"/>
              <w:ind w:left="0"/>
              <w:jc w:val="both"/>
              <w:rPr>
                <w:rFonts w:asciiTheme="minorHAnsi" w:hAnsiTheme="minorHAnsi" w:cstheme="minorHAnsi"/>
                <w:bCs/>
                <w:color w:val="000000"/>
                <w:lang w:eastAsia="cs-CZ"/>
              </w:rPr>
            </w:pPr>
            <w:proofErr w:type="spellStart"/>
            <w:r w:rsidRPr="00C76FE4">
              <w:rPr>
                <w:rFonts w:asciiTheme="minorHAnsi" w:hAnsiTheme="minorHAnsi" w:cstheme="minorHAnsi"/>
                <w:bCs/>
                <w:color w:val="000000"/>
                <w:lang w:eastAsia="cs-CZ"/>
              </w:rPr>
              <w:t>Dotykový</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displej</w:t>
            </w:r>
            <w:proofErr w:type="spellEnd"/>
            <w:r w:rsidRPr="00C76FE4">
              <w:rPr>
                <w:rFonts w:asciiTheme="minorHAnsi" w:hAnsiTheme="minorHAnsi" w:cstheme="minorHAnsi"/>
                <w:bCs/>
                <w:color w:val="000000"/>
                <w:lang w:eastAsia="cs-CZ"/>
              </w:rPr>
              <w:t>, USB port</w:t>
            </w:r>
          </w:p>
        </w:tc>
      </w:tr>
      <w:tr w:rsidR="00C76FE4" w:rsidRPr="00C76FE4" w14:paraId="11336EEB" w14:textId="77777777" w:rsidTr="00124EAC">
        <w:tc>
          <w:tcPr>
            <w:tcW w:w="622" w:type="dxa"/>
          </w:tcPr>
          <w:p w14:paraId="4AF100DD" w14:textId="77777777" w:rsidR="00C76FE4" w:rsidRPr="00C76FE4" w:rsidRDefault="00C76FE4" w:rsidP="00C76FE4">
            <w:pPr>
              <w:ind w:left="0"/>
              <w:jc w:val="both"/>
              <w:rPr>
                <w:color w:val="000000"/>
                <w:lang w:eastAsia="cs-CZ"/>
              </w:rPr>
            </w:pPr>
            <w:r w:rsidRPr="00C76FE4">
              <w:rPr>
                <w:color w:val="000000"/>
                <w:lang w:eastAsia="cs-CZ"/>
              </w:rPr>
              <w:t>1.5</w:t>
            </w:r>
          </w:p>
        </w:tc>
        <w:tc>
          <w:tcPr>
            <w:tcW w:w="2817" w:type="dxa"/>
          </w:tcPr>
          <w:p w14:paraId="1ABAEA57" w14:textId="77777777" w:rsidR="00C76FE4" w:rsidRPr="00C76FE4" w:rsidRDefault="00C76FE4" w:rsidP="00C76FE4">
            <w:pPr>
              <w:spacing w:after="160" w:line="259" w:lineRule="auto"/>
              <w:ind w:left="0"/>
              <w:jc w:val="both"/>
              <w:rPr>
                <w:rFonts w:cs="Arial"/>
                <w:color w:val="000000" w:themeColor="text1"/>
                <w:lang w:val="cs-CZ" w:eastAsia="cs-CZ"/>
              </w:rPr>
            </w:pPr>
            <w:r w:rsidRPr="00C76FE4">
              <w:rPr>
                <w:rFonts w:cs="Arial"/>
                <w:color w:val="000000" w:themeColor="text1"/>
                <w:lang w:val="cs-CZ"/>
              </w:rPr>
              <w:t>Tři průchodky pro čidla</w:t>
            </w:r>
          </w:p>
        </w:tc>
        <w:tc>
          <w:tcPr>
            <w:tcW w:w="2813" w:type="dxa"/>
          </w:tcPr>
          <w:p w14:paraId="0FBCCD19" w14:textId="77777777" w:rsidR="00C76FE4" w:rsidRPr="00C76FE4" w:rsidRDefault="00C76FE4" w:rsidP="00C76FE4">
            <w:pPr>
              <w:spacing w:after="160" w:line="259" w:lineRule="auto"/>
              <w:ind w:left="0"/>
              <w:rPr>
                <w:rFonts w:cs="Arial"/>
                <w:color w:val="000000" w:themeColor="text1"/>
                <w:lang w:val="cs-CZ" w:eastAsia="cs-CZ"/>
              </w:rPr>
            </w:pPr>
            <w:r w:rsidRPr="00C76FE4">
              <w:rPr>
                <w:rFonts w:asciiTheme="minorHAnsi" w:hAnsiTheme="minorHAnsi" w:cstheme="minorHAnsi"/>
                <w:bCs/>
                <w:color w:val="000000"/>
                <w:lang w:val="cs-CZ" w:eastAsia="cs-CZ"/>
              </w:rPr>
              <w:t>ANO</w:t>
            </w:r>
          </w:p>
        </w:tc>
        <w:tc>
          <w:tcPr>
            <w:tcW w:w="2822" w:type="dxa"/>
          </w:tcPr>
          <w:p w14:paraId="5914E21E" w14:textId="77777777" w:rsidR="00C76FE4" w:rsidRPr="00C76FE4" w:rsidRDefault="00C76FE4" w:rsidP="00C76FE4">
            <w:pPr>
              <w:spacing w:after="160" w:line="259" w:lineRule="auto"/>
              <w:ind w:left="0"/>
              <w:rPr>
                <w:rFonts w:cs="Arial"/>
                <w:color w:val="000000" w:themeColor="text1"/>
                <w:lang w:eastAsia="cs-CZ"/>
              </w:rPr>
            </w:pPr>
            <w:proofErr w:type="spellStart"/>
            <w:r w:rsidRPr="00C76FE4">
              <w:rPr>
                <w:rFonts w:asciiTheme="minorHAnsi" w:hAnsiTheme="minorHAnsi" w:cstheme="minorHAnsi"/>
                <w:bCs/>
                <w:color w:val="000000"/>
                <w:lang w:eastAsia="cs-CZ"/>
              </w:rPr>
              <w:t>Konfigurace</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boxu</w:t>
            </w:r>
            <w:proofErr w:type="spellEnd"/>
            <w:r w:rsidRPr="00C76FE4">
              <w:rPr>
                <w:rFonts w:asciiTheme="minorHAnsi" w:hAnsiTheme="minorHAnsi" w:cstheme="minorHAnsi"/>
                <w:bCs/>
                <w:color w:val="000000"/>
                <w:lang w:eastAsia="cs-CZ"/>
              </w:rPr>
              <w:t xml:space="preserve"> se 3 </w:t>
            </w:r>
            <w:proofErr w:type="spellStart"/>
            <w:r w:rsidRPr="00C76FE4">
              <w:rPr>
                <w:rFonts w:asciiTheme="minorHAnsi" w:hAnsiTheme="minorHAnsi" w:cstheme="minorHAnsi"/>
                <w:bCs/>
                <w:color w:val="000000"/>
                <w:lang w:eastAsia="cs-CZ"/>
              </w:rPr>
              <w:t>průchodkami</w:t>
            </w:r>
            <w:proofErr w:type="spellEnd"/>
          </w:p>
        </w:tc>
      </w:tr>
      <w:tr w:rsidR="00C76FE4" w:rsidRPr="00C76FE4" w14:paraId="7BE37987" w14:textId="77777777" w:rsidTr="00124EAC">
        <w:tc>
          <w:tcPr>
            <w:tcW w:w="622" w:type="dxa"/>
          </w:tcPr>
          <w:p w14:paraId="7D32F4ED" w14:textId="77777777" w:rsidR="00C76FE4" w:rsidRPr="00C76FE4" w:rsidRDefault="00C76FE4" w:rsidP="00C76FE4">
            <w:pPr>
              <w:ind w:left="0"/>
              <w:jc w:val="both"/>
              <w:rPr>
                <w:color w:val="000000"/>
                <w:lang w:eastAsia="cs-CZ"/>
              </w:rPr>
            </w:pPr>
            <w:r w:rsidRPr="00C76FE4">
              <w:rPr>
                <w:color w:val="000000"/>
                <w:lang w:eastAsia="cs-CZ"/>
              </w:rPr>
              <w:t>1.6</w:t>
            </w:r>
          </w:p>
        </w:tc>
        <w:tc>
          <w:tcPr>
            <w:tcW w:w="2817" w:type="dxa"/>
          </w:tcPr>
          <w:p w14:paraId="26EB13D9" w14:textId="77777777" w:rsidR="00C76FE4" w:rsidRPr="00C76FE4" w:rsidRDefault="00C76FE4" w:rsidP="00C76FE4">
            <w:pPr>
              <w:spacing w:after="160" w:line="259" w:lineRule="auto"/>
              <w:ind w:left="0"/>
              <w:jc w:val="both"/>
              <w:rPr>
                <w:rFonts w:cs="Arial"/>
                <w:color w:val="000000" w:themeColor="text1"/>
                <w:lang w:val="cs-CZ" w:eastAsia="cs-CZ"/>
              </w:rPr>
            </w:pPr>
            <w:proofErr w:type="spellStart"/>
            <w:r w:rsidRPr="00C76FE4">
              <w:rPr>
                <w:rFonts w:eastAsia="Times New Roman" w:cs="Arial"/>
                <w:color w:val="333E48"/>
                <w:spacing w:val="-2"/>
                <w:lang w:val="cs-CZ" w:eastAsia="en-GB"/>
              </w:rPr>
              <w:t>Bezfiltrový</w:t>
            </w:r>
            <w:proofErr w:type="spellEnd"/>
            <w:r w:rsidRPr="00C76FE4">
              <w:rPr>
                <w:rFonts w:eastAsia="Times New Roman" w:cs="Arial"/>
                <w:color w:val="333E48"/>
                <w:spacing w:val="-2"/>
                <w:lang w:val="cs-CZ" w:eastAsia="en-GB"/>
              </w:rPr>
              <w:t xml:space="preserve"> bezúdržbový systém</w:t>
            </w:r>
          </w:p>
        </w:tc>
        <w:tc>
          <w:tcPr>
            <w:tcW w:w="2813" w:type="dxa"/>
          </w:tcPr>
          <w:p w14:paraId="2365271A" w14:textId="77777777" w:rsidR="00C76FE4" w:rsidRPr="00C76FE4" w:rsidRDefault="00C76FE4" w:rsidP="00C76FE4">
            <w:pPr>
              <w:spacing w:after="160" w:line="259" w:lineRule="auto"/>
              <w:ind w:left="0"/>
              <w:rPr>
                <w:rFonts w:cs="Arial"/>
                <w:color w:val="000000" w:themeColor="text1"/>
                <w:lang w:val="cs-CZ" w:eastAsia="cs-CZ"/>
              </w:rPr>
            </w:pPr>
            <w:r w:rsidRPr="00C76FE4">
              <w:rPr>
                <w:rFonts w:asciiTheme="minorHAnsi" w:hAnsiTheme="minorHAnsi" w:cstheme="minorHAnsi"/>
                <w:bCs/>
                <w:color w:val="000000"/>
                <w:lang w:val="cs-CZ" w:eastAsia="cs-CZ"/>
              </w:rPr>
              <w:t>ANO</w:t>
            </w:r>
          </w:p>
        </w:tc>
        <w:tc>
          <w:tcPr>
            <w:tcW w:w="2822" w:type="dxa"/>
          </w:tcPr>
          <w:p w14:paraId="7A99DDEB" w14:textId="77777777" w:rsidR="00C76FE4" w:rsidRPr="00C76FE4" w:rsidRDefault="00C76FE4" w:rsidP="00C76FE4">
            <w:pPr>
              <w:spacing w:after="160" w:line="259" w:lineRule="auto"/>
              <w:ind w:left="0"/>
              <w:rPr>
                <w:rFonts w:cs="Arial"/>
                <w:color w:val="000000" w:themeColor="text1"/>
                <w:lang w:eastAsia="cs-CZ"/>
              </w:rPr>
            </w:pPr>
            <w:proofErr w:type="spellStart"/>
            <w:r w:rsidRPr="00C76FE4">
              <w:rPr>
                <w:rFonts w:asciiTheme="minorHAnsi" w:hAnsiTheme="minorHAnsi" w:cstheme="minorHAnsi"/>
                <w:bCs/>
                <w:color w:val="000000"/>
                <w:lang w:eastAsia="cs-CZ"/>
              </w:rPr>
              <w:t>Bezfiltrový</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bezúdržbový</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systém</w:t>
            </w:r>
            <w:proofErr w:type="spellEnd"/>
          </w:p>
        </w:tc>
      </w:tr>
      <w:tr w:rsidR="00C76FE4" w:rsidRPr="00C76FE4" w14:paraId="4CB08776" w14:textId="77777777" w:rsidTr="00124EAC">
        <w:tc>
          <w:tcPr>
            <w:tcW w:w="622" w:type="dxa"/>
          </w:tcPr>
          <w:p w14:paraId="60BA254E" w14:textId="77777777" w:rsidR="00C76FE4" w:rsidRPr="00C76FE4" w:rsidRDefault="00C76FE4" w:rsidP="00C76FE4">
            <w:pPr>
              <w:ind w:left="0"/>
              <w:jc w:val="both"/>
              <w:rPr>
                <w:color w:val="000000"/>
                <w:lang w:eastAsia="cs-CZ"/>
              </w:rPr>
            </w:pPr>
            <w:r w:rsidRPr="00C76FE4">
              <w:rPr>
                <w:color w:val="000000"/>
                <w:lang w:eastAsia="cs-CZ"/>
              </w:rPr>
              <w:t>1.7</w:t>
            </w:r>
          </w:p>
        </w:tc>
        <w:tc>
          <w:tcPr>
            <w:tcW w:w="2817" w:type="dxa"/>
          </w:tcPr>
          <w:p w14:paraId="60360583" w14:textId="77777777" w:rsidR="00C76FE4" w:rsidRPr="00C76FE4" w:rsidRDefault="00C76FE4" w:rsidP="00C76FE4">
            <w:pPr>
              <w:spacing w:after="160" w:line="259" w:lineRule="auto"/>
              <w:ind w:left="0"/>
              <w:jc w:val="both"/>
              <w:rPr>
                <w:rFonts w:cs="Arial"/>
                <w:color w:val="000000" w:themeColor="text1"/>
                <w:lang w:val="cs-CZ" w:eastAsia="cs-CZ"/>
              </w:rPr>
            </w:pPr>
            <w:r w:rsidRPr="00C76FE4">
              <w:rPr>
                <w:rFonts w:eastAsia="Times New Roman" w:cs="Arial"/>
                <w:color w:val="333E48"/>
                <w:spacing w:val="-2"/>
                <w:lang w:val="cs-CZ" w:eastAsia="en-GB"/>
              </w:rPr>
              <w:t>Tři výškově nastavitelné police, tj. čtyři sekce</w:t>
            </w:r>
          </w:p>
        </w:tc>
        <w:tc>
          <w:tcPr>
            <w:tcW w:w="2813" w:type="dxa"/>
          </w:tcPr>
          <w:p w14:paraId="137E6D2D" w14:textId="77777777" w:rsidR="00C76FE4" w:rsidRPr="00C76FE4" w:rsidRDefault="00C76FE4" w:rsidP="00C76FE4">
            <w:pPr>
              <w:spacing w:after="160" w:line="259" w:lineRule="auto"/>
              <w:ind w:left="0"/>
              <w:rPr>
                <w:rFonts w:cs="Arial"/>
                <w:color w:val="000000" w:themeColor="text1"/>
                <w:lang w:val="cs-CZ" w:eastAsia="cs-CZ"/>
              </w:rPr>
            </w:pPr>
            <w:r w:rsidRPr="00C76FE4">
              <w:rPr>
                <w:rFonts w:asciiTheme="minorHAnsi" w:hAnsiTheme="minorHAnsi" w:cstheme="minorHAnsi"/>
                <w:bCs/>
                <w:color w:val="000000"/>
                <w:lang w:val="cs-CZ" w:eastAsia="cs-CZ"/>
              </w:rPr>
              <w:t>ANO</w:t>
            </w:r>
          </w:p>
        </w:tc>
        <w:tc>
          <w:tcPr>
            <w:tcW w:w="2822" w:type="dxa"/>
          </w:tcPr>
          <w:p w14:paraId="742F111D" w14:textId="235FE917" w:rsidR="00C76FE4" w:rsidRPr="00C76FE4" w:rsidRDefault="00C76FE4" w:rsidP="004A10F0">
            <w:pPr>
              <w:spacing w:after="160" w:line="259" w:lineRule="auto"/>
              <w:ind w:left="0"/>
              <w:rPr>
                <w:rFonts w:cs="Arial"/>
                <w:color w:val="000000" w:themeColor="text1"/>
                <w:lang w:eastAsia="cs-CZ"/>
              </w:rPr>
            </w:pPr>
            <w:proofErr w:type="spellStart"/>
            <w:r w:rsidRPr="00C76FE4">
              <w:rPr>
                <w:rFonts w:asciiTheme="minorHAnsi" w:hAnsiTheme="minorHAnsi" w:cstheme="minorHAnsi"/>
                <w:bCs/>
                <w:color w:val="000000"/>
                <w:lang w:eastAsia="cs-CZ"/>
              </w:rPr>
              <w:t>Vnitřní</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pro</w:t>
            </w:r>
            <w:r w:rsidR="004A10F0">
              <w:rPr>
                <w:rFonts w:asciiTheme="minorHAnsi" w:hAnsiTheme="minorHAnsi" w:cstheme="minorHAnsi"/>
                <w:bCs/>
                <w:color w:val="000000"/>
                <w:lang w:eastAsia="cs-CZ"/>
              </w:rPr>
              <w:t>s</w:t>
            </w:r>
            <w:r w:rsidRPr="00C76FE4">
              <w:rPr>
                <w:rFonts w:asciiTheme="minorHAnsi" w:hAnsiTheme="minorHAnsi" w:cstheme="minorHAnsi"/>
                <w:bCs/>
                <w:color w:val="000000"/>
                <w:lang w:eastAsia="cs-CZ"/>
              </w:rPr>
              <w:t>tor</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rozdělený</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na</w:t>
            </w:r>
            <w:proofErr w:type="spellEnd"/>
            <w:r w:rsidRPr="00C76FE4">
              <w:rPr>
                <w:rFonts w:asciiTheme="minorHAnsi" w:hAnsiTheme="minorHAnsi" w:cstheme="minorHAnsi"/>
                <w:bCs/>
                <w:color w:val="000000"/>
                <w:lang w:eastAsia="cs-CZ"/>
              </w:rPr>
              <w:t xml:space="preserve"> 4 </w:t>
            </w:r>
            <w:proofErr w:type="spellStart"/>
            <w:r w:rsidRPr="00C76FE4">
              <w:rPr>
                <w:rFonts w:asciiTheme="minorHAnsi" w:hAnsiTheme="minorHAnsi" w:cstheme="minorHAnsi"/>
                <w:bCs/>
                <w:color w:val="000000"/>
                <w:lang w:eastAsia="cs-CZ"/>
              </w:rPr>
              <w:t>samostatné</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oddíly</w:t>
            </w:r>
            <w:proofErr w:type="spellEnd"/>
            <w:r w:rsidRPr="00C76FE4">
              <w:rPr>
                <w:rFonts w:asciiTheme="minorHAnsi" w:hAnsiTheme="minorHAnsi" w:cstheme="minorHAnsi"/>
                <w:bCs/>
                <w:color w:val="000000"/>
                <w:lang w:eastAsia="cs-CZ"/>
              </w:rPr>
              <w:t xml:space="preserve">, 3 </w:t>
            </w:r>
            <w:proofErr w:type="spellStart"/>
            <w:r w:rsidRPr="00C76FE4">
              <w:rPr>
                <w:rFonts w:asciiTheme="minorHAnsi" w:hAnsiTheme="minorHAnsi" w:cstheme="minorHAnsi"/>
                <w:bCs/>
                <w:color w:val="000000"/>
                <w:lang w:eastAsia="cs-CZ"/>
              </w:rPr>
              <w:t>výškově</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stavitelné</w:t>
            </w:r>
            <w:proofErr w:type="spellEnd"/>
            <w:r w:rsidRPr="00C76FE4">
              <w:rPr>
                <w:rFonts w:asciiTheme="minorHAnsi" w:hAnsiTheme="minorHAnsi" w:cstheme="minorHAnsi"/>
                <w:bCs/>
                <w:color w:val="000000"/>
                <w:lang w:eastAsia="cs-CZ"/>
              </w:rPr>
              <w:t xml:space="preserve"> police</w:t>
            </w:r>
          </w:p>
        </w:tc>
      </w:tr>
      <w:tr w:rsidR="00C76FE4" w:rsidRPr="00C76FE4" w14:paraId="70E64290" w14:textId="77777777" w:rsidTr="00124EAC">
        <w:tc>
          <w:tcPr>
            <w:tcW w:w="622" w:type="dxa"/>
          </w:tcPr>
          <w:p w14:paraId="2B499282" w14:textId="77777777" w:rsidR="00C76FE4" w:rsidRPr="00C76FE4" w:rsidRDefault="00C76FE4" w:rsidP="00C76FE4">
            <w:pPr>
              <w:ind w:left="0"/>
              <w:jc w:val="both"/>
              <w:rPr>
                <w:color w:val="000000"/>
                <w:lang w:eastAsia="cs-CZ"/>
              </w:rPr>
            </w:pPr>
            <w:r w:rsidRPr="00C76FE4">
              <w:rPr>
                <w:color w:val="000000"/>
                <w:lang w:eastAsia="cs-CZ"/>
              </w:rPr>
              <w:t>1.8</w:t>
            </w:r>
          </w:p>
        </w:tc>
        <w:tc>
          <w:tcPr>
            <w:tcW w:w="2817" w:type="dxa"/>
          </w:tcPr>
          <w:p w14:paraId="40865A7F" w14:textId="77777777" w:rsidR="00C76FE4" w:rsidRPr="00C76FE4" w:rsidRDefault="00C76FE4" w:rsidP="00C76FE4">
            <w:pPr>
              <w:spacing w:after="240"/>
              <w:ind w:left="0"/>
              <w:jc w:val="both"/>
              <w:rPr>
                <w:rFonts w:asciiTheme="minorHAnsi" w:hAnsiTheme="minorHAnsi" w:cstheme="minorHAnsi"/>
                <w:bCs/>
                <w:color w:val="000000"/>
                <w:lang w:val="cs-CZ"/>
              </w:rPr>
            </w:pPr>
            <w:r w:rsidRPr="00C76FE4">
              <w:rPr>
                <w:rFonts w:asciiTheme="minorHAnsi" w:hAnsiTheme="minorHAnsi" w:cstheme="minorHAnsi"/>
                <w:bCs/>
                <w:color w:val="000000"/>
                <w:lang w:val="cs-CZ"/>
              </w:rPr>
              <w:t>Dvoje plnohodnotné izolované vyjímatelné vnitřní dveře</w:t>
            </w:r>
          </w:p>
        </w:tc>
        <w:tc>
          <w:tcPr>
            <w:tcW w:w="2813" w:type="dxa"/>
          </w:tcPr>
          <w:p w14:paraId="7D4A88BC" w14:textId="77777777" w:rsidR="00C76FE4" w:rsidRPr="00C76FE4" w:rsidRDefault="00C76FE4" w:rsidP="00C76FE4">
            <w:pPr>
              <w:spacing w:after="240"/>
              <w:ind w:left="0"/>
              <w:jc w:val="both"/>
              <w:rPr>
                <w:rFonts w:asciiTheme="minorHAnsi" w:hAnsiTheme="minorHAnsi" w:cstheme="minorHAnsi"/>
                <w:bCs/>
                <w:color w:val="000000"/>
                <w:lang w:val="cs-CZ" w:eastAsia="cs-CZ"/>
              </w:rPr>
            </w:pPr>
            <w:r w:rsidRPr="00C76FE4">
              <w:rPr>
                <w:rFonts w:asciiTheme="minorHAnsi" w:hAnsiTheme="minorHAnsi" w:cstheme="minorHAnsi"/>
                <w:bCs/>
                <w:color w:val="000000"/>
                <w:lang w:val="cs-CZ" w:eastAsia="cs-CZ"/>
              </w:rPr>
              <w:t>ANO</w:t>
            </w:r>
          </w:p>
        </w:tc>
        <w:tc>
          <w:tcPr>
            <w:tcW w:w="2822" w:type="dxa"/>
          </w:tcPr>
          <w:p w14:paraId="2F6C82E4" w14:textId="77777777" w:rsidR="00C76FE4" w:rsidRPr="00C76FE4" w:rsidRDefault="00C76FE4" w:rsidP="00C76FE4">
            <w:pPr>
              <w:spacing w:after="240"/>
              <w:ind w:left="0"/>
              <w:jc w:val="both"/>
              <w:rPr>
                <w:rFonts w:asciiTheme="minorHAnsi" w:hAnsiTheme="minorHAnsi" w:cstheme="minorHAnsi"/>
                <w:bCs/>
                <w:color w:val="000000"/>
                <w:lang w:eastAsia="cs-CZ"/>
              </w:rPr>
            </w:pPr>
            <w:proofErr w:type="spellStart"/>
            <w:r w:rsidRPr="00C76FE4">
              <w:rPr>
                <w:rFonts w:asciiTheme="minorHAnsi" w:hAnsiTheme="minorHAnsi" w:cstheme="minorHAnsi"/>
                <w:bCs/>
                <w:color w:val="000000"/>
                <w:lang w:eastAsia="cs-CZ"/>
              </w:rPr>
              <w:t>Konfigurace</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boxu</w:t>
            </w:r>
            <w:proofErr w:type="spellEnd"/>
            <w:r w:rsidRPr="00C76FE4">
              <w:rPr>
                <w:rFonts w:asciiTheme="minorHAnsi" w:hAnsiTheme="minorHAnsi" w:cstheme="minorHAnsi"/>
                <w:bCs/>
                <w:color w:val="000000"/>
                <w:lang w:eastAsia="cs-CZ"/>
              </w:rPr>
              <w:t xml:space="preserve"> se 2 </w:t>
            </w:r>
            <w:proofErr w:type="spellStart"/>
            <w:r w:rsidRPr="00C76FE4">
              <w:rPr>
                <w:rFonts w:asciiTheme="minorHAnsi" w:hAnsiTheme="minorHAnsi" w:cstheme="minorHAnsi"/>
                <w:bCs/>
                <w:color w:val="000000"/>
                <w:lang w:eastAsia="cs-CZ"/>
              </w:rPr>
              <w:t>vnitřními</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izolačními</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dvířky</w:t>
            </w:r>
            <w:proofErr w:type="spellEnd"/>
          </w:p>
        </w:tc>
      </w:tr>
      <w:tr w:rsidR="00C76FE4" w:rsidRPr="00C76FE4" w14:paraId="37278499" w14:textId="77777777" w:rsidTr="00124EAC">
        <w:tc>
          <w:tcPr>
            <w:tcW w:w="622" w:type="dxa"/>
          </w:tcPr>
          <w:p w14:paraId="4C947111" w14:textId="77777777" w:rsidR="00C76FE4" w:rsidRPr="00C76FE4" w:rsidRDefault="00C76FE4" w:rsidP="00C76FE4">
            <w:pPr>
              <w:ind w:left="0"/>
              <w:jc w:val="both"/>
              <w:rPr>
                <w:color w:val="000000"/>
                <w:lang w:eastAsia="cs-CZ"/>
              </w:rPr>
            </w:pPr>
            <w:r w:rsidRPr="00C76FE4">
              <w:rPr>
                <w:color w:val="000000"/>
                <w:lang w:eastAsia="cs-CZ"/>
              </w:rPr>
              <w:t>1.9</w:t>
            </w:r>
          </w:p>
        </w:tc>
        <w:tc>
          <w:tcPr>
            <w:tcW w:w="2817" w:type="dxa"/>
          </w:tcPr>
          <w:p w14:paraId="75C28299" w14:textId="77777777" w:rsidR="00C76FE4" w:rsidRPr="00C76FE4" w:rsidRDefault="00C76FE4" w:rsidP="00C76FE4">
            <w:pPr>
              <w:spacing w:after="240"/>
              <w:ind w:left="0"/>
              <w:jc w:val="both"/>
              <w:rPr>
                <w:rFonts w:cs="Arial"/>
                <w:color w:val="000000"/>
                <w:lang w:val="cs-CZ"/>
              </w:rPr>
            </w:pPr>
            <w:r w:rsidRPr="00C76FE4">
              <w:rPr>
                <w:color w:val="000000" w:themeColor="text1"/>
                <w:lang w:val="cs-CZ"/>
              </w:rPr>
              <w:t>Alarm funkce (</w:t>
            </w:r>
            <w:proofErr w:type="spellStart"/>
            <w:r w:rsidRPr="00C76FE4">
              <w:rPr>
                <w:color w:val="000000" w:themeColor="text1"/>
                <w:lang w:val="cs-CZ"/>
              </w:rPr>
              <w:t>high</w:t>
            </w:r>
            <w:proofErr w:type="spellEnd"/>
            <w:r w:rsidRPr="00C76FE4">
              <w:rPr>
                <w:color w:val="000000" w:themeColor="text1"/>
                <w:lang w:val="cs-CZ"/>
              </w:rPr>
              <w:t xml:space="preserve">, </w:t>
            </w:r>
            <w:proofErr w:type="spellStart"/>
            <w:r w:rsidRPr="00C76FE4">
              <w:rPr>
                <w:color w:val="000000" w:themeColor="text1"/>
                <w:lang w:val="cs-CZ"/>
              </w:rPr>
              <w:t>low</w:t>
            </w:r>
            <w:proofErr w:type="spellEnd"/>
            <w:r w:rsidRPr="00C76FE4">
              <w:rPr>
                <w:color w:val="000000" w:themeColor="text1"/>
                <w:lang w:val="cs-CZ"/>
              </w:rPr>
              <w:t>, dveře, výpadek proudu, závada na chlazení), výstup pro externí alarm</w:t>
            </w:r>
          </w:p>
        </w:tc>
        <w:tc>
          <w:tcPr>
            <w:tcW w:w="2813" w:type="dxa"/>
          </w:tcPr>
          <w:p w14:paraId="4219173A" w14:textId="77777777" w:rsidR="00C76FE4" w:rsidRPr="00C76FE4" w:rsidRDefault="00C76FE4" w:rsidP="00C76FE4">
            <w:pPr>
              <w:spacing w:after="240"/>
              <w:ind w:left="0"/>
              <w:jc w:val="both"/>
              <w:rPr>
                <w:rFonts w:asciiTheme="minorHAnsi" w:hAnsiTheme="minorHAnsi" w:cstheme="minorHAnsi"/>
                <w:bCs/>
                <w:color w:val="000000"/>
                <w:lang w:eastAsia="cs-CZ"/>
              </w:rPr>
            </w:pPr>
            <w:r w:rsidRPr="00C76FE4">
              <w:rPr>
                <w:rFonts w:asciiTheme="minorHAnsi" w:hAnsiTheme="minorHAnsi" w:cstheme="minorHAnsi"/>
                <w:bCs/>
                <w:color w:val="000000"/>
                <w:lang w:val="cs-CZ" w:eastAsia="cs-CZ"/>
              </w:rPr>
              <w:t>ANO</w:t>
            </w:r>
          </w:p>
        </w:tc>
        <w:tc>
          <w:tcPr>
            <w:tcW w:w="2822" w:type="dxa"/>
          </w:tcPr>
          <w:p w14:paraId="579CD86C" w14:textId="77777777" w:rsidR="00C76FE4" w:rsidRPr="00C76FE4" w:rsidRDefault="00C76FE4" w:rsidP="00C76FE4">
            <w:pPr>
              <w:spacing w:after="240"/>
              <w:ind w:left="0"/>
              <w:jc w:val="both"/>
              <w:rPr>
                <w:rFonts w:asciiTheme="minorHAnsi" w:hAnsiTheme="minorHAnsi" w:cstheme="minorHAnsi"/>
                <w:bCs/>
                <w:color w:val="000000"/>
                <w:lang w:eastAsia="cs-CZ"/>
              </w:rPr>
            </w:pPr>
            <w:r w:rsidRPr="00C76FE4">
              <w:rPr>
                <w:rFonts w:asciiTheme="minorHAnsi" w:hAnsiTheme="minorHAnsi" w:cstheme="minorHAnsi"/>
                <w:bCs/>
                <w:color w:val="000000"/>
                <w:lang w:eastAsia="cs-CZ"/>
              </w:rPr>
              <w:t xml:space="preserve">Alarm </w:t>
            </w:r>
            <w:proofErr w:type="spellStart"/>
            <w:r w:rsidRPr="00C76FE4">
              <w:rPr>
                <w:rFonts w:asciiTheme="minorHAnsi" w:hAnsiTheme="minorHAnsi" w:cstheme="minorHAnsi"/>
                <w:bCs/>
                <w:color w:val="000000"/>
                <w:lang w:eastAsia="cs-CZ"/>
              </w:rPr>
              <w:t>vysoká</w:t>
            </w:r>
            <w:proofErr w:type="spellEnd"/>
            <w:r w:rsidRPr="00C76FE4">
              <w:rPr>
                <w:rFonts w:asciiTheme="minorHAnsi" w:hAnsiTheme="minorHAnsi" w:cstheme="minorHAnsi"/>
                <w:bCs/>
                <w:color w:val="000000"/>
                <w:lang w:eastAsia="cs-CZ"/>
              </w:rPr>
              <w:t>/</w:t>
            </w:r>
            <w:proofErr w:type="spellStart"/>
            <w:r w:rsidRPr="00C76FE4">
              <w:rPr>
                <w:rFonts w:asciiTheme="minorHAnsi" w:hAnsiTheme="minorHAnsi" w:cstheme="minorHAnsi"/>
                <w:bCs/>
                <w:color w:val="000000"/>
                <w:lang w:eastAsia="cs-CZ"/>
              </w:rPr>
              <w:t>nízká</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teplota</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výpadek</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proudu</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porucha</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chlazení</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kontakt</w:t>
            </w:r>
            <w:proofErr w:type="spellEnd"/>
            <w:r w:rsidRPr="00C76FE4">
              <w:rPr>
                <w:rFonts w:asciiTheme="minorHAnsi" w:hAnsiTheme="minorHAnsi" w:cstheme="minorHAnsi"/>
                <w:bCs/>
                <w:color w:val="000000"/>
                <w:lang w:eastAsia="cs-CZ"/>
              </w:rPr>
              <w:t xml:space="preserve"> pro </w:t>
            </w:r>
            <w:proofErr w:type="spellStart"/>
            <w:r w:rsidRPr="00C76FE4">
              <w:rPr>
                <w:rFonts w:asciiTheme="minorHAnsi" w:hAnsiTheme="minorHAnsi" w:cstheme="minorHAnsi"/>
                <w:bCs/>
                <w:color w:val="000000"/>
                <w:lang w:eastAsia="cs-CZ"/>
              </w:rPr>
              <w:t>vzdálený</w:t>
            </w:r>
            <w:proofErr w:type="spellEnd"/>
            <w:r w:rsidRPr="00C76FE4">
              <w:rPr>
                <w:rFonts w:asciiTheme="minorHAnsi" w:hAnsiTheme="minorHAnsi" w:cstheme="minorHAnsi"/>
                <w:bCs/>
                <w:color w:val="000000"/>
                <w:lang w:eastAsia="cs-CZ"/>
              </w:rPr>
              <w:t xml:space="preserve"> alarm</w:t>
            </w:r>
          </w:p>
        </w:tc>
      </w:tr>
      <w:tr w:rsidR="00C76FE4" w:rsidRPr="00C76FE4" w14:paraId="4BDB287E" w14:textId="77777777" w:rsidTr="00124EAC">
        <w:tc>
          <w:tcPr>
            <w:tcW w:w="622" w:type="dxa"/>
          </w:tcPr>
          <w:p w14:paraId="0216A180" w14:textId="77777777" w:rsidR="00C76FE4" w:rsidRPr="00C76FE4" w:rsidRDefault="00C76FE4" w:rsidP="00C76FE4">
            <w:pPr>
              <w:ind w:left="0"/>
              <w:jc w:val="both"/>
              <w:rPr>
                <w:color w:val="000000"/>
                <w:lang w:eastAsia="cs-CZ"/>
              </w:rPr>
            </w:pPr>
            <w:r w:rsidRPr="00C76FE4">
              <w:rPr>
                <w:color w:val="000000"/>
                <w:lang w:eastAsia="cs-CZ"/>
              </w:rPr>
              <w:t>1.10</w:t>
            </w:r>
          </w:p>
        </w:tc>
        <w:tc>
          <w:tcPr>
            <w:tcW w:w="2817" w:type="dxa"/>
          </w:tcPr>
          <w:p w14:paraId="393E5CA7" w14:textId="77777777" w:rsidR="00C76FE4" w:rsidRPr="00C76FE4" w:rsidRDefault="00C76FE4" w:rsidP="00C76FE4">
            <w:pPr>
              <w:spacing w:after="240"/>
              <w:ind w:left="0"/>
              <w:jc w:val="both"/>
              <w:rPr>
                <w:rFonts w:cs="Arial"/>
                <w:color w:val="000000"/>
                <w:lang w:val="cs-CZ"/>
              </w:rPr>
            </w:pPr>
            <w:r w:rsidRPr="00C76FE4">
              <w:rPr>
                <w:rFonts w:cs="Arial"/>
                <w:color w:val="000000" w:themeColor="text1"/>
                <w:lang w:val="cs-CZ"/>
              </w:rPr>
              <w:t>Součástí dodávky musí být vnitřní úložný systém z nerezového materiálu s vysouvacími šuplíky</w:t>
            </w:r>
          </w:p>
        </w:tc>
        <w:tc>
          <w:tcPr>
            <w:tcW w:w="2813" w:type="dxa"/>
          </w:tcPr>
          <w:p w14:paraId="28755281" w14:textId="77777777" w:rsidR="00C76FE4" w:rsidRPr="00C76FE4" w:rsidRDefault="00C76FE4" w:rsidP="00C76FE4">
            <w:pPr>
              <w:spacing w:after="240"/>
              <w:ind w:left="0"/>
              <w:jc w:val="both"/>
              <w:rPr>
                <w:rFonts w:asciiTheme="minorHAnsi" w:hAnsiTheme="minorHAnsi" w:cstheme="minorHAnsi"/>
                <w:bCs/>
                <w:color w:val="000000"/>
                <w:lang w:eastAsia="cs-CZ"/>
              </w:rPr>
            </w:pPr>
            <w:r w:rsidRPr="00C76FE4">
              <w:rPr>
                <w:rFonts w:asciiTheme="minorHAnsi" w:hAnsiTheme="minorHAnsi" w:cstheme="minorHAnsi"/>
                <w:bCs/>
                <w:color w:val="000000"/>
                <w:lang w:val="cs-CZ" w:eastAsia="cs-CZ"/>
              </w:rPr>
              <w:t>ANO</w:t>
            </w:r>
          </w:p>
        </w:tc>
        <w:tc>
          <w:tcPr>
            <w:tcW w:w="2822" w:type="dxa"/>
          </w:tcPr>
          <w:p w14:paraId="37EAF58E" w14:textId="77777777" w:rsidR="00C76FE4" w:rsidRPr="00C76FE4" w:rsidRDefault="00C76FE4" w:rsidP="00C76FE4">
            <w:pPr>
              <w:spacing w:after="240"/>
              <w:ind w:left="0"/>
              <w:jc w:val="both"/>
              <w:rPr>
                <w:rFonts w:asciiTheme="minorHAnsi" w:hAnsiTheme="minorHAnsi" w:cstheme="minorHAnsi"/>
                <w:bCs/>
                <w:color w:val="000000"/>
                <w:lang w:eastAsia="cs-CZ"/>
              </w:rPr>
            </w:pPr>
            <w:proofErr w:type="spellStart"/>
            <w:r w:rsidRPr="00C76FE4">
              <w:rPr>
                <w:rFonts w:asciiTheme="minorHAnsi" w:hAnsiTheme="minorHAnsi" w:cstheme="minorHAnsi"/>
                <w:bCs/>
                <w:color w:val="000000"/>
                <w:lang w:eastAsia="cs-CZ"/>
              </w:rPr>
              <w:t>Konfigurace</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boxu</w:t>
            </w:r>
            <w:proofErr w:type="spellEnd"/>
            <w:r w:rsidRPr="00C76FE4">
              <w:rPr>
                <w:rFonts w:asciiTheme="minorHAnsi" w:hAnsiTheme="minorHAnsi" w:cstheme="minorHAnsi"/>
                <w:bCs/>
                <w:color w:val="000000"/>
                <w:lang w:eastAsia="cs-CZ"/>
              </w:rPr>
              <w:t xml:space="preserve"> s </w:t>
            </w:r>
            <w:proofErr w:type="spellStart"/>
            <w:r w:rsidRPr="00C76FE4">
              <w:rPr>
                <w:rFonts w:asciiTheme="minorHAnsi" w:hAnsiTheme="minorHAnsi" w:cstheme="minorHAnsi"/>
                <w:bCs/>
                <w:color w:val="000000"/>
                <w:lang w:eastAsia="cs-CZ"/>
              </w:rPr>
              <w:t>nerezovými</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zakladači</w:t>
            </w:r>
            <w:proofErr w:type="spellEnd"/>
            <w:r w:rsidRPr="00C76FE4">
              <w:rPr>
                <w:rFonts w:asciiTheme="minorHAnsi" w:hAnsiTheme="minorHAnsi" w:cstheme="minorHAnsi"/>
                <w:bCs/>
                <w:color w:val="000000"/>
                <w:lang w:eastAsia="cs-CZ"/>
              </w:rPr>
              <w:t xml:space="preserve"> s </w:t>
            </w:r>
            <w:proofErr w:type="spellStart"/>
            <w:r w:rsidRPr="00C76FE4">
              <w:rPr>
                <w:rFonts w:asciiTheme="minorHAnsi" w:hAnsiTheme="minorHAnsi" w:cstheme="minorHAnsi"/>
                <w:bCs/>
                <w:color w:val="000000"/>
                <w:lang w:eastAsia="cs-CZ"/>
              </w:rPr>
              <w:t>výsuvnými</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poličkami</w:t>
            </w:r>
            <w:proofErr w:type="spellEnd"/>
            <w:r w:rsidRPr="00C76FE4">
              <w:rPr>
                <w:rFonts w:asciiTheme="minorHAnsi" w:hAnsiTheme="minorHAnsi" w:cstheme="minorHAnsi"/>
                <w:bCs/>
                <w:color w:val="000000"/>
                <w:lang w:eastAsia="cs-CZ"/>
              </w:rPr>
              <w:t xml:space="preserve">, pro </w:t>
            </w:r>
            <w:proofErr w:type="spellStart"/>
            <w:r w:rsidRPr="00C76FE4">
              <w:rPr>
                <w:rFonts w:asciiTheme="minorHAnsi" w:hAnsiTheme="minorHAnsi" w:cstheme="minorHAnsi"/>
                <w:bCs/>
                <w:color w:val="000000"/>
                <w:lang w:eastAsia="cs-CZ"/>
              </w:rPr>
              <w:t>plnou</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kapacitu</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boxu</w:t>
            </w:r>
            <w:proofErr w:type="spellEnd"/>
          </w:p>
        </w:tc>
      </w:tr>
      <w:tr w:rsidR="00C76FE4" w:rsidRPr="00C76FE4" w14:paraId="7FF40B55" w14:textId="77777777" w:rsidTr="00124EAC">
        <w:tc>
          <w:tcPr>
            <w:tcW w:w="622" w:type="dxa"/>
          </w:tcPr>
          <w:p w14:paraId="31AD56CC" w14:textId="77777777" w:rsidR="00C76FE4" w:rsidRPr="00C76FE4" w:rsidRDefault="00C76FE4" w:rsidP="00C76FE4">
            <w:pPr>
              <w:ind w:left="0"/>
              <w:jc w:val="both"/>
              <w:rPr>
                <w:color w:val="000000"/>
                <w:lang w:eastAsia="cs-CZ"/>
              </w:rPr>
            </w:pPr>
            <w:r w:rsidRPr="00C76FE4">
              <w:rPr>
                <w:color w:val="000000"/>
                <w:lang w:eastAsia="cs-CZ"/>
              </w:rPr>
              <w:t>1.11</w:t>
            </w:r>
          </w:p>
        </w:tc>
        <w:tc>
          <w:tcPr>
            <w:tcW w:w="2817" w:type="dxa"/>
          </w:tcPr>
          <w:p w14:paraId="61E78E99" w14:textId="77777777" w:rsidR="00C76FE4" w:rsidRPr="00C76FE4" w:rsidRDefault="00C76FE4" w:rsidP="00C76FE4">
            <w:pPr>
              <w:spacing w:after="240"/>
              <w:ind w:left="0"/>
              <w:contextualSpacing/>
              <w:jc w:val="both"/>
              <w:rPr>
                <w:rFonts w:cs="Arial"/>
                <w:color w:val="000000" w:themeColor="text1"/>
                <w:lang w:val="cs-CZ"/>
              </w:rPr>
            </w:pPr>
            <w:r w:rsidRPr="00C76FE4">
              <w:rPr>
                <w:rFonts w:cs="Arial"/>
                <w:color w:val="000000" w:themeColor="text1"/>
                <w:lang w:val="cs-CZ"/>
              </w:rPr>
              <w:t xml:space="preserve">Součástí předmětu plnění je také dodání a instalace </w:t>
            </w:r>
            <w:proofErr w:type="spellStart"/>
            <w:r w:rsidRPr="00C76FE4">
              <w:rPr>
                <w:rFonts w:cs="Arial"/>
                <w:color w:val="000000" w:themeColor="text1"/>
                <w:lang w:val="cs-CZ"/>
              </w:rPr>
              <w:t>hlubkomrazícího</w:t>
            </w:r>
            <w:proofErr w:type="spellEnd"/>
            <w:r w:rsidRPr="00C76FE4">
              <w:rPr>
                <w:rFonts w:cs="Arial"/>
                <w:color w:val="000000" w:themeColor="text1"/>
                <w:lang w:val="cs-CZ"/>
              </w:rPr>
              <w:t xml:space="preserve"> boxu v místě plnění a zaškolení pověřených zaměstnanců zadavatele oprávněným pracovníkem dodavatele v českém nebo anglickém jazyce k ovládání a obsluze </w:t>
            </w:r>
            <w:proofErr w:type="spellStart"/>
            <w:r w:rsidRPr="00C76FE4">
              <w:rPr>
                <w:rFonts w:cs="Arial"/>
                <w:color w:val="000000" w:themeColor="text1"/>
                <w:lang w:val="cs-CZ"/>
              </w:rPr>
              <w:t>hlubokomrazícího</w:t>
            </w:r>
            <w:proofErr w:type="spellEnd"/>
            <w:r w:rsidRPr="00C76FE4">
              <w:rPr>
                <w:rFonts w:cs="Arial"/>
                <w:color w:val="000000" w:themeColor="text1"/>
                <w:lang w:val="cs-CZ"/>
              </w:rPr>
              <w:t xml:space="preserve"> boxu, v nezbytném rozsahu a na náklady dodavatele.</w:t>
            </w:r>
          </w:p>
        </w:tc>
        <w:tc>
          <w:tcPr>
            <w:tcW w:w="2813" w:type="dxa"/>
          </w:tcPr>
          <w:p w14:paraId="0B567028" w14:textId="77777777" w:rsidR="00C76FE4" w:rsidRPr="00C76FE4" w:rsidRDefault="00C76FE4" w:rsidP="00C76FE4">
            <w:pPr>
              <w:spacing w:after="240"/>
              <w:ind w:left="0"/>
              <w:jc w:val="both"/>
              <w:rPr>
                <w:rFonts w:asciiTheme="minorHAnsi" w:hAnsiTheme="minorHAnsi" w:cstheme="minorHAnsi"/>
                <w:bCs/>
                <w:color w:val="000000"/>
                <w:lang w:eastAsia="cs-CZ"/>
              </w:rPr>
            </w:pPr>
            <w:r w:rsidRPr="00C76FE4">
              <w:rPr>
                <w:rFonts w:asciiTheme="minorHAnsi" w:hAnsiTheme="minorHAnsi" w:cstheme="minorHAnsi"/>
                <w:bCs/>
                <w:color w:val="000000"/>
                <w:lang w:val="cs-CZ" w:eastAsia="cs-CZ"/>
              </w:rPr>
              <w:t>ANO</w:t>
            </w:r>
          </w:p>
        </w:tc>
        <w:tc>
          <w:tcPr>
            <w:tcW w:w="2822" w:type="dxa"/>
          </w:tcPr>
          <w:p w14:paraId="0E196994" w14:textId="77777777" w:rsidR="00C76FE4" w:rsidRPr="00C76FE4" w:rsidRDefault="00C76FE4" w:rsidP="00C76FE4">
            <w:pPr>
              <w:spacing w:after="240"/>
              <w:ind w:left="0"/>
              <w:jc w:val="both"/>
              <w:rPr>
                <w:rFonts w:cs="Arial"/>
                <w:color w:val="000000" w:themeColor="text1"/>
                <w:lang w:eastAsia="cs-CZ"/>
              </w:rPr>
            </w:pPr>
            <w:proofErr w:type="spellStart"/>
            <w:r w:rsidRPr="00C76FE4">
              <w:rPr>
                <w:rFonts w:cs="Arial"/>
                <w:color w:val="000000"/>
                <w:lang w:eastAsia="cs-CZ"/>
              </w:rPr>
              <w:t>Součástí</w:t>
            </w:r>
            <w:proofErr w:type="spellEnd"/>
            <w:r w:rsidRPr="00C76FE4">
              <w:rPr>
                <w:rFonts w:cs="Arial"/>
                <w:color w:val="000000"/>
                <w:lang w:eastAsia="cs-CZ"/>
              </w:rPr>
              <w:t xml:space="preserve"> </w:t>
            </w:r>
            <w:proofErr w:type="spellStart"/>
            <w:r w:rsidRPr="00C76FE4">
              <w:rPr>
                <w:rFonts w:cs="Arial"/>
                <w:color w:val="000000"/>
                <w:lang w:eastAsia="cs-CZ"/>
              </w:rPr>
              <w:t>doprava</w:t>
            </w:r>
            <w:proofErr w:type="spellEnd"/>
            <w:r w:rsidRPr="00C76FE4">
              <w:rPr>
                <w:rFonts w:cs="Arial"/>
                <w:color w:val="000000"/>
                <w:lang w:eastAsia="cs-CZ"/>
              </w:rPr>
              <w:t xml:space="preserve"> </w:t>
            </w:r>
            <w:proofErr w:type="spellStart"/>
            <w:r w:rsidRPr="00C76FE4">
              <w:rPr>
                <w:rFonts w:cs="Arial"/>
                <w:color w:val="000000"/>
                <w:lang w:eastAsia="cs-CZ"/>
              </w:rPr>
              <w:t>na</w:t>
            </w:r>
            <w:proofErr w:type="spellEnd"/>
            <w:r w:rsidRPr="00C76FE4">
              <w:rPr>
                <w:rFonts w:cs="Arial"/>
                <w:color w:val="000000"/>
                <w:lang w:eastAsia="cs-CZ"/>
              </w:rPr>
              <w:t xml:space="preserve"> </w:t>
            </w:r>
            <w:proofErr w:type="spellStart"/>
            <w:r w:rsidRPr="00C76FE4">
              <w:rPr>
                <w:rFonts w:cs="Arial"/>
                <w:color w:val="000000"/>
                <w:lang w:eastAsia="cs-CZ"/>
              </w:rPr>
              <w:t>místo</w:t>
            </w:r>
            <w:proofErr w:type="spellEnd"/>
            <w:r w:rsidRPr="00C76FE4">
              <w:rPr>
                <w:rFonts w:cs="Arial"/>
                <w:color w:val="000000"/>
                <w:lang w:eastAsia="cs-CZ"/>
              </w:rPr>
              <w:t xml:space="preserve">, </w:t>
            </w:r>
            <w:proofErr w:type="spellStart"/>
            <w:r w:rsidRPr="00C76FE4">
              <w:rPr>
                <w:rFonts w:cs="Arial"/>
                <w:color w:val="000000"/>
                <w:lang w:eastAsia="cs-CZ"/>
              </w:rPr>
              <w:t>instalace</w:t>
            </w:r>
            <w:proofErr w:type="spellEnd"/>
            <w:r w:rsidRPr="00C76FE4">
              <w:rPr>
                <w:rFonts w:cs="Arial"/>
                <w:color w:val="000000"/>
                <w:lang w:eastAsia="cs-CZ"/>
              </w:rPr>
              <w:t xml:space="preserve"> </w:t>
            </w:r>
            <w:proofErr w:type="spellStart"/>
            <w:r w:rsidRPr="00C76FE4">
              <w:rPr>
                <w:rFonts w:cs="Arial"/>
                <w:color w:val="000000"/>
                <w:lang w:eastAsia="cs-CZ"/>
              </w:rPr>
              <w:t>zařízení</w:t>
            </w:r>
            <w:proofErr w:type="spellEnd"/>
            <w:r w:rsidRPr="00C76FE4">
              <w:rPr>
                <w:rFonts w:cs="Arial"/>
                <w:color w:val="000000"/>
                <w:lang w:eastAsia="cs-CZ"/>
              </w:rPr>
              <w:t xml:space="preserve">, </w:t>
            </w:r>
            <w:proofErr w:type="spellStart"/>
            <w:r w:rsidRPr="00C76FE4">
              <w:rPr>
                <w:rFonts w:cs="Arial"/>
                <w:color w:val="000000"/>
                <w:lang w:eastAsia="cs-CZ"/>
              </w:rPr>
              <w:t>zaškolení</w:t>
            </w:r>
            <w:proofErr w:type="spellEnd"/>
            <w:r w:rsidRPr="00C76FE4">
              <w:rPr>
                <w:rFonts w:cs="Arial"/>
                <w:color w:val="000000"/>
                <w:lang w:eastAsia="cs-CZ"/>
              </w:rPr>
              <w:t xml:space="preserve"> </w:t>
            </w:r>
            <w:proofErr w:type="spellStart"/>
            <w:r w:rsidRPr="00C76FE4">
              <w:rPr>
                <w:rFonts w:cs="Arial"/>
                <w:color w:val="000000"/>
                <w:lang w:eastAsia="cs-CZ"/>
              </w:rPr>
              <w:t>obsluhy</w:t>
            </w:r>
            <w:proofErr w:type="spellEnd"/>
            <w:r w:rsidRPr="00C76FE4">
              <w:rPr>
                <w:rFonts w:cs="Arial"/>
                <w:color w:val="000000"/>
                <w:lang w:eastAsia="cs-CZ"/>
              </w:rPr>
              <w:t xml:space="preserve">, </w:t>
            </w:r>
            <w:proofErr w:type="spellStart"/>
            <w:r w:rsidRPr="00C76FE4">
              <w:rPr>
                <w:rFonts w:cs="Arial"/>
                <w:color w:val="000000"/>
                <w:lang w:eastAsia="cs-CZ"/>
              </w:rPr>
              <w:t>uživatelský</w:t>
            </w:r>
            <w:proofErr w:type="spellEnd"/>
            <w:r w:rsidRPr="00C76FE4">
              <w:rPr>
                <w:rFonts w:cs="Arial"/>
                <w:color w:val="000000"/>
                <w:lang w:eastAsia="cs-CZ"/>
              </w:rPr>
              <w:t xml:space="preserve"> manual a CE </w:t>
            </w:r>
            <w:proofErr w:type="spellStart"/>
            <w:r w:rsidRPr="00C76FE4">
              <w:rPr>
                <w:rFonts w:cs="Arial"/>
                <w:color w:val="000000"/>
                <w:lang w:eastAsia="cs-CZ"/>
              </w:rPr>
              <w:t>prohlášení</w:t>
            </w:r>
            <w:proofErr w:type="spellEnd"/>
            <w:r w:rsidRPr="00C76FE4">
              <w:rPr>
                <w:rFonts w:cs="Arial"/>
                <w:color w:val="000000"/>
                <w:lang w:eastAsia="cs-CZ"/>
              </w:rPr>
              <w:t xml:space="preserve"> o </w:t>
            </w:r>
            <w:proofErr w:type="spellStart"/>
            <w:r w:rsidRPr="00C76FE4">
              <w:rPr>
                <w:rFonts w:cs="Arial"/>
                <w:color w:val="000000"/>
                <w:lang w:eastAsia="cs-CZ"/>
              </w:rPr>
              <w:t>shodě</w:t>
            </w:r>
            <w:proofErr w:type="spellEnd"/>
            <w:r w:rsidRPr="00C76FE4">
              <w:rPr>
                <w:rFonts w:cs="Arial"/>
                <w:color w:val="000000"/>
                <w:lang w:eastAsia="cs-CZ"/>
              </w:rPr>
              <w:t xml:space="preserve"> v </w:t>
            </w:r>
            <w:proofErr w:type="spellStart"/>
            <w:r w:rsidRPr="00C76FE4">
              <w:rPr>
                <w:rFonts w:cs="Arial"/>
                <w:color w:val="000000"/>
                <w:lang w:eastAsia="cs-CZ"/>
              </w:rPr>
              <w:t>českém</w:t>
            </w:r>
            <w:proofErr w:type="spellEnd"/>
            <w:r w:rsidRPr="00C76FE4">
              <w:rPr>
                <w:rFonts w:cs="Arial"/>
                <w:color w:val="000000"/>
                <w:lang w:eastAsia="cs-CZ"/>
              </w:rPr>
              <w:t xml:space="preserve"> </w:t>
            </w:r>
            <w:proofErr w:type="spellStart"/>
            <w:r w:rsidRPr="00C76FE4">
              <w:rPr>
                <w:rFonts w:cs="Arial"/>
                <w:color w:val="000000"/>
                <w:lang w:eastAsia="cs-CZ"/>
              </w:rPr>
              <w:t>jazyce</w:t>
            </w:r>
            <w:proofErr w:type="spellEnd"/>
          </w:p>
        </w:tc>
      </w:tr>
      <w:tr w:rsidR="00C76FE4" w:rsidRPr="00C76FE4" w14:paraId="44C1AA72" w14:textId="77777777" w:rsidTr="00124EAC">
        <w:tc>
          <w:tcPr>
            <w:tcW w:w="622" w:type="dxa"/>
          </w:tcPr>
          <w:p w14:paraId="5063C167" w14:textId="77777777" w:rsidR="00C76FE4" w:rsidRPr="00C76FE4" w:rsidRDefault="00C76FE4" w:rsidP="00C76FE4">
            <w:pPr>
              <w:ind w:left="0"/>
              <w:jc w:val="both"/>
              <w:rPr>
                <w:color w:val="000000"/>
                <w:lang w:eastAsia="cs-CZ"/>
              </w:rPr>
            </w:pPr>
            <w:r w:rsidRPr="00C76FE4">
              <w:rPr>
                <w:color w:val="000000"/>
                <w:lang w:eastAsia="cs-CZ"/>
              </w:rPr>
              <w:t>1.12</w:t>
            </w:r>
          </w:p>
        </w:tc>
        <w:tc>
          <w:tcPr>
            <w:tcW w:w="2817" w:type="dxa"/>
          </w:tcPr>
          <w:p w14:paraId="1DFF5A45" w14:textId="77777777" w:rsidR="00C76FE4" w:rsidRPr="00C76FE4" w:rsidRDefault="00C76FE4" w:rsidP="00C76FE4">
            <w:pPr>
              <w:spacing w:after="160" w:line="259" w:lineRule="auto"/>
              <w:ind w:left="0"/>
              <w:jc w:val="both"/>
              <w:rPr>
                <w:rFonts w:cs="Arial"/>
                <w:color w:val="000000" w:themeColor="text1"/>
                <w:lang w:val="cs-CZ" w:eastAsia="cs-CZ"/>
              </w:rPr>
            </w:pPr>
            <w:r w:rsidRPr="00C76FE4">
              <w:rPr>
                <w:rFonts w:cs="Arial"/>
                <w:color w:val="000000" w:themeColor="text1"/>
                <w:lang w:val="cs-CZ"/>
              </w:rPr>
              <w:t xml:space="preserve">Dodavatel poskytuje na dodávaný </w:t>
            </w:r>
            <w:proofErr w:type="spellStart"/>
            <w:r w:rsidRPr="00C76FE4">
              <w:rPr>
                <w:rFonts w:cs="Arial"/>
                <w:color w:val="000000" w:themeColor="text1"/>
                <w:lang w:val="cs-CZ"/>
              </w:rPr>
              <w:t>hlubokomrazící</w:t>
            </w:r>
            <w:proofErr w:type="spellEnd"/>
            <w:r w:rsidRPr="00C76FE4">
              <w:rPr>
                <w:rFonts w:cs="Arial"/>
                <w:color w:val="000000" w:themeColor="text1"/>
                <w:lang w:val="cs-CZ"/>
              </w:rPr>
              <w:t xml:space="preserve"> box (včetně veškerých součástí a příslušenství) záruku v délce </w:t>
            </w:r>
            <w:r w:rsidRPr="00C76FE4">
              <w:rPr>
                <w:rFonts w:cs="Arial"/>
                <w:color w:val="000000" w:themeColor="text1"/>
                <w:lang w:val="cs-CZ"/>
              </w:rPr>
              <w:lastRenderedPageBreak/>
              <w:t xml:space="preserve">min. 24 měsíců od data řádného předání, převzetí a instalace </w:t>
            </w:r>
            <w:proofErr w:type="spellStart"/>
            <w:r w:rsidRPr="00C76FE4">
              <w:rPr>
                <w:rFonts w:cs="Arial"/>
                <w:color w:val="000000" w:themeColor="text1"/>
                <w:lang w:val="cs-CZ"/>
              </w:rPr>
              <w:t>hlubokomrazícího</w:t>
            </w:r>
            <w:proofErr w:type="spellEnd"/>
            <w:r w:rsidRPr="00C76FE4">
              <w:rPr>
                <w:rFonts w:cs="Arial"/>
                <w:color w:val="000000" w:themeColor="text1"/>
                <w:lang w:val="cs-CZ"/>
              </w:rPr>
              <w:t xml:space="preserve"> boxu v místě plnění, včetně vedení evidence servisních zásahů.</w:t>
            </w:r>
          </w:p>
        </w:tc>
        <w:tc>
          <w:tcPr>
            <w:tcW w:w="2813" w:type="dxa"/>
          </w:tcPr>
          <w:p w14:paraId="6836D857" w14:textId="77777777" w:rsidR="00C76FE4" w:rsidRPr="00C76FE4" w:rsidRDefault="00C76FE4" w:rsidP="00C76FE4">
            <w:pPr>
              <w:spacing w:after="160" w:line="259" w:lineRule="auto"/>
              <w:ind w:left="0"/>
              <w:rPr>
                <w:rFonts w:cs="Arial"/>
                <w:color w:val="000000" w:themeColor="text1"/>
                <w:lang w:val="cs-CZ" w:eastAsia="cs-CZ"/>
              </w:rPr>
            </w:pPr>
            <w:r w:rsidRPr="00C76FE4">
              <w:rPr>
                <w:rFonts w:asciiTheme="minorHAnsi" w:hAnsiTheme="minorHAnsi" w:cstheme="minorHAnsi"/>
                <w:bCs/>
                <w:color w:val="000000"/>
                <w:lang w:val="cs-CZ" w:eastAsia="cs-CZ"/>
              </w:rPr>
              <w:lastRenderedPageBreak/>
              <w:t>ANO</w:t>
            </w:r>
          </w:p>
        </w:tc>
        <w:tc>
          <w:tcPr>
            <w:tcW w:w="2822" w:type="dxa"/>
          </w:tcPr>
          <w:p w14:paraId="1B166231" w14:textId="77777777" w:rsidR="00C76FE4" w:rsidRPr="00C76FE4" w:rsidRDefault="00C76FE4" w:rsidP="00C76FE4">
            <w:pPr>
              <w:spacing w:after="160" w:line="259" w:lineRule="auto"/>
              <w:ind w:left="0"/>
              <w:rPr>
                <w:rFonts w:cs="Arial"/>
                <w:color w:val="000000" w:themeColor="text1"/>
                <w:lang w:eastAsia="cs-CZ"/>
              </w:rPr>
            </w:pPr>
            <w:proofErr w:type="spellStart"/>
            <w:r w:rsidRPr="00C76FE4">
              <w:rPr>
                <w:rFonts w:asciiTheme="minorHAnsi" w:hAnsiTheme="minorHAnsi" w:cstheme="minorHAnsi"/>
                <w:bCs/>
                <w:color w:val="000000"/>
                <w:lang w:eastAsia="cs-CZ"/>
              </w:rPr>
              <w:t>Záruka</w:t>
            </w:r>
            <w:proofErr w:type="spellEnd"/>
            <w:r w:rsidRPr="00C76FE4">
              <w:rPr>
                <w:rFonts w:asciiTheme="minorHAnsi" w:hAnsiTheme="minorHAnsi" w:cstheme="minorHAnsi"/>
                <w:bCs/>
                <w:color w:val="000000"/>
                <w:lang w:eastAsia="cs-CZ"/>
              </w:rPr>
              <w:t xml:space="preserve"> 24 </w:t>
            </w:r>
            <w:proofErr w:type="spellStart"/>
            <w:r w:rsidRPr="00C76FE4">
              <w:rPr>
                <w:rFonts w:asciiTheme="minorHAnsi" w:hAnsiTheme="minorHAnsi" w:cstheme="minorHAnsi"/>
                <w:bCs/>
                <w:color w:val="000000"/>
                <w:lang w:eastAsia="cs-CZ"/>
              </w:rPr>
              <w:t>měsíců</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aautorizovaný</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servis</w:t>
            </w:r>
            <w:proofErr w:type="spellEnd"/>
            <w:r w:rsidRPr="00C76FE4">
              <w:rPr>
                <w:rFonts w:asciiTheme="minorHAnsi" w:hAnsiTheme="minorHAnsi" w:cstheme="minorHAnsi"/>
                <w:bCs/>
                <w:color w:val="000000"/>
                <w:lang w:eastAsia="cs-CZ"/>
              </w:rPr>
              <w:t xml:space="preserve"> </w:t>
            </w:r>
          </w:p>
        </w:tc>
      </w:tr>
      <w:tr w:rsidR="00C76FE4" w:rsidRPr="00C76FE4" w14:paraId="1AD42448" w14:textId="77777777" w:rsidTr="00124EAC">
        <w:tc>
          <w:tcPr>
            <w:tcW w:w="622" w:type="dxa"/>
          </w:tcPr>
          <w:p w14:paraId="54B4BD8A" w14:textId="77777777" w:rsidR="00C76FE4" w:rsidRPr="00C76FE4" w:rsidRDefault="00C76FE4" w:rsidP="00C76FE4">
            <w:pPr>
              <w:ind w:left="0"/>
              <w:jc w:val="both"/>
              <w:rPr>
                <w:color w:val="000000"/>
                <w:lang w:eastAsia="cs-CZ"/>
              </w:rPr>
            </w:pPr>
            <w:r w:rsidRPr="00C76FE4">
              <w:rPr>
                <w:color w:val="000000"/>
                <w:lang w:eastAsia="cs-CZ"/>
              </w:rPr>
              <w:t>1.13</w:t>
            </w:r>
          </w:p>
        </w:tc>
        <w:tc>
          <w:tcPr>
            <w:tcW w:w="2817" w:type="dxa"/>
          </w:tcPr>
          <w:p w14:paraId="34D84714" w14:textId="77777777" w:rsidR="00C76FE4" w:rsidRPr="00C76FE4" w:rsidRDefault="00C76FE4" w:rsidP="00C76FE4">
            <w:pPr>
              <w:spacing w:after="200"/>
              <w:ind w:left="0"/>
              <w:jc w:val="both"/>
              <w:rPr>
                <w:strike/>
                <w:color w:val="000000"/>
                <w:lang w:val="cs-CZ"/>
              </w:rPr>
            </w:pPr>
            <w:r w:rsidRPr="00C76FE4">
              <w:rPr>
                <w:rFonts w:cs="Arial"/>
                <w:color w:val="000000" w:themeColor="text1"/>
                <w:lang w:val="cs-CZ"/>
              </w:rPr>
              <w:t>Dodavatel garantuje</w:t>
            </w:r>
            <w:r w:rsidRPr="00C76FE4">
              <w:rPr>
                <w:color w:val="000000"/>
                <w:lang w:val="cs-CZ"/>
              </w:rPr>
              <w:t xml:space="preserve"> dostupnost placeného pozáručního servisu předmětu plnění a dostupnosti náhradních dílů po dobu nejméně 24 měsíců od dne skončení záruční doby.</w:t>
            </w:r>
            <w:r w:rsidRPr="00C76FE4">
              <w:rPr>
                <w:strike/>
                <w:color w:val="000000"/>
                <w:lang w:val="cs-CZ"/>
              </w:rPr>
              <w:t xml:space="preserve"> </w:t>
            </w:r>
          </w:p>
        </w:tc>
        <w:tc>
          <w:tcPr>
            <w:tcW w:w="2813" w:type="dxa"/>
          </w:tcPr>
          <w:p w14:paraId="682B8BFA" w14:textId="77777777" w:rsidR="00C76FE4" w:rsidRPr="00C76FE4" w:rsidRDefault="00C76FE4" w:rsidP="00C76FE4">
            <w:pPr>
              <w:spacing w:after="160" w:line="259" w:lineRule="auto"/>
              <w:ind w:left="0"/>
              <w:rPr>
                <w:rFonts w:asciiTheme="minorHAnsi" w:hAnsiTheme="minorHAnsi" w:cstheme="minorHAnsi"/>
                <w:bCs/>
                <w:color w:val="000000"/>
                <w:lang w:eastAsia="cs-CZ"/>
              </w:rPr>
            </w:pPr>
            <w:r w:rsidRPr="00C76FE4">
              <w:rPr>
                <w:rFonts w:asciiTheme="minorHAnsi" w:hAnsiTheme="minorHAnsi" w:cstheme="minorHAnsi"/>
                <w:bCs/>
                <w:color w:val="000000"/>
                <w:lang w:val="cs-CZ" w:eastAsia="cs-CZ"/>
              </w:rPr>
              <w:t>ANO</w:t>
            </w:r>
          </w:p>
        </w:tc>
        <w:tc>
          <w:tcPr>
            <w:tcW w:w="2822" w:type="dxa"/>
          </w:tcPr>
          <w:p w14:paraId="69A5DB1F" w14:textId="77777777" w:rsidR="00C76FE4" w:rsidRPr="00C76FE4" w:rsidRDefault="00C76FE4" w:rsidP="00C76FE4">
            <w:pPr>
              <w:spacing w:after="160" w:line="259" w:lineRule="auto"/>
              <w:ind w:left="0"/>
              <w:rPr>
                <w:rFonts w:asciiTheme="minorHAnsi" w:hAnsiTheme="minorHAnsi" w:cstheme="minorHAnsi"/>
                <w:bCs/>
                <w:color w:val="000000"/>
                <w:lang w:eastAsia="cs-CZ"/>
              </w:rPr>
            </w:pPr>
            <w:proofErr w:type="spellStart"/>
            <w:r w:rsidRPr="00C76FE4">
              <w:rPr>
                <w:rFonts w:asciiTheme="minorHAnsi" w:hAnsiTheme="minorHAnsi" w:cstheme="minorHAnsi"/>
                <w:bCs/>
                <w:color w:val="000000"/>
                <w:lang w:eastAsia="cs-CZ"/>
              </w:rPr>
              <w:t>Garance</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servisu</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minimálně</w:t>
            </w:r>
            <w:proofErr w:type="spellEnd"/>
            <w:r w:rsidRPr="00C76FE4">
              <w:rPr>
                <w:rFonts w:asciiTheme="minorHAnsi" w:hAnsiTheme="minorHAnsi" w:cstheme="minorHAnsi"/>
                <w:bCs/>
                <w:color w:val="000000"/>
                <w:lang w:eastAsia="cs-CZ"/>
              </w:rPr>
              <w:t xml:space="preserve"> 24 </w:t>
            </w:r>
            <w:proofErr w:type="spellStart"/>
            <w:r w:rsidRPr="00C76FE4">
              <w:rPr>
                <w:rFonts w:asciiTheme="minorHAnsi" w:hAnsiTheme="minorHAnsi" w:cstheme="minorHAnsi"/>
                <w:bCs/>
                <w:color w:val="000000"/>
                <w:lang w:eastAsia="cs-CZ"/>
              </w:rPr>
              <w:t>měsíců</w:t>
            </w:r>
            <w:proofErr w:type="spellEnd"/>
            <w:r w:rsidRPr="00C76FE4">
              <w:rPr>
                <w:rFonts w:asciiTheme="minorHAnsi" w:hAnsiTheme="minorHAnsi" w:cstheme="minorHAnsi"/>
                <w:bCs/>
                <w:color w:val="000000"/>
                <w:lang w:eastAsia="cs-CZ"/>
              </w:rPr>
              <w:t xml:space="preserve"> po </w:t>
            </w:r>
            <w:proofErr w:type="spellStart"/>
            <w:r w:rsidRPr="00C76FE4">
              <w:rPr>
                <w:rFonts w:asciiTheme="minorHAnsi" w:hAnsiTheme="minorHAnsi" w:cstheme="minorHAnsi"/>
                <w:bCs/>
                <w:color w:val="000000"/>
                <w:lang w:eastAsia="cs-CZ"/>
              </w:rPr>
              <w:t>skončení</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standardní</w:t>
            </w:r>
            <w:proofErr w:type="spellEnd"/>
            <w:r w:rsidRPr="00C76FE4">
              <w:rPr>
                <w:rFonts w:asciiTheme="minorHAnsi" w:hAnsiTheme="minorHAnsi" w:cstheme="minorHAnsi"/>
                <w:bCs/>
                <w:color w:val="000000"/>
                <w:lang w:eastAsia="cs-CZ"/>
              </w:rPr>
              <w:t xml:space="preserve"> </w:t>
            </w:r>
            <w:proofErr w:type="spellStart"/>
            <w:r w:rsidRPr="00C76FE4">
              <w:rPr>
                <w:rFonts w:asciiTheme="minorHAnsi" w:hAnsiTheme="minorHAnsi" w:cstheme="minorHAnsi"/>
                <w:bCs/>
                <w:color w:val="000000"/>
                <w:lang w:eastAsia="cs-CZ"/>
              </w:rPr>
              <w:t>záruky</w:t>
            </w:r>
            <w:proofErr w:type="spellEnd"/>
          </w:p>
        </w:tc>
      </w:tr>
    </w:tbl>
    <w:p w14:paraId="5780A6D6" w14:textId="77777777" w:rsidR="00C76FE4" w:rsidRPr="00C76FE4" w:rsidRDefault="00C76FE4" w:rsidP="00C76FE4">
      <w:pPr>
        <w:spacing w:after="200"/>
        <w:ind w:left="0"/>
        <w:jc w:val="both"/>
        <w:rPr>
          <w:rFonts w:asciiTheme="minorHAnsi" w:eastAsia="Calibri" w:hAnsiTheme="minorHAnsi"/>
          <w:color w:val="000000"/>
          <w:sz w:val="22"/>
          <w:szCs w:val="22"/>
          <w:lang w:val="cs-CZ"/>
        </w:rPr>
      </w:pPr>
    </w:p>
    <w:p w14:paraId="0D01B5E2" w14:textId="77777777" w:rsidR="00444015" w:rsidRPr="00225046" w:rsidRDefault="00444015" w:rsidP="009F59AE">
      <w:pPr>
        <w:ind w:left="0"/>
        <w:rPr>
          <w:lang w:val="cs-CZ"/>
        </w:rPr>
      </w:pPr>
    </w:p>
    <w:sectPr w:rsidR="00444015" w:rsidRPr="00225046" w:rsidSect="009F59AE">
      <w:headerReference w:type="default" r:id="rId10"/>
      <w:footerReference w:type="default" r:id="rId11"/>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980C5" w14:textId="77777777" w:rsidR="004E67A6" w:rsidRDefault="004E67A6" w:rsidP="003220DA">
      <w:r>
        <w:separator/>
      </w:r>
    </w:p>
  </w:endnote>
  <w:endnote w:type="continuationSeparator" w:id="0">
    <w:p w14:paraId="71D707FE" w14:textId="77777777" w:rsidR="004E67A6" w:rsidRDefault="004E67A6"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2C396830"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4A10F0">
              <w:rPr>
                <w:rFonts w:asciiTheme="minorHAnsi" w:hAnsiTheme="minorHAnsi"/>
                <w:b/>
                <w:bCs/>
                <w:noProof/>
                <w:sz w:val="22"/>
                <w:szCs w:val="22"/>
                <w:lang w:val="cs-CZ"/>
              </w:rPr>
              <w:t>19</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4A10F0">
              <w:rPr>
                <w:rFonts w:asciiTheme="minorHAnsi" w:hAnsiTheme="minorHAnsi"/>
                <w:b/>
                <w:bCs/>
                <w:noProof/>
                <w:sz w:val="22"/>
                <w:szCs w:val="22"/>
                <w:lang w:val="cs-CZ"/>
              </w:rPr>
              <w:t>19</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399CC" w14:textId="77777777" w:rsidR="004E67A6" w:rsidRDefault="004E67A6" w:rsidP="003220DA">
      <w:r>
        <w:separator/>
      </w:r>
    </w:p>
  </w:footnote>
  <w:footnote w:type="continuationSeparator" w:id="0">
    <w:p w14:paraId="65DA8999" w14:textId="77777777" w:rsidR="004E67A6" w:rsidRDefault="004E67A6"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3D66" w14:textId="01F69D66" w:rsidR="0069382E" w:rsidRDefault="0069382E" w:rsidP="0069382E">
    <w:pPr>
      <w:pStyle w:val="Zhlav"/>
      <w:rPr>
        <w:lang w:val="cs-CZ"/>
      </w:rPr>
    </w:pPr>
    <w:r>
      <w:rPr>
        <w:noProof/>
        <w:lang w:val="cs-CZ" w:eastAsia="cs-CZ"/>
      </w:rPr>
      <w:drawing>
        <wp:inline distT="0" distB="0" distL="0" distR="0" wp14:anchorId="7D294D2A" wp14:editId="231544A1">
          <wp:extent cx="1333500" cy="666750"/>
          <wp:effectExtent l="0" t="0" r="0" b="0"/>
          <wp:docPr id="7" name="Obrázek 7" descr="msmt-logotyp-text-rgb-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logotyp-text-rgb-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inline>
      </w:drawing>
    </w:r>
    <w:r>
      <w:t xml:space="preserve">          </w:t>
    </w:r>
    <w:r>
      <w:rPr>
        <w:noProof/>
        <w:lang w:val="cs-CZ" w:eastAsia="cs-CZ"/>
      </w:rPr>
      <w:drawing>
        <wp:inline distT="0" distB="0" distL="0" distR="0" wp14:anchorId="34824E0D" wp14:editId="7F0528A1">
          <wp:extent cx="1476375" cy="666750"/>
          <wp:effectExtent l="0" t="0" r="9525" b="0"/>
          <wp:docPr id="6" name="Obrázek 6" descr="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666750"/>
                  </a:xfrm>
                  <a:prstGeom prst="rect">
                    <a:avLst/>
                  </a:prstGeom>
                  <a:noFill/>
                  <a:ln>
                    <a:noFill/>
                  </a:ln>
                </pic:spPr>
              </pic:pic>
            </a:graphicData>
          </a:graphic>
        </wp:inline>
      </w:drawing>
    </w:r>
    <w:r>
      <w:t xml:space="preserve">     </w:t>
    </w:r>
    <w:r>
      <w:rPr>
        <w:noProof/>
        <w:lang w:val="cs-CZ" w:eastAsia="cs-CZ"/>
      </w:rPr>
      <w:drawing>
        <wp:inline distT="0" distB="0" distL="0" distR="0" wp14:anchorId="05F92410" wp14:editId="4AA5AE92">
          <wp:extent cx="2219325" cy="666750"/>
          <wp:effectExtent l="0" t="0" r="9525" b="0"/>
          <wp:docPr id="1" name="Obrázek 1" descr="cs-financovano-evropskou-unii-pos-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s-financovano-evropskou-unii-pos-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9325" cy="666750"/>
                  </a:xfrm>
                  <a:prstGeom prst="rect">
                    <a:avLst/>
                  </a:prstGeom>
                  <a:noFill/>
                  <a:ln>
                    <a:noFill/>
                  </a:ln>
                </pic:spPr>
              </pic:pic>
            </a:graphicData>
          </a:graphic>
        </wp:inline>
      </w:drawing>
    </w:r>
  </w:p>
  <w:p w14:paraId="2BE545C0" w14:textId="77777777" w:rsidR="0069382E" w:rsidRDefault="0069382E" w:rsidP="0069382E">
    <w:pPr>
      <w:pStyle w:val="Zhlav"/>
      <w:rPr>
        <w:b/>
        <w:bCs/>
      </w:rPr>
    </w:pPr>
  </w:p>
  <w:p w14:paraId="15B1AC79" w14:textId="77777777" w:rsidR="0069382E" w:rsidRDefault="0069382E" w:rsidP="0069382E">
    <w:pPr>
      <w:pStyle w:val="Zhlav"/>
    </w:pPr>
    <w:proofErr w:type="spellStart"/>
    <w:r>
      <w:rPr>
        <w:bCs/>
      </w:rPr>
      <w:t>Financováno</w:t>
    </w:r>
    <w:proofErr w:type="spellEnd"/>
    <w:r>
      <w:rPr>
        <w:bCs/>
      </w:rPr>
      <w:t xml:space="preserve"> </w:t>
    </w:r>
    <w:proofErr w:type="spellStart"/>
    <w:r>
      <w:rPr>
        <w:bCs/>
      </w:rPr>
      <w:t>Evropskou</w:t>
    </w:r>
    <w:proofErr w:type="spellEnd"/>
    <w:r>
      <w:rPr>
        <w:bCs/>
      </w:rPr>
      <w:t xml:space="preserve"> </w:t>
    </w:r>
    <w:proofErr w:type="spellStart"/>
    <w:r>
      <w:rPr>
        <w:bCs/>
      </w:rPr>
      <w:t>unií</w:t>
    </w:r>
    <w:proofErr w:type="spellEnd"/>
    <w:r>
      <w:rPr>
        <w:bCs/>
      </w:rPr>
      <w:t xml:space="preserve"> – Next Generation </w:t>
    </w:r>
    <w:proofErr w:type="spellStart"/>
    <w:r>
      <w:rPr>
        <w:bCs/>
      </w:rPr>
      <w:t>EU_identifikační</w:t>
    </w:r>
    <w:proofErr w:type="spellEnd"/>
    <w:r>
      <w:rPr>
        <w:bCs/>
      </w:rPr>
      <w:t xml:space="preserve"> </w:t>
    </w:r>
    <w:proofErr w:type="spellStart"/>
    <w:r>
      <w:rPr>
        <w:bCs/>
      </w:rPr>
      <w:t>kód</w:t>
    </w:r>
    <w:proofErr w:type="spellEnd"/>
    <w:r>
      <w:rPr>
        <w:bCs/>
      </w:rPr>
      <w:t xml:space="preserve"> </w:t>
    </w:r>
    <w:proofErr w:type="spellStart"/>
    <w:r>
      <w:rPr>
        <w:bCs/>
      </w:rPr>
      <w:t>Projektu</w:t>
    </w:r>
    <w:proofErr w:type="spellEnd"/>
    <w:r>
      <w:rPr>
        <w:bCs/>
      </w:rPr>
      <w:t>: LX22NPO5103</w:t>
    </w:r>
  </w:p>
  <w:p w14:paraId="67E13F89" w14:textId="59763673" w:rsidR="0069382E" w:rsidRDefault="0069382E">
    <w:pPr>
      <w:pStyle w:val="Zhlav"/>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224"/>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52EC"/>
    <w:rsid w:val="00077E68"/>
    <w:rsid w:val="00081499"/>
    <w:rsid w:val="000870B9"/>
    <w:rsid w:val="00090F83"/>
    <w:rsid w:val="0009537F"/>
    <w:rsid w:val="00095A0A"/>
    <w:rsid w:val="000B27BF"/>
    <w:rsid w:val="000B2C41"/>
    <w:rsid w:val="000B7647"/>
    <w:rsid w:val="000C06C8"/>
    <w:rsid w:val="000C1660"/>
    <w:rsid w:val="000C3C35"/>
    <w:rsid w:val="000C5DFE"/>
    <w:rsid w:val="000C7557"/>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23C9C"/>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A57"/>
    <w:rsid w:val="001724F6"/>
    <w:rsid w:val="00175548"/>
    <w:rsid w:val="00181044"/>
    <w:rsid w:val="001811EE"/>
    <w:rsid w:val="001816D5"/>
    <w:rsid w:val="00183390"/>
    <w:rsid w:val="00183585"/>
    <w:rsid w:val="00183BBA"/>
    <w:rsid w:val="00183EB2"/>
    <w:rsid w:val="00184DC1"/>
    <w:rsid w:val="001927BB"/>
    <w:rsid w:val="00193CF4"/>
    <w:rsid w:val="00194128"/>
    <w:rsid w:val="00194DD2"/>
    <w:rsid w:val="001950E0"/>
    <w:rsid w:val="001A04F0"/>
    <w:rsid w:val="001A0813"/>
    <w:rsid w:val="001A1E36"/>
    <w:rsid w:val="001A2CAD"/>
    <w:rsid w:val="001B476A"/>
    <w:rsid w:val="001C26A9"/>
    <w:rsid w:val="001C2A85"/>
    <w:rsid w:val="001C39F4"/>
    <w:rsid w:val="001C74AE"/>
    <w:rsid w:val="001D0107"/>
    <w:rsid w:val="001D025B"/>
    <w:rsid w:val="001D3137"/>
    <w:rsid w:val="001D609F"/>
    <w:rsid w:val="001D6B65"/>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2110"/>
    <w:rsid w:val="0025222F"/>
    <w:rsid w:val="00254E33"/>
    <w:rsid w:val="002662CE"/>
    <w:rsid w:val="00266435"/>
    <w:rsid w:val="002670F7"/>
    <w:rsid w:val="00271E2D"/>
    <w:rsid w:val="00275BE4"/>
    <w:rsid w:val="00283649"/>
    <w:rsid w:val="0028492D"/>
    <w:rsid w:val="00296111"/>
    <w:rsid w:val="00297A58"/>
    <w:rsid w:val="002A4A6B"/>
    <w:rsid w:val="002A5DD8"/>
    <w:rsid w:val="002B21C0"/>
    <w:rsid w:val="002B3375"/>
    <w:rsid w:val="002B3877"/>
    <w:rsid w:val="002B42FF"/>
    <w:rsid w:val="002B43D9"/>
    <w:rsid w:val="002B5444"/>
    <w:rsid w:val="002B550B"/>
    <w:rsid w:val="002B77D8"/>
    <w:rsid w:val="002B7BDE"/>
    <w:rsid w:val="002C178C"/>
    <w:rsid w:val="002C1876"/>
    <w:rsid w:val="002C27EA"/>
    <w:rsid w:val="002C3439"/>
    <w:rsid w:val="002C421C"/>
    <w:rsid w:val="002C4AAE"/>
    <w:rsid w:val="002C690A"/>
    <w:rsid w:val="002C7D57"/>
    <w:rsid w:val="002D0636"/>
    <w:rsid w:val="002D3E00"/>
    <w:rsid w:val="002D74D3"/>
    <w:rsid w:val="002D78D3"/>
    <w:rsid w:val="002E10A8"/>
    <w:rsid w:val="002E3159"/>
    <w:rsid w:val="002E71B0"/>
    <w:rsid w:val="002F65EB"/>
    <w:rsid w:val="0030547C"/>
    <w:rsid w:val="00305765"/>
    <w:rsid w:val="00311ACC"/>
    <w:rsid w:val="00312859"/>
    <w:rsid w:val="00313137"/>
    <w:rsid w:val="00317AAB"/>
    <w:rsid w:val="003220DA"/>
    <w:rsid w:val="00325C77"/>
    <w:rsid w:val="00325DBF"/>
    <w:rsid w:val="003331C4"/>
    <w:rsid w:val="00337A67"/>
    <w:rsid w:val="003431A5"/>
    <w:rsid w:val="00345510"/>
    <w:rsid w:val="00346FC5"/>
    <w:rsid w:val="003509C2"/>
    <w:rsid w:val="00352240"/>
    <w:rsid w:val="0035560B"/>
    <w:rsid w:val="0035758C"/>
    <w:rsid w:val="00362304"/>
    <w:rsid w:val="00366834"/>
    <w:rsid w:val="00371715"/>
    <w:rsid w:val="003756D0"/>
    <w:rsid w:val="00380EFF"/>
    <w:rsid w:val="0038756E"/>
    <w:rsid w:val="003924BA"/>
    <w:rsid w:val="003A5235"/>
    <w:rsid w:val="003A635A"/>
    <w:rsid w:val="003A6F6E"/>
    <w:rsid w:val="003B13C6"/>
    <w:rsid w:val="003B14DE"/>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70E6"/>
    <w:rsid w:val="003E75C2"/>
    <w:rsid w:val="003F06A4"/>
    <w:rsid w:val="003F25B6"/>
    <w:rsid w:val="003F2E7F"/>
    <w:rsid w:val="003F463D"/>
    <w:rsid w:val="003F5ACC"/>
    <w:rsid w:val="003F7D2C"/>
    <w:rsid w:val="003F7E32"/>
    <w:rsid w:val="00400AAA"/>
    <w:rsid w:val="00402077"/>
    <w:rsid w:val="00402128"/>
    <w:rsid w:val="0040464A"/>
    <w:rsid w:val="00406224"/>
    <w:rsid w:val="00410B07"/>
    <w:rsid w:val="00410D6C"/>
    <w:rsid w:val="00413430"/>
    <w:rsid w:val="00414231"/>
    <w:rsid w:val="004147A7"/>
    <w:rsid w:val="0041656B"/>
    <w:rsid w:val="00423AFA"/>
    <w:rsid w:val="00425AD8"/>
    <w:rsid w:val="004263B2"/>
    <w:rsid w:val="00432397"/>
    <w:rsid w:val="004364B4"/>
    <w:rsid w:val="004377A7"/>
    <w:rsid w:val="00440DA4"/>
    <w:rsid w:val="00442A8F"/>
    <w:rsid w:val="00444015"/>
    <w:rsid w:val="00444B25"/>
    <w:rsid w:val="00450661"/>
    <w:rsid w:val="004532EA"/>
    <w:rsid w:val="00453C2F"/>
    <w:rsid w:val="00455D6F"/>
    <w:rsid w:val="004561F6"/>
    <w:rsid w:val="00457720"/>
    <w:rsid w:val="00457E2B"/>
    <w:rsid w:val="004615B7"/>
    <w:rsid w:val="00462D58"/>
    <w:rsid w:val="00464550"/>
    <w:rsid w:val="0048052C"/>
    <w:rsid w:val="0049036F"/>
    <w:rsid w:val="00490E86"/>
    <w:rsid w:val="00491739"/>
    <w:rsid w:val="00491A70"/>
    <w:rsid w:val="00491AA6"/>
    <w:rsid w:val="00495C0E"/>
    <w:rsid w:val="004972FC"/>
    <w:rsid w:val="004A10F0"/>
    <w:rsid w:val="004A289A"/>
    <w:rsid w:val="004A593A"/>
    <w:rsid w:val="004A5CAF"/>
    <w:rsid w:val="004B12D1"/>
    <w:rsid w:val="004B15DB"/>
    <w:rsid w:val="004B18EC"/>
    <w:rsid w:val="004C4BBC"/>
    <w:rsid w:val="004C6C05"/>
    <w:rsid w:val="004D619D"/>
    <w:rsid w:val="004D732F"/>
    <w:rsid w:val="004E013B"/>
    <w:rsid w:val="004E4D2B"/>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81679"/>
    <w:rsid w:val="005822D4"/>
    <w:rsid w:val="00582C1A"/>
    <w:rsid w:val="00583FDE"/>
    <w:rsid w:val="005842BB"/>
    <w:rsid w:val="00585E7B"/>
    <w:rsid w:val="00585F03"/>
    <w:rsid w:val="0058621C"/>
    <w:rsid w:val="0058728F"/>
    <w:rsid w:val="005907BD"/>
    <w:rsid w:val="00596942"/>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3FA9"/>
    <w:rsid w:val="005D4ACD"/>
    <w:rsid w:val="005E485B"/>
    <w:rsid w:val="005E4A21"/>
    <w:rsid w:val="005E687F"/>
    <w:rsid w:val="005E6C49"/>
    <w:rsid w:val="005E6DDD"/>
    <w:rsid w:val="005E7F16"/>
    <w:rsid w:val="005F0926"/>
    <w:rsid w:val="005F38CE"/>
    <w:rsid w:val="005F3CC4"/>
    <w:rsid w:val="005F4AA5"/>
    <w:rsid w:val="005F4E20"/>
    <w:rsid w:val="00603207"/>
    <w:rsid w:val="00603589"/>
    <w:rsid w:val="0060553B"/>
    <w:rsid w:val="00613925"/>
    <w:rsid w:val="00620930"/>
    <w:rsid w:val="0062142C"/>
    <w:rsid w:val="00631BA8"/>
    <w:rsid w:val="00640623"/>
    <w:rsid w:val="00641BB9"/>
    <w:rsid w:val="0064238B"/>
    <w:rsid w:val="00645336"/>
    <w:rsid w:val="00645EE0"/>
    <w:rsid w:val="006476EA"/>
    <w:rsid w:val="00650E81"/>
    <w:rsid w:val="0065212E"/>
    <w:rsid w:val="006549D0"/>
    <w:rsid w:val="00656438"/>
    <w:rsid w:val="00671445"/>
    <w:rsid w:val="0067168D"/>
    <w:rsid w:val="00674CFC"/>
    <w:rsid w:val="006765FD"/>
    <w:rsid w:val="0068024E"/>
    <w:rsid w:val="00680497"/>
    <w:rsid w:val="006820C5"/>
    <w:rsid w:val="006842B2"/>
    <w:rsid w:val="00687775"/>
    <w:rsid w:val="006901EE"/>
    <w:rsid w:val="0069256E"/>
    <w:rsid w:val="006931C2"/>
    <w:rsid w:val="006935C9"/>
    <w:rsid w:val="0069382E"/>
    <w:rsid w:val="00693BFB"/>
    <w:rsid w:val="00695CE7"/>
    <w:rsid w:val="00697C83"/>
    <w:rsid w:val="006A2302"/>
    <w:rsid w:val="006A23C5"/>
    <w:rsid w:val="006A5AB5"/>
    <w:rsid w:val="006A5E67"/>
    <w:rsid w:val="006B2499"/>
    <w:rsid w:val="006B2BAA"/>
    <w:rsid w:val="006B4200"/>
    <w:rsid w:val="006B74CE"/>
    <w:rsid w:val="006C24F6"/>
    <w:rsid w:val="006C2E88"/>
    <w:rsid w:val="006C3CF2"/>
    <w:rsid w:val="006C7A90"/>
    <w:rsid w:val="006D0697"/>
    <w:rsid w:val="006E385F"/>
    <w:rsid w:val="006E4782"/>
    <w:rsid w:val="006F58A0"/>
    <w:rsid w:val="006F7F0D"/>
    <w:rsid w:val="00700CCB"/>
    <w:rsid w:val="00701A5E"/>
    <w:rsid w:val="00705F73"/>
    <w:rsid w:val="00712ED7"/>
    <w:rsid w:val="00716253"/>
    <w:rsid w:val="00720361"/>
    <w:rsid w:val="007206E0"/>
    <w:rsid w:val="00721487"/>
    <w:rsid w:val="00722DE6"/>
    <w:rsid w:val="00725219"/>
    <w:rsid w:val="0072559F"/>
    <w:rsid w:val="00731089"/>
    <w:rsid w:val="00732926"/>
    <w:rsid w:val="0073599A"/>
    <w:rsid w:val="00740F51"/>
    <w:rsid w:val="00741DD3"/>
    <w:rsid w:val="00743D67"/>
    <w:rsid w:val="00746088"/>
    <w:rsid w:val="007479B0"/>
    <w:rsid w:val="007505F4"/>
    <w:rsid w:val="00751139"/>
    <w:rsid w:val="007539E1"/>
    <w:rsid w:val="007549BB"/>
    <w:rsid w:val="00760C9A"/>
    <w:rsid w:val="00762160"/>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920"/>
    <w:rsid w:val="007A16DA"/>
    <w:rsid w:val="007A2839"/>
    <w:rsid w:val="007A2D92"/>
    <w:rsid w:val="007A3F10"/>
    <w:rsid w:val="007B2170"/>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3FF0"/>
    <w:rsid w:val="008058DC"/>
    <w:rsid w:val="00805D17"/>
    <w:rsid w:val="00812FCA"/>
    <w:rsid w:val="00816B9C"/>
    <w:rsid w:val="00817E9E"/>
    <w:rsid w:val="00821D66"/>
    <w:rsid w:val="008245E3"/>
    <w:rsid w:val="00825AB9"/>
    <w:rsid w:val="00827B51"/>
    <w:rsid w:val="008329E0"/>
    <w:rsid w:val="008338E9"/>
    <w:rsid w:val="00834903"/>
    <w:rsid w:val="008352FC"/>
    <w:rsid w:val="008363AB"/>
    <w:rsid w:val="008366E9"/>
    <w:rsid w:val="00837824"/>
    <w:rsid w:val="008431CE"/>
    <w:rsid w:val="00844DAC"/>
    <w:rsid w:val="00861EB8"/>
    <w:rsid w:val="0086245B"/>
    <w:rsid w:val="00862539"/>
    <w:rsid w:val="0086688F"/>
    <w:rsid w:val="00866E55"/>
    <w:rsid w:val="00870854"/>
    <w:rsid w:val="00870948"/>
    <w:rsid w:val="00870DC8"/>
    <w:rsid w:val="0087511A"/>
    <w:rsid w:val="00877F12"/>
    <w:rsid w:val="00883884"/>
    <w:rsid w:val="00884B74"/>
    <w:rsid w:val="008850B2"/>
    <w:rsid w:val="0088764C"/>
    <w:rsid w:val="00887DD0"/>
    <w:rsid w:val="00890A9A"/>
    <w:rsid w:val="00891F17"/>
    <w:rsid w:val="008953E9"/>
    <w:rsid w:val="008972B0"/>
    <w:rsid w:val="008A055D"/>
    <w:rsid w:val="008A1290"/>
    <w:rsid w:val="008A1A28"/>
    <w:rsid w:val="008A309E"/>
    <w:rsid w:val="008A3FBD"/>
    <w:rsid w:val="008A522E"/>
    <w:rsid w:val="008A5F8C"/>
    <w:rsid w:val="008B16AE"/>
    <w:rsid w:val="008B1E5C"/>
    <w:rsid w:val="008B3A0F"/>
    <w:rsid w:val="008B564B"/>
    <w:rsid w:val="008B6B2D"/>
    <w:rsid w:val="008B72EE"/>
    <w:rsid w:val="008C1572"/>
    <w:rsid w:val="008C2788"/>
    <w:rsid w:val="008C3417"/>
    <w:rsid w:val="008C4404"/>
    <w:rsid w:val="008C5CB3"/>
    <w:rsid w:val="008C6101"/>
    <w:rsid w:val="008C74B0"/>
    <w:rsid w:val="008D4E22"/>
    <w:rsid w:val="008D53C9"/>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53DD6"/>
    <w:rsid w:val="00953ECE"/>
    <w:rsid w:val="0095526A"/>
    <w:rsid w:val="00955E9A"/>
    <w:rsid w:val="00965B4C"/>
    <w:rsid w:val="0096648F"/>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C208C"/>
    <w:rsid w:val="009C32D7"/>
    <w:rsid w:val="009D18AB"/>
    <w:rsid w:val="009D4439"/>
    <w:rsid w:val="009D4E04"/>
    <w:rsid w:val="009D63EB"/>
    <w:rsid w:val="009D7EF9"/>
    <w:rsid w:val="009E4C29"/>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91898"/>
    <w:rsid w:val="00AA03CC"/>
    <w:rsid w:val="00AA68E8"/>
    <w:rsid w:val="00AA7631"/>
    <w:rsid w:val="00AB098C"/>
    <w:rsid w:val="00AB1324"/>
    <w:rsid w:val="00AB3B9B"/>
    <w:rsid w:val="00AB4D35"/>
    <w:rsid w:val="00AC04EF"/>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37D0"/>
    <w:rsid w:val="00B75D3E"/>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D07DC"/>
    <w:rsid w:val="00BD0E10"/>
    <w:rsid w:val="00BE398C"/>
    <w:rsid w:val="00BE3AC3"/>
    <w:rsid w:val="00BE5277"/>
    <w:rsid w:val="00BE5291"/>
    <w:rsid w:val="00BE7494"/>
    <w:rsid w:val="00BF2576"/>
    <w:rsid w:val="00C003CC"/>
    <w:rsid w:val="00C05729"/>
    <w:rsid w:val="00C07ACA"/>
    <w:rsid w:val="00C12BAC"/>
    <w:rsid w:val="00C16746"/>
    <w:rsid w:val="00C1751F"/>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9BD"/>
    <w:rsid w:val="00C736DF"/>
    <w:rsid w:val="00C745B3"/>
    <w:rsid w:val="00C74C41"/>
    <w:rsid w:val="00C76FE4"/>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798"/>
    <w:rsid w:val="00CC6B87"/>
    <w:rsid w:val="00CC7534"/>
    <w:rsid w:val="00CD2B8C"/>
    <w:rsid w:val="00CD475E"/>
    <w:rsid w:val="00CD77F6"/>
    <w:rsid w:val="00CE286C"/>
    <w:rsid w:val="00CE2966"/>
    <w:rsid w:val="00CE33B3"/>
    <w:rsid w:val="00CF1179"/>
    <w:rsid w:val="00CF232C"/>
    <w:rsid w:val="00CF7917"/>
    <w:rsid w:val="00D0081F"/>
    <w:rsid w:val="00D038E3"/>
    <w:rsid w:val="00D107D2"/>
    <w:rsid w:val="00D11ADF"/>
    <w:rsid w:val="00D127D9"/>
    <w:rsid w:val="00D12AFE"/>
    <w:rsid w:val="00D13105"/>
    <w:rsid w:val="00D15E20"/>
    <w:rsid w:val="00D17571"/>
    <w:rsid w:val="00D204E1"/>
    <w:rsid w:val="00D216AD"/>
    <w:rsid w:val="00D25955"/>
    <w:rsid w:val="00D3115C"/>
    <w:rsid w:val="00D36A50"/>
    <w:rsid w:val="00D37243"/>
    <w:rsid w:val="00D45B60"/>
    <w:rsid w:val="00D4733C"/>
    <w:rsid w:val="00D50C80"/>
    <w:rsid w:val="00D50CCF"/>
    <w:rsid w:val="00D55A08"/>
    <w:rsid w:val="00D5686A"/>
    <w:rsid w:val="00D606F0"/>
    <w:rsid w:val="00D61C30"/>
    <w:rsid w:val="00D643AA"/>
    <w:rsid w:val="00D70111"/>
    <w:rsid w:val="00D701DC"/>
    <w:rsid w:val="00D71AAA"/>
    <w:rsid w:val="00D72A17"/>
    <w:rsid w:val="00D72BA0"/>
    <w:rsid w:val="00D77A62"/>
    <w:rsid w:val="00D844F2"/>
    <w:rsid w:val="00D9471D"/>
    <w:rsid w:val="00D96272"/>
    <w:rsid w:val="00DA080D"/>
    <w:rsid w:val="00DA0AD8"/>
    <w:rsid w:val="00DA3219"/>
    <w:rsid w:val="00DA3E8A"/>
    <w:rsid w:val="00DA7D68"/>
    <w:rsid w:val="00DB2543"/>
    <w:rsid w:val="00DB2B12"/>
    <w:rsid w:val="00DB3067"/>
    <w:rsid w:val="00DC3459"/>
    <w:rsid w:val="00DD19EE"/>
    <w:rsid w:val="00DD3E9C"/>
    <w:rsid w:val="00DE00FF"/>
    <w:rsid w:val="00DE01E6"/>
    <w:rsid w:val="00DE0570"/>
    <w:rsid w:val="00DE18FA"/>
    <w:rsid w:val="00DE1DAB"/>
    <w:rsid w:val="00DE266F"/>
    <w:rsid w:val="00DE56B1"/>
    <w:rsid w:val="00DF2986"/>
    <w:rsid w:val="00DF33D9"/>
    <w:rsid w:val="00DF463E"/>
    <w:rsid w:val="00DF59EC"/>
    <w:rsid w:val="00DF623A"/>
    <w:rsid w:val="00E001BA"/>
    <w:rsid w:val="00E019C7"/>
    <w:rsid w:val="00E04943"/>
    <w:rsid w:val="00E13023"/>
    <w:rsid w:val="00E1416C"/>
    <w:rsid w:val="00E14EC5"/>
    <w:rsid w:val="00E15B8F"/>
    <w:rsid w:val="00E16EF0"/>
    <w:rsid w:val="00E22B34"/>
    <w:rsid w:val="00E27D53"/>
    <w:rsid w:val="00E31E07"/>
    <w:rsid w:val="00E31EA6"/>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7BC0"/>
    <w:rsid w:val="00EA239D"/>
    <w:rsid w:val="00EA6EDE"/>
    <w:rsid w:val="00EB1BFE"/>
    <w:rsid w:val="00EB3A62"/>
    <w:rsid w:val="00EB58C6"/>
    <w:rsid w:val="00EB686C"/>
    <w:rsid w:val="00EC0E6A"/>
    <w:rsid w:val="00EC2BDF"/>
    <w:rsid w:val="00EC742E"/>
    <w:rsid w:val="00ED0231"/>
    <w:rsid w:val="00ED58C1"/>
    <w:rsid w:val="00EE34E6"/>
    <w:rsid w:val="00EE4EE9"/>
    <w:rsid w:val="00EE594D"/>
    <w:rsid w:val="00EE6115"/>
    <w:rsid w:val="00EE670B"/>
    <w:rsid w:val="00EE736D"/>
    <w:rsid w:val="00EE7F9B"/>
    <w:rsid w:val="00F021B1"/>
    <w:rsid w:val="00F023CE"/>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1FFA"/>
    <w:rsid w:val="00F851BC"/>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5381"/>
    <w:rsid w:val="00FD70BB"/>
    <w:rsid w:val="00FE183A"/>
    <w:rsid w:val="00FE1AB0"/>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8D53C9"/>
    <w:rPr>
      <w:color w:val="0563C1" w:themeColor="hyperlink"/>
      <w:u w:val="single"/>
    </w:rPr>
  </w:style>
  <w:style w:type="character" w:customStyle="1" w:styleId="Nevyeenzmnka1">
    <w:name w:val="Nevyřešená zmínka1"/>
    <w:basedOn w:val="Standardnpsmoodstavce"/>
    <w:uiPriority w:val="99"/>
    <w:semiHidden/>
    <w:unhideWhenUsed/>
    <w:rsid w:val="008D53C9"/>
    <w:rPr>
      <w:color w:val="605E5C"/>
      <w:shd w:val="clear" w:color="auto" w:fill="E1DFDD"/>
    </w:rPr>
  </w:style>
  <w:style w:type="paragraph" w:styleId="Zkladntext">
    <w:name w:val="Body Text"/>
    <w:basedOn w:val="Normln"/>
    <w:link w:val="ZkladntextChar"/>
    <w:uiPriority w:val="99"/>
    <w:semiHidden/>
    <w:unhideWhenUsed/>
    <w:rsid w:val="00C76FE4"/>
    <w:pPr>
      <w:spacing w:after="120"/>
    </w:pPr>
  </w:style>
  <w:style w:type="character" w:customStyle="1" w:styleId="ZkladntextChar">
    <w:name w:val="Základní text Char"/>
    <w:basedOn w:val="Standardnpsmoodstavce"/>
    <w:link w:val="Zkladntext"/>
    <w:uiPriority w:val="99"/>
    <w:semiHidden/>
    <w:rsid w:val="00C76FE4"/>
    <w:rPr>
      <w:rFonts w:ascii="Calibri" w:hAnsi="Calibri" w:cs="Times New Roman"/>
      <w:sz w:val="20"/>
      <w:szCs w:val="20"/>
      <w:lang w:val="en-US"/>
    </w:rPr>
  </w:style>
  <w:style w:type="table" w:customStyle="1" w:styleId="Mkatabulky3">
    <w:name w:val="Mřížka tabulky3"/>
    <w:basedOn w:val="Normlntabulka"/>
    <w:next w:val="Mkatabulky"/>
    <w:uiPriority w:val="59"/>
    <w:rsid w:val="00C76FE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igonplus.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0B1D6-5E02-49FC-BCC3-3FF87C8D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6543</Words>
  <Characters>38608</Characters>
  <Application>Microsoft Office Word</Application>
  <DocSecurity>0</DocSecurity>
  <Lines>321</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2023-11-23T07:31:00Z</cp:lastPrinted>
  <dcterms:created xsi:type="dcterms:W3CDTF">2023-11-28T09:19:00Z</dcterms:created>
  <dcterms:modified xsi:type="dcterms:W3CDTF">2023-11-28T09:23:00Z</dcterms:modified>
</cp:coreProperties>
</file>