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6AEB" w14:textId="1A21E2ED" w:rsidR="000E5529" w:rsidRDefault="00D649F1" w:rsidP="000E5529">
      <w:pPr>
        <w:jc w:val="center"/>
        <w:rPr>
          <w:rFonts w:ascii="Tahoma" w:hAnsi="Tahoma" w:cs="Tahoma"/>
        </w:rPr>
      </w:pPr>
      <w:r w:rsidRPr="00D649F1">
        <w:rPr>
          <w:rFonts w:ascii="Tahoma" w:hAnsi="Tahoma" w:cs="Tahoma"/>
        </w:rPr>
        <w:t>259470</w:t>
      </w:r>
    </w:p>
    <w:p w14:paraId="361F64ED" w14:textId="77777777" w:rsidR="000E5529" w:rsidRDefault="000E5529" w:rsidP="000E5529">
      <w:pPr>
        <w:jc w:val="center"/>
        <w:rPr>
          <w:rFonts w:ascii="Tahoma" w:hAnsi="Tahoma" w:cs="Tahoma"/>
          <w:b/>
          <w:bCs/>
        </w:rPr>
      </w:pPr>
    </w:p>
    <w:p w14:paraId="6D6FA6C5" w14:textId="467C00AD" w:rsidR="0060544F" w:rsidRPr="000E233E" w:rsidRDefault="005655C3">
      <w:pPr>
        <w:pStyle w:val="Nadpis1"/>
        <w:rPr>
          <w:rFonts w:ascii="Tahoma" w:hAnsi="Tahoma" w:cs="Tahoma"/>
          <w:sz w:val="28"/>
          <w:szCs w:val="28"/>
        </w:rPr>
      </w:pPr>
      <w:r w:rsidRPr="000E233E">
        <w:rPr>
          <w:rFonts w:ascii="Tahoma" w:hAnsi="Tahoma" w:cs="Tahoma"/>
          <w:sz w:val="28"/>
          <w:szCs w:val="28"/>
        </w:rPr>
        <w:t xml:space="preserve">Dodatek č. </w:t>
      </w:r>
      <w:r w:rsidR="00D649F1">
        <w:rPr>
          <w:rFonts w:ascii="Tahoma" w:hAnsi="Tahoma" w:cs="Tahoma"/>
          <w:sz w:val="28"/>
          <w:szCs w:val="28"/>
        </w:rPr>
        <w:t>1</w:t>
      </w:r>
    </w:p>
    <w:p w14:paraId="6F5DC920" w14:textId="284E1720" w:rsidR="007C4D63" w:rsidRDefault="00D649F1" w:rsidP="007C4D63">
      <w:pPr>
        <w:pStyle w:val="Zkladntext3"/>
      </w:pPr>
      <w:r>
        <w:t>K NÁJEMNÍ</w:t>
      </w:r>
      <w:r w:rsidR="00CA165F">
        <w:t xml:space="preserve"> SMLOUVĚ </w:t>
      </w:r>
      <w:r w:rsidR="007C4D63" w:rsidRPr="008E118A">
        <w:t xml:space="preserve">č. </w:t>
      </w:r>
      <w:r>
        <w:t>25947 - JCHER</w:t>
      </w:r>
    </w:p>
    <w:p w14:paraId="7BF9D0AD" w14:textId="0CDBBBEE" w:rsidR="00EC662B" w:rsidRPr="003F702E" w:rsidRDefault="007C4D63" w:rsidP="003F702E">
      <w:pPr>
        <w:pStyle w:val="Zkladntext3"/>
      </w:pPr>
      <w:r w:rsidRPr="000E233E">
        <w:t xml:space="preserve">ze dne </w:t>
      </w:r>
      <w:r w:rsidR="00D649F1">
        <w:t>29.11.2022</w:t>
      </w:r>
    </w:p>
    <w:p w14:paraId="39C76706" w14:textId="77777777" w:rsidR="00F26F89" w:rsidRPr="00B47627" w:rsidRDefault="007C4D63" w:rsidP="00363B30">
      <w:pPr>
        <w:jc w:val="center"/>
        <w:rPr>
          <w:rFonts w:ascii="Tahoma" w:hAnsi="Tahoma" w:cs="Tahoma"/>
          <w:b/>
          <w:sz w:val="20"/>
          <w:szCs w:val="20"/>
        </w:rPr>
      </w:pPr>
      <w:r w:rsidRPr="00B47627">
        <w:rPr>
          <w:rFonts w:ascii="Tahoma" w:hAnsi="Tahoma" w:cs="Tahoma"/>
          <w:b/>
          <w:sz w:val="20"/>
          <w:szCs w:val="20"/>
        </w:rPr>
        <w:t>(dále jen „smlouva“)</w:t>
      </w:r>
    </w:p>
    <w:p w14:paraId="31C8137E" w14:textId="77777777" w:rsidR="00E03F22" w:rsidRDefault="00E03F22" w:rsidP="00BF7EFA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14:paraId="63A09918" w14:textId="77777777" w:rsidR="00CF4AFF" w:rsidRPr="00C6689F" w:rsidRDefault="008B374C" w:rsidP="00BF7EFA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C6689F">
        <w:rPr>
          <w:rFonts w:ascii="Tahoma" w:hAnsi="Tahoma" w:cs="Tahoma"/>
          <w:b/>
          <w:bCs/>
          <w:iCs/>
          <w:sz w:val="20"/>
          <w:szCs w:val="20"/>
        </w:rPr>
        <w:t>Smluvní strany:</w:t>
      </w:r>
    </w:p>
    <w:p w14:paraId="72E825F5" w14:textId="77777777" w:rsidR="00387307" w:rsidRPr="00C6689F" w:rsidRDefault="00387307" w:rsidP="00BF7EFA">
      <w:pPr>
        <w:ind w:right="283"/>
        <w:jc w:val="both"/>
        <w:rPr>
          <w:rFonts w:ascii="Tahoma" w:hAnsi="Tahoma" w:cs="Tahoma"/>
          <w:bCs/>
          <w:sz w:val="20"/>
          <w:szCs w:val="20"/>
        </w:rPr>
      </w:pPr>
    </w:p>
    <w:p w14:paraId="1C9768CD" w14:textId="77777777" w:rsidR="00D649F1" w:rsidRDefault="00D649F1" w:rsidP="00D649F1">
      <w:pPr>
        <w:ind w:right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Nová Paka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779C493A" w14:textId="77777777" w:rsidR="00D649F1" w:rsidRDefault="00D649F1" w:rsidP="00D649F1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se sídlem: Dukelské náměstí 39, 509 01 Nová Paka</w:t>
      </w:r>
    </w:p>
    <w:p w14:paraId="41B21E39" w14:textId="77777777" w:rsidR="00D649F1" w:rsidRDefault="00D649F1" w:rsidP="00D649F1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IČ: 00271888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14:paraId="693E36C3" w14:textId="77777777" w:rsidR="00D649F1" w:rsidRDefault="00D649F1" w:rsidP="00D649F1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DIČ: CZ00271888 </w:t>
      </w:r>
    </w:p>
    <w:p w14:paraId="12C7D0AD" w14:textId="77777777" w:rsidR="00D649F1" w:rsidRDefault="00D649F1" w:rsidP="00D649F1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bankovní spojení: Česká spořitelna, a.s., č. účtu: 1160158389/0800</w:t>
      </w:r>
    </w:p>
    <w:p w14:paraId="169D3DAA" w14:textId="519CD801" w:rsidR="00D649F1" w:rsidRDefault="00D649F1" w:rsidP="00D649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zastoupené: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Pavlem Bouchnerem, starostou města </w:t>
      </w:r>
    </w:p>
    <w:p w14:paraId="18F6F3C3" w14:textId="77777777" w:rsidR="00D61596" w:rsidRPr="0013763C" w:rsidRDefault="00D61596" w:rsidP="00D61596">
      <w:pPr>
        <w:rPr>
          <w:rFonts w:ascii="Tahoma" w:hAnsi="Tahoma" w:cs="Tahoma"/>
          <w:sz w:val="20"/>
          <w:szCs w:val="20"/>
        </w:rPr>
      </w:pPr>
      <w:r w:rsidRPr="00160AA5">
        <w:rPr>
          <w:rFonts w:ascii="Tahoma" w:hAnsi="Tahoma" w:cs="Tahoma"/>
          <w:sz w:val="20"/>
          <w:szCs w:val="20"/>
        </w:rPr>
        <w:t>(dále jen “pronajímatel”</w:t>
      </w:r>
      <w:r w:rsidR="009C4CB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4F24154" w14:textId="77777777" w:rsidR="00CF4AFF" w:rsidRPr="000E233E" w:rsidRDefault="00CF4AFF" w:rsidP="008B374C">
      <w:pPr>
        <w:rPr>
          <w:rFonts w:ascii="Tahoma" w:hAnsi="Tahoma" w:cs="Tahoma"/>
          <w:sz w:val="20"/>
          <w:szCs w:val="20"/>
        </w:rPr>
      </w:pPr>
    </w:p>
    <w:p w14:paraId="6CC103E9" w14:textId="77777777" w:rsidR="0043334B" w:rsidRPr="000E233E" w:rsidRDefault="0043334B">
      <w:pPr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a</w:t>
      </w:r>
    </w:p>
    <w:p w14:paraId="43BFFE07" w14:textId="77777777" w:rsidR="0043334B" w:rsidRPr="000E233E" w:rsidRDefault="0043334B">
      <w:pPr>
        <w:rPr>
          <w:rFonts w:ascii="Tahoma" w:hAnsi="Tahoma" w:cs="Tahoma"/>
          <w:b/>
          <w:bCs/>
          <w:sz w:val="20"/>
        </w:rPr>
      </w:pPr>
    </w:p>
    <w:p w14:paraId="37811A1A" w14:textId="77777777" w:rsidR="00911B70" w:rsidRDefault="00911B70" w:rsidP="00911B70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Vantage Towers s.r.o.</w:t>
      </w:r>
    </w:p>
    <w:p w14:paraId="6ED31CD4" w14:textId="77777777" w:rsidR="00911B70" w:rsidRDefault="00911B70" w:rsidP="00911B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se sídlem: </w:t>
      </w:r>
      <w:r>
        <w:rPr>
          <w:rFonts w:ascii="Tahoma" w:hAnsi="Tahoma" w:cs="Tahoma"/>
          <w:bCs/>
          <w:color w:val="000000"/>
          <w:sz w:val="20"/>
          <w:szCs w:val="20"/>
        </w:rPr>
        <w:t>Závišova 502/5, Nusle, 140 00 Praha 4</w:t>
      </w:r>
    </w:p>
    <w:p w14:paraId="3405D280" w14:textId="77777777" w:rsidR="00911B70" w:rsidRDefault="00911B70" w:rsidP="00911B7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09056009</w:t>
      </w:r>
    </w:p>
    <w:p w14:paraId="5E69381D" w14:textId="77777777" w:rsidR="00911B70" w:rsidRDefault="00911B70" w:rsidP="00911B7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 CZ09056009</w:t>
      </w:r>
    </w:p>
    <w:p w14:paraId="059A928C" w14:textId="77777777" w:rsidR="00911B70" w:rsidRDefault="00911B70" w:rsidP="00911B7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společnost zapsaná v </w:t>
      </w:r>
      <w:r>
        <w:rPr>
          <w:rFonts w:ascii="Tahoma" w:hAnsi="Tahoma" w:cs="Tahoma"/>
          <w:sz w:val="20"/>
          <w:szCs w:val="20"/>
        </w:rPr>
        <w:t xml:space="preserve">obchodním rejstříku </w:t>
      </w:r>
      <w:r>
        <w:rPr>
          <w:rFonts w:ascii="Tahoma" w:hAnsi="Tahoma" w:cs="Tahoma"/>
          <w:sz w:val="20"/>
        </w:rPr>
        <w:t>vedeném Městským soudem v Praze, oddíl C, vložka 330005</w:t>
      </w:r>
    </w:p>
    <w:p w14:paraId="15F4A874" w14:textId="77777777" w:rsidR="00911B70" w:rsidRDefault="00911B70" w:rsidP="00911B7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 Citibank, č. účtu: 2552920103/2600</w:t>
      </w:r>
    </w:p>
    <w:p w14:paraId="65EF2854" w14:textId="0D4A4256" w:rsidR="00911B70" w:rsidRDefault="00911B70" w:rsidP="00911B7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zastoupená: </w:t>
      </w:r>
      <w:r w:rsidR="00A53BDD" w:rsidRPr="00A53BDD">
        <w:rPr>
          <w:rFonts w:ascii="Tahoma" w:hAnsi="Tahoma" w:cs="Tahoma"/>
          <w:sz w:val="20"/>
        </w:rPr>
        <w:t>JUDr. Bohumírem Krejčíkem</w:t>
      </w:r>
      <w:r w:rsidRPr="00A53BDD">
        <w:rPr>
          <w:rFonts w:ascii="Tahoma" w:hAnsi="Tahoma" w:cs="Tahoma"/>
          <w:sz w:val="20"/>
        </w:rPr>
        <w:t>, na základě pověření</w:t>
      </w:r>
      <w:r>
        <w:rPr>
          <w:rFonts w:ascii="Tahoma" w:hAnsi="Tahoma" w:cs="Tahoma"/>
          <w:sz w:val="20"/>
        </w:rPr>
        <w:t xml:space="preserve"> </w:t>
      </w:r>
    </w:p>
    <w:p w14:paraId="2FA79A4B" w14:textId="77777777" w:rsidR="0060544F" w:rsidRDefault="0060544F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(dále jen “nájemce”)</w:t>
      </w:r>
    </w:p>
    <w:p w14:paraId="543C11F4" w14:textId="77777777" w:rsidR="00F75BAF" w:rsidRDefault="00F75BAF">
      <w:pPr>
        <w:jc w:val="both"/>
        <w:rPr>
          <w:rFonts w:ascii="Tahoma" w:hAnsi="Tahoma" w:cs="Tahoma"/>
          <w:sz w:val="20"/>
        </w:rPr>
      </w:pPr>
    </w:p>
    <w:p w14:paraId="64A330B2" w14:textId="7F4D09C4" w:rsidR="00814211" w:rsidRPr="000E233E" w:rsidRDefault="00814211" w:rsidP="00801900">
      <w:pPr>
        <w:jc w:val="both"/>
        <w:rPr>
          <w:rFonts w:ascii="Tahoma" w:hAnsi="Tahoma" w:cs="Tahoma"/>
          <w:sz w:val="20"/>
        </w:rPr>
      </w:pPr>
    </w:p>
    <w:p w14:paraId="63900ABB" w14:textId="77777777" w:rsidR="002F6E2F" w:rsidRPr="00F75BAF" w:rsidRDefault="008B374C" w:rsidP="00F75BAF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Obě smluvní strany se dohodly na následujících změnách smlouvy:</w:t>
      </w:r>
    </w:p>
    <w:p w14:paraId="27F8A19E" w14:textId="77777777" w:rsidR="00F75BAF" w:rsidRPr="000E233E" w:rsidRDefault="00F75BAF" w:rsidP="00F75BAF">
      <w:pPr>
        <w:rPr>
          <w:rFonts w:ascii="Tahoma" w:hAnsi="Tahoma" w:cs="Tahoma"/>
          <w:b/>
          <w:sz w:val="20"/>
        </w:rPr>
      </w:pPr>
    </w:p>
    <w:p w14:paraId="085D03A4" w14:textId="77777777" w:rsidR="00160AA5" w:rsidRDefault="00814211" w:rsidP="00F75BAF">
      <w:pPr>
        <w:jc w:val="center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b/>
          <w:sz w:val="20"/>
        </w:rPr>
        <w:t>I</w:t>
      </w:r>
      <w:r w:rsidR="003A4283">
        <w:rPr>
          <w:rFonts w:ascii="Tahoma" w:hAnsi="Tahoma" w:cs="Tahoma"/>
          <w:b/>
          <w:sz w:val="20"/>
        </w:rPr>
        <w:t>.</w:t>
      </w:r>
      <w:r w:rsidR="00EA094F" w:rsidRPr="000E233E">
        <w:rPr>
          <w:rFonts w:ascii="Tahoma" w:hAnsi="Tahoma" w:cs="Tahoma"/>
          <w:sz w:val="20"/>
        </w:rPr>
        <w:t xml:space="preserve">  </w:t>
      </w:r>
    </w:p>
    <w:p w14:paraId="783E40AE" w14:textId="77777777" w:rsidR="00B940A1" w:rsidRDefault="00B940A1" w:rsidP="00F427C6">
      <w:pPr>
        <w:jc w:val="both"/>
        <w:rPr>
          <w:rFonts w:ascii="Tahoma" w:hAnsi="Tahoma" w:cs="Tahoma"/>
          <w:b/>
          <w:sz w:val="20"/>
        </w:rPr>
      </w:pPr>
    </w:p>
    <w:p w14:paraId="07443FB6" w14:textId="663803CA" w:rsidR="004A0EB3" w:rsidRDefault="00B940A1" w:rsidP="00F427C6">
      <w:pPr>
        <w:jc w:val="both"/>
        <w:rPr>
          <w:rFonts w:ascii="Tahoma" w:hAnsi="Tahoma" w:cs="Tahoma"/>
          <w:b/>
          <w:sz w:val="20"/>
        </w:rPr>
      </w:pPr>
      <w:r w:rsidRPr="00E33468">
        <w:rPr>
          <w:rFonts w:ascii="Tahoma" w:hAnsi="Tahoma" w:cs="Tahoma"/>
          <w:b/>
          <w:sz w:val="20"/>
        </w:rPr>
        <w:t>Pronajímatel a nájemce se dohodli na</w:t>
      </w:r>
      <w:r w:rsidR="00E33468" w:rsidRPr="00E33468">
        <w:rPr>
          <w:rFonts w:ascii="Tahoma" w:hAnsi="Tahoma" w:cs="Tahoma"/>
          <w:b/>
          <w:sz w:val="20"/>
        </w:rPr>
        <w:t xml:space="preserve"> změně čl. </w:t>
      </w:r>
      <w:r w:rsidR="00A1336F">
        <w:rPr>
          <w:rFonts w:ascii="Tahoma" w:hAnsi="Tahoma" w:cs="Tahoma"/>
          <w:b/>
          <w:sz w:val="20"/>
        </w:rPr>
        <w:t>4</w:t>
      </w:r>
      <w:r w:rsidR="00E33468" w:rsidRPr="00E33468">
        <w:rPr>
          <w:rFonts w:ascii="Tahoma" w:hAnsi="Tahoma" w:cs="Tahoma"/>
          <w:b/>
          <w:sz w:val="20"/>
        </w:rPr>
        <w:t xml:space="preserve"> odst. </w:t>
      </w:r>
      <w:r w:rsidR="00A1336F">
        <w:rPr>
          <w:rFonts w:ascii="Tahoma" w:hAnsi="Tahoma" w:cs="Tahoma"/>
          <w:b/>
          <w:sz w:val="20"/>
        </w:rPr>
        <w:t>4.2</w:t>
      </w:r>
      <w:r w:rsidR="00E33468" w:rsidRPr="00E33468">
        <w:rPr>
          <w:rFonts w:ascii="Tahoma" w:hAnsi="Tahoma" w:cs="Tahoma"/>
          <w:b/>
          <w:sz w:val="20"/>
        </w:rPr>
        <w:t xml:space="preserve"> smlouvy, a to tak, že dosavadní znění daného ujednání se ruší a nahrazuje následujícím znění</w:t>
      </w:r>
      <w:r>
        <w:rPr>
          <w:rFonts w:ascii="Tahoma" w:hAnsi="Tahoma" w:cs="Tahoma"/>
          <w:b/>
          <w:sz w:val="20"/>
        </w:rPr>
        <w:t>m:</w:t>
      </w:r>
    </w:p>
    <w:p w14:paraId="35562D1B" w14:textId="77777777" w:rsidR="00A1336F" w:rsidRDefault="00A1336F" w:rsidP="00A1336F">
      <w:pPr>
        <w:jc w:val="both"/>
        <w:rPr>
          <w:rFonts w:ascii="Tahoma" w:hAnsi="Tahoma" w:cs="Tahoma"/>
          <w:sz w:val="20"/>
        </w:rPr>
      </w:pPr>
    </w:p>
    <w:p w14:paraId="618E9C30" w14:textId="58D1E624" w:rsidR="00A1336F" w:rsidRDefault="00A53BDD" w:rsidP="00A1336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4.2 </w:t>
      </w:r>
      <w:r w:rsidR="00A1336F">
        <w:rPr>
          <w:rFonts w:ascii="Tahoma" w:hAnsi="Tahoma" w:cs="Tahoma"/>
          <w:sz w:val="20"/>
        </w:rPr>
        <w:t>Nájemce je povinen platit nájemné dle této smlouvy ode dne plné účinnosti této smlouvy, tedy ode dne podpisu protokolu o převzetí PŘEDMĚTU NÁJMU dle čl. 2 odst. 2.3 a čl. 8 odst. 8.2.</w:t>
      </w:r>
    </w:p>
    <w:p w14:paraId="34000F9E" w14:textId="77777777" w:rsidR="00A1336F" w:rsidRDefault="00A1336F" w:rsidP="00A1336F">
      <w:pPr>
        <w:jc w:val="both"/>
        <w:rPr>
          <w:rFonts w:ascii="Tahoma" w:hAnsi="Tahoma" w:cs="Tahoma"/>
          <w:sz w:val="20"/>
        </w:rPr>
      </w:pPr>
    </w:p>
    <w:p w14:paraId="27C73064" w14:textId="79DD56FE" w:rsidR="00A1336F" w:rsidRDefault="00A1336F" w:rsidP="00A1336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Nájemné dle odst. 4.1 tohoto článku je s připočtením daně z přidané hodnoty splatné jednou ročně, na základě daňového dokladu – faktury vystaveného pronajímatelem a doručeného nájemci na adresu sídla nájemce. Pronajímatel se zavazuje vystavit daňový doklad v souladu s příslušnými ustanoveními zákona č. 235/2004 Sb. o dani z přidané hodnoty (dále jen „zákon o DPH“) a doručit jej nájemci ve lhůtě nejpozději do 15 dnů ode dne uskutečnění zdanitelného plnění. Za datum zdanitelného plnění je považován 1.</w:t>
      </w:r>
      <w:r w:rsidR="00AF70E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květen příslušného kalendářního roku, za nějž je nájemné placeno. Nájemce uhradí řádné nájemné spolu s odpovídající daní z přidané hodnoty do 30 dní po obdržení daňového dokladu. Nájemné se má za uhrazené okamžikem připsání příslušné částky z účtu nájemce na účet pronajímatele uvedený na faktuře.</w:t>
      </w:r>
    </w:p>
    <w:p w14:paraId="2CFFD15E" w14:textId="77777777" w:rsidR="00A1336F" w:rsidRDefault="00A1336F" w:rsidP="00A1336F">
      <w:pPr>
        <w:jc w:val="both"/>
        <w:rPr>
          <w:rFonts w:ascii="Tahoma" w:hAnsi="Tahoma" w:cs="Tahoma"/>
          <w:sz w:val="20"/>
        </w:rPr>
      </w:pPr>
    </w:p>
    <w:p w14:paraId="76F1AC23" w14:textId="77777777" w:rsidR="00A1336F" w:rsidRDefault="00A1336F" w:rsidP="00A1336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Pronajímatel tímto výslovně prohlašuje, že nejsou a nemohou být splněny zákonné předpoklady dle ustanovení § 109 zákona o DPH pro to, aby se nájemce stal ručitelem za nezaplacenou daň. Pronajímatel je povinen plnit řádně a včas veškeré daňové povinnosti vzniklé souvislosti s touto smlouvou.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Pronajímatel je povinen oznámit nájemci bez zbytečného odkladu skutečnost, že není schopen plnit své závazky ohledně odvodu daně z přidané hodnoty a rovněž i ohrožení schopnosti řádně plnit závazky ohledně odvodu daně z přidané hodnoty. </w:t>
      </w:r>
    </w:p>
    <w:p w14:paraId="47F78F9B" w14:textId="77777777" w:rsidR="00A1336F" w:rsidRDefault="00A1336F" w:rsidP="00A1336F">
      <w:pPr>
        <w:jc w:val="both"/>
        <w:rPr>
          <w:rFonts w:ascii="Tahoma" w:hAnsi="Tahoma" w:cs="Tahoma"/>
          <w:sz w:val="20"/>
        </w:rPr>
      </w:pPr>
    </w:p>
    <w:p w14:paraId="080CD4D8" w14:textId="5DBFF3CF" w:rsidR="00A1336F" w:rsidRPr="00A1336F" w:rsidRDefault="00A1336F" w:rsidP="00A1336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V</w:t>
      </w:r>
      <w:r w:rsidR="00AF70E3">
        <w:rPr>
          <w:rFonts w:ascii="Tahoma" w:hAnsi="Tahoma" w:cs="Tahoma"/>
          <w:sz w:val="20"/>
          <w:szCs w:val="20"/>
        </w:rPr>
        <w:t> roce nabytí plné účinnosti smlouvy</w:t>
      </w:r>
      <w:r>
        <w:rPr>
          <w:rFonts w:ascii="Tahoma" w:hAnsi="Tahoma" w:cs="Tahoma"/>
          <w:sz w:val="20"/>
          <w:szCs w:val="20"/>
        </w:rPr>
        <w:t xml:space="preserve"> je za datum zdanitelného plnění pro první kalendářní rok účinnosti této smlouvy považován 1. </w:t>
      </w:r>
      <w:r w:rsidR="00AF70E3">
        <w:rPr>
          <w:rFonts w:ascii="Tahoma" w:hAnsi="Tahoma" w:cs="Tahoma"/>
          <w:sz w:val="20"/>
          <w:szCs w:val="20"/>
        </w:rPr>
        <w:t>listopad</w:t>
      </w:r>
      <w:r>
        <w:rPr>
          <w:rFonts w:ascii="Tahoma" w:hAnsi="Tahoma" w:cs="Tahoma"/>
          <w:sz w:val="20"/>
          <w:szCs w:val="20"/>
        </w:rPr>
        <w:t xml:space="preserve">. Pronajímatel se zavazuje vystavit a doručit nájemci daňový doklad na první nájemné (tedy nájemné ode dne </w:t>
      </w:r>
      <w:r w:rsidR="00AF70E3">
        <w:rPr>
          <w:rFonts w:ascii="Tahoma" w:hAnsi="Tahoma" w:cs="Tahoma"/>
          <w:sz w:val="20"/>
          <w:szCs w:val="20"/>
        </w:rPr>
        <w:t xml:space="preserve">plné </w:t>
      </w:r>
      <w:r>
        <w:rPr>
          <w:rFonts w:ascii="Tahoma" w:hAnsi="Tahoma" w:cs="Tahoma"/>
          <w:sz w:val="20"/>
          <w:szCs w:val="20"/>
        </w:rPr>
        <w:t xml:space="preserve">účinnosti této smlouvy do konce prvního kalendářního </w:t>
      </w:r>
      <w:r>
        <w:rPr>
          <w:rFonts w:ascii="Tahoma" w:hAnsi="Tahoma" w:cs="Tahoma"/>
          <w:sz w:val="20"/>
          <w:szCs w:val="20"/>
        </w:rPr>
        <w:lastRenderedPageBreak/>
        <w:t xml:space="preserve">roku účinnosti této smlouvy) ve lhůtě 15 dnů od dne zdanitelného plnění. Nájemce uhradí první nájemné spolu s odpovídající daní z přidané hodnoty do 30 dní po obdržení daňového dokladu. Za datum zdanitelného plnění je považován den nabytí </w:t>
      </w:r>
      <w:r w:rsidR="00AF70E3">
        <w:rPr>
          <w:rFonts w:ascii="Tahoma" w:hAnsi="Tahoma" w:cs="Tahoma"/>
          <w:sz w:val="20"/>
          <w:szCs w:val="20"/>
        </w:rPr>
        <w:t xml:space="preserve">plné </w:t>
      </w:r>
      <w:r>
        <w:rPr>
          <w:rFonts w:ascii="Tahoma" w:hAnsi="Tahoma" w:cs="Tahoma"/>
          <w:sz w:val="20"/>
          <w:szCs w:val="20"/>
        </w:rPr>
        <w:t>účinnosti této smlouvy. Nájemné se má za uhrazené okamžikem připsání příslušné částky z účtu nájemce na účet pronajímatele uvedený na faktuře.</w:t>
      </w:r>
    </w:p>
    <w:p w14:paraId="7FDF299C" w14:textId="77777777" w:rsidR="004A0EB3" w:rsidRPr="00801900" w:rsidRDefault="004A0EB3" w:rsidP="000E1C1C">
      <w:pPr>
        <w:jc w:val="both"/>
        <w:rPr>
          <w:rFonts w:ascii="Tahoma" w:hAnsi="Tahoma" w:cs="Tahoma"/>
          <w:sz w:val="20"/>
        </w:rPr>
      </w:pPr>
    </w:p>
    <w:p w14:paraId="2F4C4EDE" w14:textId="77777777" w:rsidR="00717ADB" w:rsidRPr="000E233E" w:rsidRDefault="00717ADB" w:rsidP="00814211">
      <w:pPr>
        <w:jc w:val="center"/>
        <w:rPr>
          <w:rFonts w:ascii="Tahoma" w:hAnsi="Tahoma" w:cs="Tahoma"/>
          <w:b/>
          <w:sz w:val="20"/>
        </w:rPr>
      </w:pPr>
    </w:p>
    <w:p w14:paraId="1D7A649B" w14:textId="77777777" w:rsidR="00814211" w:rsidRPr="000E233E" w:rsidRDefault="00814211" w:rsidP="00814211">
      <w:pPr>
        <w:jc w:val="center"/>
        <w:rPr>
          <w:rFonts w:ascii="Tahoma" w:hAnsi="Tahoma" w:cs="Tahoma"/>
          <w:b/>
          <w:sz w:val="20"/>
        </w:rPr>
      </w:pPr>
      <w:r w:rsidRPr="000E233E">
        <w:rPr>
          <w:rFonts w:ascii="Tahoma" w:hAnsi="Tahoma" w:cs="Tahoma"/>
          <w:b/>
          <w:sz w:val="20"/>
        </w:rPr>
        <w:t>II.</w:t>
      </w:r>
    </w:p>
    <w:p w14:paraId="7B724C7F" w14:textId="77777777" w:rsidR="00801900" w:rsidRDefault="00627D58" w:rsidP="00627D5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7F1C3977" w14:textId="0DF65C70" w:rsidR="000E1C1C" w:rsidRPr="00A1336F" w:rsidRDefault="0047308C" w:rsidP="00A1336F">
      <w:pPr>
        <w:jc w:val="both"/>
        <w:rPr>
          <w:rFonts w:ascii="Tahoma" w:hAnsi="Tahoma" w:cs="Tahoma"/>
          <w:sz w:val="20"/>
          <w:szCs w:val="20"/>
          <w:highlight w:val="darkGray"/>
        </w:rPr>
      </w:pPr>
      <w:r>
        <w:rPr>
          <w:rFonts w:ascii="Tahoma" w:hAnsi="Tahoma" w:cs="Tahoma"/>
          <w:sz w:val="20"/>
        </w:rPr>
        <w:t xml:space="preserve">Ostatní ujednání </w:t>
      </w:r>
      <w:r w:rsidR="00801900">
        <w:rPr>
          <w:rFonts w:ascii="Tahoma" w:hAnsi="Tahoma" w:cs="Tahoma"/>
          <w:sz w:val="20"/>
        </w:rPr>
        <w:t>smlouvy zůstávají nezměněna.</w:t>
      </w:r>
      <w:r w:rsidR="00801900">
        <w:rPr>
          <w:rFonts w:ascii="Tahoma" w:hAnsi="Tahoma" w:cs="Tahoma"/>
          <w:sz w:val="20"/>
        </w:rPr>
        <w:cr/>
        <w:t xml:space="preserve"> </w:t>
      </w:r>
      <w:r w:rsidR="00801900">
        <w:rPr>
          <w:rFonts w:ascii="Tahoma" w:hAnsi="Tahoma" w:cs="Tahoma"/>
          <w:sz w:val="20"/>
        </w:rPr>
        <w:cr/>
      </w:r>
      <w:r w:rsidR="000E1C1C" w:rsidRPr="007770C5">
        <w:rPr>
          <w:rFonts w:ascii="Tahoma" w:hAnsi="Tahoma" w:cs="Tahoma"/>
          <w:sz w:val="20"/>
        </w:rPr>
        <w:t>Tento dodatek je vyhotoven ve dvou vyhotoveních, přičemž každá ze smluvních stran obdrží po jednom vyhotovení.</w:t>
      </w:r>
      <w:r w:rsidR="000E1C1C">
        <w:rPr>
          <w:rFonts w:ascii="Tahoma" w:hAnsi="Tahoma" w:cs="Tahoma"/>
          <w:sz w:val="20"/>
        </w:rPr>
        <w:cr/>
      </w:r>
      <w:r w:rsidR="000E1C1C" w:rsidRPr="000E1C1C">
        <w:rPr>
          <w:rFonts w:ascii="Tahoma" w:hAnsi="Tahoma" w:cs="Tahoma"/>
          <w:sz w:val="20"/>
          <w:szCs w:val="20"/>
          <w:highlight w:val="darkGray"/>
        </w:rPr>
        <w:t xml:space="preserve"> </w:t>
      </w:r>
    </w:p>
    <w:p w14:paraId="78D57A52" w14:textId="77777777" w:rsidR="000E1C1C" w:rsidRPr="000E5529" w:rsidRDefault="000E1C1C" w:rsidP="000E5529">
      <w:pPr>
        <w:spacing w:before="120"/>
        <w:jc w:val="both"/>
        <w:rPr>
          <w:rFonts w:ascii="Tahoma" w:hAnsi="Tahoma"/>
          <w:b/>
          <w:snapToGrid w:val="0"/>
          <w:sz w:val="20"/>
          <w:szCs w:val="20"/>
        </w:rPr>
      </w:pPr>
      <w:r w:rsidRPr="000E5529">
        <w:rPr>
          <w:rFonts w:ascii="Tahoma" w:hAnsi="Tahoma"/>
          <w:b/>
          <w:snapToGrid w:val="0"/>
          <w:sz w:val="20"/>
          <w:szCs w:val="20"/>
        </w:rPr>
        <w:t>Doložka dle §41 zákona č.128/2000 Sb. - Zákona o obcích:</w:t>
      </w:r>
    </w:p>
    <w:p w14:paraId="3360429C" w14:textId="77777777" w:rsidR="000E1C1C" w:rsidRPr="000E5529" w:rsidRDefault="000E1C1C" w:rsidP="000E1C1C">
      <w:pPr>
        <w:jc w:val="both"/>
        <w:rPr>
          <w:sz w:val="22"/>
          <w:szCs w:val="22"/>
        </w:rPr>
      </w:pPr>
    </w:p>
    <w:p w14:paraId="0EE82C0C" w14:textId="1374D1D4" w:rsidR="000E1C1C" w:rsidRPr="008A71EA" w:rsidRDefault="000E1C1C" w:rsidP="000E1C1C">
      <w:pPr>
        <w:jc w:val="both"/>
        <w:rPr>
          <w:rFonts w:ascii="Tahoma" w:hAnsi="Tahoma" w:cs="Tahoma"/>
          <w:sz w:val="20"/>
          <w:szCs w:val="20"/>
        </w:rPr>
      </w:pPr>
      <w:r w:rsidRPr="000E5529">
        <w:rPr>
          <w:rFonts w:ascii="Tahoma" w:hAnsi="Tahoma" w:cs="Tahoma"/>
          <w:sz w:val="20"/>
          <w:szCs w:val="20"/>
        </w:rPr>
        <w:t xml:space="preserve">Tento dodatek byl projednán a schválen Radou </w:t>
      </w:r>
      <w:r w:rsidR="00A1336F">
        <w:rPr>
          <w:rFonts w:ascii="Tahoma" w:hAnsi="Tahoma" w:cs="Tahoma"/>
          <w:sz w:val="20"/>
          <w:szCs w:val="20"/>
        </w:rPr>
        <w:t>města Nová Paka</w:t>
      </w:r>
      <w:r w:rsidRPr="000E5529">
        <w:rPr>
          <w:rFonts w:ascii="Tahoma" w:hAnsi="Tahoma" w:cs="Tahoma"/>
          <w:sz w:val="20"/>
          <w:szCs w:val="20"/>
        </w:rPr>
        <w:t xml:space="preserve"> usnesením č. </w:t>
      </w:r>
      <w:r w:rsidR="00D0033C">
        <w:rPr>
          <w:rFonts w:ascii="Tahoma" w:hAnsi="Tahoma" w:cs="Tahoma"/>
          <w:sz w:val="20"/>
          <w:szCs w:val="20"/>
        </w:rPr>
        <w:t xml:space="preserve">4/30/23/RM </w:t>
      </w:r>
      <w:r w:rsidRPr="000E5529">
        <w:rPr>
          <w:rFonts w:ascii="Tahoma" w:hAnsi="Tahoma" w:cs="Tahoma"/>
          <w:sz w:val="20"/>
          <w:szCs w:val="20"/>
        </w:rPr>
        <w:t xml:space="preserve">ze dne </w:t>
      </w:r>
      <w:r w:rsidR="00D0033C">
        <w:rPr>
          <w:rFonts w:ascii="Tahoma" w:hAnsi="Tahoma" w:cs="Tahoma"/>
          <w:sz w:val="20"/>
          <w:szCs w:val="20"/>
        </w:rPr>
        <w:t>16.10.2023.</w:t>
      </w:r>
    </w:p>
    <w:p w14:paraId="7BEE85DF" w14:textId="77777777" w:rsidR="00843D38" w:rsidRDefault="00843D38" w:rsidP="00F75BAF">
      <w:pPr>
        <w:jc w:val="both"/>
        <w:rPr>
          <w:rFonts w:ascii="Tahoma" w:hAnsi="Tahoma" w:cs="Tahoma"/>
          <w:sz w:val="20"/>
        </w:rPr>
      </w:pPr>
    </w:p>
    <w:p w14:paraId="65E8D1F3" w14:textId="77777777" w:rsidR="000E1C1C" w:rsidRPr="00A1336F" w:rsidRDefault="000E1C1C" w:rsidP="000E1C1C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A1336F">
        <w:rPr>
          <w:rFonts w:ascii="Tahoma" w:hAnsi="Tahoma" w:cs="Tahoma"/>
          <w:sz w:val="20"/>
          <w:szCs w:val="20"/>
        </w:rPr>
        <w:t>Tento dodatek podléhá uveřejnění prostřednictvím registru smluv dle § 8 odst. 3 zákona č. 340/2015 Sb. o zvláštních podmínkách účinnosti některých smluv, uveřejňování těchto smluv a o registru smluv (zákon o registru smluv) a pronajímatel a nájemce se proto dohodli, že uveřejnění tohoto dodatku jakož i předmětné smlouvy (dle § 8 odst. 3 zákona o registru smluv) prostřednictvím registru smluv je povinen zajistit pronajímatel ve lhůtě nejdéle 30 dnů od data platnosti tohoto dodatku.</w:t>
      </w:r>
    </w:p>
    <w:p w14:paraId="2FCB3DDB" w14:textId="1591F61C" w:rsidR="0096518C" w:rsidRDefault="0096518C" w:rsidP="0096518C">
      <w:pPr>
        <w:spacing w:before="60"/>
        <w:jc w:val="both"/>
        <w:rPr>
          <w:rFonts w:ascii="Tahoma" w:hAnsi="Tahoma" w:cs="Tahoma"/>
          <w:sz w:val="20"/>
        </w:rPr>
      </w:pPr>
      <w:r w:rsidRPr="00A1336F">
        <w:rPr>
          <w:rFonts w:ascii="Tahoma" w:hAnsi="Tahoma" w:cs="Tahoma"/>
          <w:sz w:val="20"/>
          <w:szCs w:val="20"/>
        </w:rPr>
        <w:t xml:space="preserve">Tento dodatek nabývá platnosti dnem jeho podpisu oběma smluvními stranami a účinnosti dnem </w:t>
      </w:r>
      <w:r w:rsidRPr="00A1336F">
        <w:rPr>
          <w:rFonts w:ascii="Tahoma" w:hAnsi="Tahoma" w:cs="Tahoma"/>
          <w:snapToGrid w:val="0"/>
          <w:sz w:val="20"/>
          <w:szCs w:val="20"/>
        </w:rPr>
        <w:t xml:space="preserve">uveřejnění </w:t>
      </w:r>
      <w:r w:rsidRPr="00A1336F">
        <w:rPr>
          <w:rFonts w:ascii="Tahoma" w:hAnsi="Tahoma" w:cs="Tahoma"/>
          <w:sz w:val="20"/>
          <w:szCs w:val="20"/>
        </w:rPr>
        <w:t>prostřednictvím registru smluv dle zákona o registru smluv, které zajistí pronajímatel</w:t>
      </w:r>
      <w:r w:rsidR="00A1336F" w:rsidRPr="00A1336F">
        <w:rPr>
          <w:rFonts w:ascii="Tahoma" w:hAnsi="Tahoma" w:cs="Tahoma"/>
          <w:sz w:val="20"/>
          <w:szCs w:val="20"/>
        </w:rPr>
        <w:t>.</w:t>
      </w:r>
    </w:p>
    <w:p w14:paraId="2310D30D" w14:textId="77777777" w:rsidR="00FE6A33" w:rsidRDefault="00FE6A33" w:rsidP="00F35729">
      <w:pPr>
        <w:spacing w:before="60"/>
        <w:jc w:val="both"/>
        <w:rPr>
          <w:rFonts w:ascii="Tahoma" w:hAnsi="Tahoma" w:cs="Tahoma"/>
          <w:sz w:val="20"/>
        </w:rPr>
      </w:pPr>
    </w:p>
    <w:p w14:paraId="00012CEF" w14:textId="403DE94A" w:rsidR="00911B70" w:rsidRDefault="00911B70" w:rsidP="00911B70">
      <w:pPr>
        <w:spacing w:before="60"/>
        <w:jc w:val="both"/>
        <w:rPr>
          <w:rFonts w:ascii="Tahoma" w:hAnsi="Tahoma" w:cs="Tahoma"/>
          <w:sz w:val="20"/>
        </w:rPr>
      </w:pPr>
      <w:r w:rsidRPr="00717657">
        <w:rPr>
          <w:rFonts w:ascii="Tahoma" w:hAnsi="Tahoma" w:cs="Tahoma"/>
          <w:sz w:val="20"/>
        </w:rPr>
        <w:t xml:space="preserve">Přílohy: </w:t>
      </w:r>
      <w:r>
        <w:rPr>
          <w:rFonts w:ascii="Tahoma" w:hAnsi="Tahoma" w:cs="Tahoma"/>
          <w:sz w:val="20"/>
        </w:rPr>
        <w:t xml:space="preserve">- pověření pro </w:t>
      </w:r>
      <w:r w:rsidR="00A53BDD">
        <w:rPr>
          <w:rFonts w:ascii="Tahoma" w:hAnsi="Tahoma" w:cs="Tahoma"/>
          <w:sz w:val="20"/>
        </w:rPr>
        <w:t>JUDr. Bohumíra Krejčíka</w:t>
      </w:r>
    </w:p>
    <w:p w14:paraId="48256DF1" w14:textId="77777777" w:rsidR="00911B70" w:rsidRPr="00363B3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p w14:paraId="5EF79B54" w14:textId="77777777" w:rsidR="00911B70" w:rsidRPr="00363B3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911B70" w:rsidRPr="00363B30" w14:paraId="0BEA35BA" w14:textId="77777777" w:rsidTr="00BA6BDC">
        <w:trPr>
          <w:trHeight w:val="397"/>
          <w:jc w:val="center"/>
        </w:trPr>
        <w:tc>
          <w:tcPr>
            <w:tcW w:w="4820" w:type="dxa"/>
            <w:vAlign w:val="center"/>
          </w:tcPr>
          <w:p w14:paraId="5C0ED8FB" w14:textId="77777777" w:rsidR="00911B70" w:rsidRPr="00363B30" w:rsidRDefault="00911B70" w:rsidP="00BA6BD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>
              <w:rPr>
                <w:rFonts w:ascii="Tahoma" w:hAnsi="Tahoma" w:cs="Tahoma"/>
                <w:bCs/>
                <w:sz w:val="20"/>
              </w:rPr>
              <w:t>______</w:t>
            </w:r>
            <w:r w:rsidRPr="00363B30">
              <w:rPr>
                <w:rFonts w:ascii="Tahoma" w:hAnsi="Tahoma" w:cs="Tahoma"/>
                <w:b/>
                <w:sz w:val="20"/>
              </w:rPr>
              <w:t xml:space="preserve"> </w:t>
            </w:r>
            <w:r w:rsidRPr="00363B30">
              <w:rPr>
                <w:rFonts w:ascii="Tahoma" w:hAnsi="Tahoma" w:cs="Tahoma"/>
                <w:bCs/>
                <w:sz w:val="20"/>
              </w:rPr>
              <w:t xml:space="preserve">dne </w:t>
            </w:r>
            <w:r>
              <w:rPr>
                <w:rFonts w:ascii="Tahoma" w:hAnsi="Tahoma" w:cs="Tahoma"/>
                <w:bCs/>
                <w:sz w:val="20"/>
              </w:rPr>
              <w:t>_________________</w:t>
            </w:r>
          </w:p>
        </w:tc>
        <w:tc>
          <w:tcPr>
            <w:tcW w:w="425" w:type="dxa"/>
            <w:vMerge w:val="restart"/>
          </w:tcPr>
          <w:p w14:paraId="40A6EB80" w14:textId="77777777" w:rsidR="00911B70" w:rsidRPr="00363B30" w:rsidRDefault="00911B70" w:rsidP="00BA6BDC">
            <w:pPr>
              <w:rPr>
                <w:szCs w:val="25"/>
              </w:rPr>
            </w:pPr>
          </w:p>
        </w:tc>
        <w:tc>
          <w:tcPr>
            <w:tcW w:w="4820" w:type="dxa"/>
            <w:vAlign w:val="center"/>
          </w:tcPr>
          <w:p w14:paraId="5EA570EE" w14:textId="188BA842" w:rsidR="00911B70" w:rsidRPr="00363B30" w:rsidRDefault="00A1336F" w:rsidP="00BA6B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A53BDD">
              <w:rPr>
                <w:rFonts w:ascii="Tahoma" w:hAnsi="Tahoma" w:cs="Tahoma"/>
                <w:bCs/>
                <w:sz w:val="20"/>
              </w:rPr>
              <w:t>Brně</w:t>
            </w:r>
            <w:r w:rsidRPr="00363B30">
              <w:rPr>
                <w:rFonts w:ascii="Tahoma" w:hAnsi="Tahoma" w:cs="Tahoma"/>
                <w:b/>
                <w:sz w:val="20"/>
              </w:rPr>
              <w:t xml:space="preserve"> </w:t>
            </w:r>
            <w:r w:rsidRPr="00363B30">
              <w:rPr>
                <w:rFonts w:ascii="Tahoma" w:hAnsi="Tahoma" w:cs="Tahoma"/>
                <w:bCs/>
                <w:sz w:val="20"/>
              </w:rPr>
              <w:t xml:space="preserve">dne </w:t>
            </w:r>
            <w:r>
              <w:rPr>
                <w:rFonts w:ascii="Tahoma" w:hAnsi="Tahoma" w:cs="Tahoma"/>
                <w:bCs/>
                <w:sz w:val="20"/>
              </w:rPr>
              <w:t>_________________</w:t>
            </w:r>
          </w:p>
        </w:tc>
      </w:tr>
      <w:tr w:rsidR="00911B70" w:rsidRPr="00363B30" w14:paraId="357C35BC" w14:textId="77777777" w:rsidTr="00BA6BDC">
        <w:trPr>
          <w:trHeight w:val="397"/>
          <w:jc w:val="center"/>
        </w:trPr>
        <w:tc>
          <w:tcPr>
            <w:tcW w:w="4820" w:type="dxa"/>
            <w:vAlign w:val="center"/>
          </w:tcPr>
          <w:p w14:paraId="331BDD30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015241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BD5CF6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A3F892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83E383" w14:textId="77777777" w:rsidR="00911B70" w:rsidRPr="00363B30" w:rsidRDefault="00911B70" w:rsidP="00BA6B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  <w:tc>
          <w:tcPr>
            <w:tcW w:w="425" w:type="dxa"/>
            <w:vMerge/>
          </w:tcPr>
          <w:p w14:paraId="4ABC0250" w14:textId="77777777" w:rsidR="00911B70" w:rsidRPr="00363B30" w:rsidRDefault="00911B70" w:rsidP="00BA6BDC">
            <w:pPr>
              <w:rPr>
                <w:szCs w:val="25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29B19C38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DC2CC10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51B52BC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441D6BC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CD79502" w14:textId="77777777" w:rsidR="00911B70" w:rsidRPr="00363B30" w:rsidRDefault="00911B70" w:rsidP="00BA6BD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</w:tr>
      <w:tr w:rsidR="00911B70" w:rsidRPr="00363B30" w14:paraId="6E4E2787" w14:textId="77777777" w:rsidTr="00BA6BDC">
        <w:trPr>
          <w:trHeight w:val="282"/>
          <w:jc w:val="center"/>
        </w:trPr>
        <w:tc>
          <w:tcPr>
            <w:tcW w:w="4820" w:type="dxa"/>
            <w:vAlign w:val="center"/>
          </w:tcPr>
          <w:p w14:paraId="3D7E38C2" w14:textId="77777777" w:rsidR="00911B70" w:rsidRDefault="00A1336F" w:rsidP="00BA6B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Město Nová Paka</w:t>
            </w:r>
          </w:p>
          <w:p w14:paraId="06DD6C40" w14:textId="77777777" w:rsidR="00A1336F" w:rsidRDefault="00A1336F" w:rsidP="00BA6B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Pavel Bouchner,</w:t>
            </w:r>
          </w:p>
          <w:p w14:paraId="31145940" w14:textId="682282AA" w:rsidR="00A1336F" w:rsidRPr="00363B30" w:rsidRDefault="00A1336F" w:rsidP="00BA6B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starosta města</w:t>
            </w:r>
          </w:p>
        </w:tc>
        <w:tc>
          <w:tcPr>
            <w:tcW w:w="425" w:type="dxa"/>
            <w:vMerge/>
          </w:tcPr>
          <w:p w14:paraId="74B0B920" w14:textId="77777777" w:rsidR="00911B70" w:rsidRPr="00363B30" w:rsidRDefault="00911B70" w:rsidP="00BA6BDC">
            <w:pPr>
              <w:rPr>
                <w:szCs w:val="25"/>
              </w:rPr>
            </w:pPr>
          </w:p>
        </w:tc>
        <w:tc>
          <w:tcPr>
            <w:tcW w:w="4820" w:type="dxa"/>
            <w:vAlign w:val="center"/>
          </w:tcPr>
          <w:p w14:paraId="39CE894D" w14:textId="77777777" w:rsidR="00A1336F" w:rsidRDefault="00A1336F" w:rsidP="00A133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Vantage Towers s.r.o.</w:t>
            </w:r>
          </w:p>
          <w:p w14:paraId="43761B79" w14:textId="6F59DB89" w:rsidR="00A1336F" w:rsidRDefault="00A53BDD" w:rsidP="00A133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3BDD">
              <w:rPr>
                <w:rFonts w:ascii="Tahoma" w:hAnsi="Tahoma" w:cs="Tahoma"/>
                <w:sz w:val="20"/>
                <w:szCs w:val="20"/>
              </w:rPr>
              <w:t>JUDr. Bohumír Krejčík</w:t>
            </w:r>
            <w:r w:rsidR="00A1336F" w:rsidRPr="00A53BDD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56C8BED7" w14:textId="2508DC42" w:rsidR="00911B70" w:rsidRPr="00363B30" w:rsidRDefault="00A1336F" w:rsidP="00A133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základě pověření</w:t>
            </w:r>
          </w:p>
        </w:tc>
      </w:tr>
    </w:tbl>
    <w:p w14:paraId="474F55B0" w14:textId="77777777" w:rsidR="00911B7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p w14:paraId="49970D4A" w14:textId="77777777" w:rsidR="00911B70" w:rsidRPr="00363B3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p w14:paraId="42E5AD3E" w14:textId="77777777" w:rsidR="00911B70" w:rsidRPr="00363B30" w:rsidRDefault="00911B70" w:rsidP="00911B70">
      <w:pPr>
        <w:jc w:val="both"/>
        <w:rPr>
          <w:rFonts w:ascii="Tahoma" w:hAnsi="Tahoma" w:cs="Tahoma"/>
          <w:sz w:val="20"/>
        </w:rPr>
      </w:pPr>
      <w:r w:rsidRPr="00363B30">
        <w:rPr>
          <w:rFonts w:ascii="Tahoma" w:hAnsi="Tahoma" w:cs="Tahoma"/>
          <w:sz w:val="20"/>
        </w:rPr>
        <w:t xml:space="preserve"> </w:t>
      </w:r>
    </w:p>
    <w:p w14:paraId="7A2B40FC" w14:textId="77777777" w:rsidR="00911B70" w:rsidRPr="00363B3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p w14:paraId="68690732" w14:textId="77777777" w:rsidR="00911B70" w:rsidRPr="00363B3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p w14:paraId="2045E88D" w14:textId="77777777" w:rsidR="00911B7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p w14:paraId="34F72577" w14:textId="77777777" w:rsidR="006F30C5" w:rsidRPr="00363B30" w:rsidRDefault="006F30C5" w:rsidP="00A61C19">
      <w:pPr>
        <w:spacing w:before="60"/>
        <w:jc w:val="both"/>
        <w:rPr>
          <w:rFonts w:ascii="Tahoma" w:hAnsi="Tahoma" w:cs="Tahoma"/>
          <w:sz w:val="20"/>
        </w:rPr>
      </w:pPr>
    </w:p>
    <w:p w14:paraId="08652192" w14:textId="77777777" w:rsidR="00332D77" w:rsidRPr="00363B30" w:rsidRDefault="00332D77" w:rsidP="00A61C19">
      <w:pPr>
        <w:spacing w:before="60"/>
        <w:jc w:val="both"/>
        <w:rPr>
          <w:rFonts w:ascii="Tahoma" w:hAnsi="Tahoma" w:cs="Tahoma"/>
          <w:sz w:val="20"/>
        </w:rPr>
      </w:pPr>
    </w:p>
    <w:p w14:paraId="2AC5A1A0" w14:textId="77777777" w:rsidR="006F30C5" w:rsidRPr="00363B30" w:rsidRDefault="006F30C5" w:rsidP="00A61C19">
      <w:pPr>
        <w:spacing w:before="60"/>
        <w:jc w:val="both"/>
        <w:rPr>
          <w:rFonts w:ascii="Tahoma" w:hAnsi="Tahoma" w:cs="Tahoma"/>
          <w:sz w:val="20"/>
        </w:rPr>
      </w:pPr>
    </w:p>
    <w:p w14:paraId="7AD64AD1" w14:textId="77777777" w:rsidR="006F30C5" w:rsidRDefault="006F30C5" w:rsidP="00A61C19">
      <w:pPr>
        <w:spacing w:before="60"/>
        <w:jc w:val="both"/>
        <w:rPr>
          <w:rFonts w:ascii="Tahoma" w:hAnsi="Tahoma" w:cs="Tahoma"/>
          <w:sz w:val="20"/>
        </w:rPr>
      </w:pPr>
    </w:p>
    <w:sectPr w:rsidR="006F30C5" w:rsidSect="00F75BAF">
      <w:headerReference w:type="default" r:id="rId8"/>
      <w:footerReference w:type="default" r:id="rId9"/>
      <w:pgSz w:w="11906" w:h="16838"/>
      <w:pgMar w:top="90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65F1" w14:textId="77777777" w:rsidR="00897DFF" w:rsidRDefault="00897DFF">
      <w:r>
        <w:separator/>
      </w:r>
    </w:p>
  </w:endnote>
  <w:endnote w:type="continuationSeparator" w:id="0">
    <w:p w14:paraId="10AC1855" w14:textId="77777777" w:rsidR="00897DFF" w:rsidRDefault="0089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FC00" w14:textId="638AF8EB" w:rsidR="00F75BAF" w:rsidRPr="00E46A0B" w:rsidRDefault="00A53BDD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7C3293" wp14:editId="06D184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5534a409cb2233e4cb1967a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8FD6E8" w14:textId="531FEAFE" w:rsidR="00A53BDD" w:rsidRPr="00A53BDD" w:rsidRDefault="00A53BDD" w:rsidP="00A53BDD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A53BDD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C3293" id="_x0000_t202" coordsize="21600,21600" o:spt="202" path="m,l,21600r21600,l21600,xe">
              <v:stroke joinstyle="miter"/>
              <v:path gradientshapeok="t" o:connecttype="rect"/>
            </v:shapetype>
            <v:shape id="MSIPCMe5534a409cb2233e4cb1967a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D8FD6E8" w14:textId="531FEAFE" w:rsidR="00A53BDD" w:rsidRPr="00A53BDD" w:rsidRDefault="00A53BDD" w:rsidP="00A53BDD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A53BDD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5BAF" w:rsidRPr="00E46A0B">
      <w:rPr>
        <w:rFonts w:ascii="Tahoma" w:hAnsi="Tahoma" w:cs="Tahoma"/>
        <w:sz w:val="16"/>
        <w:szCs w:val="16"/>
      </w:rPr>
      <w:fldChar w:fldCharType="begin"/>
    </w:r>
    <w:r w:rsidR="00F75BAF" w:rsidRPr="00E46A0B">
      <w:rPr>
        <w:rFonts w:ascii="Tahoma" w:hAnsi="Tahoma" w:cs="Tahoma"/>
        <w:sz w:val="16"/>
        <w:szCs w:val="16"/>
      </w:rPr>
      <w:instrText xml:space="preserve"> PAGE   \* MERGEFORMAT </w:instrText>
    </w:r>
    <w:r w:rsidR="00F75BAF" w:rsidRPr="00E46A0B">
      <w:rPr>
        <w:rFonts w:ascii="Tahoma" w:hAnsi="Tahoma" w:cs="Tahoma"/>
        <w:sz w:val="16"/>
        <w:szCs w:val="16"/>
      </w:rPr>
      <w:fldChar w:fldCharType="separate"/>
    </w:r>
    <w:r w:rsidR="009B5258">
      <w:rPr>
        <w:rFonts w:ascii="Tahoma" w:hAnsi="Tahoma" w:cs="Tahoma"/>
        <w:noProof/>
        <w:sz w:val="16"/>
        <w:szCs w:val="16"/>
      </w:rPr>
      <w:t>1</w:t>
    </w:r>
    <w:r w:rsidR="00F75BAF" w:rsidRPr="00E46A0B">
      <w:rPr>
        <w:rFonts w:ascii="Tahoma" w:hAnsi="Tahoma" w:cs="Tahoma"/>
        <w:sz w:val="16"/>
        <w:szCs w:val="16"/>
      </w:rPr>
      <w:fldChar w:fldCharType="end"/>
    </w:r>
    <w:r w:rsidR="00F75BAF" w:rsidRPr="00E46A0B">
      <w:rPr>
        <w:rFonts w:ascii="Tahoma" w:hAnsi="Tahoma" w:cs="Tahoma"/>
        <w:sz w:val="16"/>
        <w:szCs w:val="16"/>
      </w:rPr>
      <w:t>/</w:t>
    </w:r>
    <w:r w:rsidR="00D0033C">
      <w:fldChar w:fldCharType="begin"/>
    </w:r>
    <w:r w:rsidR="00D0033C">
      <w:instrText xml:space="preserve"> NUMPAGES  \* Arabic  \* MERGEFORMAT </w:instrText>
    </w:r>
    <w:r w:rsidR="00D0033C">
      <w:fldChar w:fldCharType="separate"/>
    </w:r>
    <w:r w:rsidR="009B5258" w:rsidRPr="009B5258">
      <w:rPr>
        <w:rFonts w:ascii="Tahoma" w:hAnsi="Tahoma" w:cs="Tahoma"/>
        <w:noProof/>
        <w:sz w:val="16"/>
        <w:szCs w:val="16"/>
      </w:rPr>
      <w:t>2</w:t>
    </w:r>
    <w:r w:rsidR="00D0033C">
      <w:rPr>
        <w:rFonts w:ascii="Tahoma" w:hAnsi="Tahoma" w:cs="Tahoma"/>
        <w:noProof/>
        <w:sz w:val="16"/>
        <w:szCs w:val="16"/>
      </w:rPr>
      <w:fldChar w:fldCharType="end"/>
    </w:r>
  </w:p>
  <w:p w14:paraId="4C224219" w14:textId="77777777" w:rsidR="00F75BAF" w:rsidRDefault="00F75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8AEC" w14:textId="77777777" w:rsidR="00897DFF" w:rsidRDefault="00897DFF">
      <w:r>
        <w:separator/>
      </w:r>
    </w:p>
  </w:footnote>
  <w:footnote w:type="continuationSeparator" w:id="0">
    <w:p w14:paraId="3A45F94F" w14:textId="77777777" w:rsidR="00897DFF" w:rsidRDefault="0089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1768" w14:textId="77777777" w:rsidR="00F75BAF" w:rsidRDefault="00F75BAF">
    <w:pPr>
      <w:pStyle w:val="Zhlav"/>
      <w:jc w:val="right"/>
      <w:rPr>
        <w:rFonts w:ascii="Tahoma" w:hAnsi="Tahoma" w:cs="Tahoma"/>
        <w:b/>
        <w:b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649"/>
    <w:multiLevelType w:val="hybridMultilevel"/>
    <w:tmpl w:val="C9427F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87D42"/>
    <w:multiLevelType w:val="hybridMultilevel"/>
    <w:tmpl w:val="4CC6D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33DD1"/>
    <w:multiLevelType w:val="hybridMultilevel"/>
    <w:tmpl w:val="4EF2207C"/>
    <w:lvl w:ilvl="0" w:tplc="DC20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44D4"/>
    <w:multiLevelType w:val="hybridMultilevel"/>
    <w:tmpl w:val="CFCA05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E63D0"/>
    <w:multiLevelType w:val="hybridMultilevel"/>
    <w:tmpl w:val="11F426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85F53"/>
    <w:multiLevelType w:val="hybridMultilevel"/>
    <w:tmpl w:val="01F44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75C01"/>
    <w:multiLevelType w:val="hybridMultilevel"/>
    <w:tmpl w:val="CF102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F7B6C"/>
    <w:multiLevelType w:val="hybridMultilevel"/>
    <w:tmpl w:val="A000B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7029557">
    <w:abstractNumId w:val="7"/>
  </w:num>
  <w:num w:numId="2" w16cid:durableId="962736275">
    <w:abstractNumId w:val="1"/>
  </w:num>
  <w:num w:numId="3" w16cid:durableId="363560363">
    <w:abstractNumId w:val="6"/>
  </w:num>
  <w:num w:numId="4" w16cid:durableId="1387144016">
    <w:abstractNumId w:val="5"/>
  </w:num>
  <w:num w:numId="5" w16cid:durableId="308167357">
    <w:abstractNumId w:val="0"/>
  </w:num>
  <w:num w:numId="6" w16cid:durableId="426774315">
    <w:abstractNumId w:val="4"/>
  </w:num>
  <w:num w:numId="7" w16cid:durableId="1084112704">
    <w:abstractNumId w:val="2"/>
  </w:num>
  <w:num w:numId="8" w16cid:durableId="317350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F4"/>
    <w:rsid w:val="00007957"/>
    <w:rsid w:val="0003058B"/>
    <w:rsid w:val="00033ACE"/>
    <w:rsid w:val="00033D92"/>
    <w:rsid w:val="00040D8C"/>
    <w:rsid w:val="0005399E"/>
    <w:rsid w:val="00064822"/>
    <w:rsid w:val="0007222A"/>
    <w:rsid w:val="000727C8"/>
    <w:rsid w:val="00075800"/>
    <w:rsid w:val="00077C95"/>
    <w:rsid w:val="00077E5F"/>
    <w:rsid w:val="0008541A"/>
    <w:rsid w:val="000B6495"/>
    <w:rsid w:val="000C59E7"/>
    <w:rsid w:val="000D1672"/>
    <w:rsid w:val="000E111B"/>
    <w:rsid w:val="000E1C1C"/>
    <w:rsid w:val="000E233E"/>
    <w:rsid w:val="000E5529"/>
    <w:rsid w:val="000E6258"/>
    <w:rsid w:val="001018EB"/>
    <w:rsid w:val="001021ED"/>
    <w:rsid w:val="001121C5"/>
    <w:rsid w:val="00117905"/>
    <w:rsid w:val="001203A3"/>
    <w:rsid w:val="0013251E"/>
    <w:rsid w:val="00132687"/>
    <w:rsid w:val="00134484"/>
    <w:rsid w:val="0013523F"/>
    <w:rsid w:val="0013763C"/>
    <w:rsid w:val="00141D9F"/>
    <w:rsid w:val="00144D2F"/>
    <w:rsid w:val="001504F5"/>
    <w:rsid w:val="00155CAA"/>
    <w:rsid w:val="00160AA5"/>
    <w:rsid w:val="00164DA9"/>
    <w:rsid w:val="00167C65"/>
    <w:rsid w:val="001975F7"/>
    <w:rsid w:val="001A03E8"/>
    <w:rsid w:val="001B2265"/>
    <w:rsid w:val="001C1B4A"/>
    <w:rsid w:val="001F57A2"/>
    <w:rsid w:val="002018FE"/>
    <w:rsid w:val="00206C1A"/>
    <w:rsid w:val="00207A84"/>
    <w:rsid w:val="0021041B"/>
    <w:rsid w:val="00215B0F"/>
    <w:rsid w:val="002238C7"/>
    <w:rsid w:val="002255A9"/>
    <w:rsid w:val="00231889"/>
    <w:rsid w:val="0023585D"/>
    <w:rsid w:val="002358B3"/>
    <w:rsid w:val="00237743"/>
    <w:rsid w:val="0024461D"/>
    <w:rsid w:val="002472BA"/>
    <w:rsid w:val="00253A44"/>
    <w:rsid w:val="002618C4"/>
    <w:rsid w:val="00276B4D"/>
    <w:rsid w:val="002825A7"/>
    <w:rsid w:val="002840E2"/>
    <w:rsid w:val="00287BC2"/>
    <w:rsid w:val="00296733"/>
    <w:rsid w:val="002A3B70"/>
    <w:rsid w:val="002C47F5"/>
    <w:rsid w:val="002D1325"/>
    <w:rsid w:val="002D55E3"/>
    <w:rsid w:val="002D70BF"/>
    <w:rsid w:val="002E4191"/>
    <w:rsid w:val="002E49E8"/>
    <w:rsid w:val="002F04AD"/>
    <w:rsid w:val="002F0B23"/>
    <w:rsid w:val="002F2199"/>
    <w:rsid w:val="002F6E2F"/>
    <w:rsid w:val="003119CE"/>
    <w:rsid w:val="00314A18"/>
    <w:rsid w:val="00316155"/>
    <w:rsid w:val="00332D77"/>
    <w:rsid w:val="003414F4"/>
    <w:rsid w:val="003420CC"/>
    <w:rsid w:val="00352965"/>
    <w:rsid w:val="00352E02"/>
    <w:rsid w:val="00357ABC"/>
    <w:rsid w:val="00363B30"/>
    <w:rsid w:val="0038347B"/>
    <w:rsid w:val="00387307"/>
    <w:rsid w:val="003A1B32"/>
    <w:rsid w:val="003A4283"/>
    <w:rsid w:val="003B00EC"/>
    <w:rsid w:val="003B42F6"/>
    <w:rsid w:val="003B771E"/>
    <w:rsid w:val="003D36A2"/>
    <w:rsid w:val="003D3C9B"/>
    <w:rsid w:val="003E399D"/>
    <w:rsid w:val="003F4421"/>
    <w:rsid w:val="003F4EFC"/>
    <w:rsid w:val="003F702E"/>
    <w:rsid w:val="003F712A"/>
    <w:rsid w:val="004001B5"/>
    <w:rsid w:val="0040099C"/>
    <w:rsid w:val="0040643F"/>
    <w:rsid w:val="004071AF"/>
    <w:rsid w:val="00431A9A"/>
    <w:rsid w:val="0043334B"/>
    <w:rsid w:val="00442E5C"/>
    <w:rsid w:val="0044337C"/>
    <w:rsid w:val="00450ACA"/>
    <w:rsid w:val="004511F7"/>
    <w:rsid w:val="00452D21"/>
    <w:rsid w:val="00456FA9"/>
    <w:rsid w:val="00470D99"/>
    <w:rsid w:val="00471B4C"/>
    <w:rsid w:val="0047308C"/>
    <w:rsid w:val="004743DD"/>
    <w:rsid w:val="00486B84"/>
    <w:rsid w:val="00490A78"/>
    <w:rsid w:val="004A0EB3"/>
    <w:rsid w:val="004A50C4"/>
    <w:rsid w:val="004B15BB"/>
    <w:rsid w:val="004B226D"/>
    <w:rsid w:val="004C6620"/>
    <w:rsid w:val="004D2DC3"/>
    <w:rsid w:val="004D51C3"/>
    <w:rsid w:val="0050724C"/>
    <w:rsid w:val="00507BEF"/>
    <w:rsid w:val="00526FCC"/>
    <w:rsid w:val="005274EF"/>
    <w:rsid w:val="005333BB"/>
    <w:rsid w:val="00543B68"/>
    <w:rsid w:val="00547EF7"/>
    <w:rsid w:val="005507A5"/>
    <w:rsid w:val="00551477"/>
    <w:rsid w:val="005655C3"/>
    <w:rsid w:val="00580EDB"/>
    <w:rsid w:val="005A2BC9"/>
    <w:rsid w:val="005B69DF"/>
    <w:rsid w:val="005B745F"/>
    <w:rsid w:val="005C199C"/>
    <w:rsid w:val="005C4CDD"/>
    <w:rsid w:val="005C71BA"/>
    <w:rsid w:val="005C7E42"/>
    <w:rsid w:val="005D619C"/>
    <w:rsid w:val="005E1BDC"/>
    <w:rsid w:val="005E7565"/>
    <w:rsid w:val="00602A05"/>
    <w:rsid w:val="0060544F"/>
    <w:rsid w:val="0061218A"/>
    <w:rsid w:val="00614D8A"/>
    <w:rsid w:val="00627BC6"/>
    <w:rsid w:val="00627D58"/>
    <w:rsid w:val="006444F1"/>
    <w:rsid w:val="006502DC"/>
    <w:rsid w:val="00653765"/>
    <w:rsid w:val="006566C4"/>
    <w:rsid w:val="00663722"/>
    <w:rsid w:val="006646A6"/>
    <w:rsid w:val="006851A1"/>
    <w:rsid w:val="00685CE7"/>
    <w:rsid w:val="00695443"/>
    <w:rsid w:val="0069735F"/>
    <w:rsid w:val="006A2972"/>
    <w:rsid w:val="006A7A3E"/>
    <w:rsid w:val="006A7BD3"/>
    <w:rsid w:val="006B4414"/>
    <w:rsid w:val="006B6CAA"/>
    <w:rsid w:val="006C1310"/>
    <w:rsid w:val="006D6089"/>
    <w:rsid w:val="006E630D"/>
    <w:rsid w:val="006F30C5"/>
    <w:rsid w:val="006F3B39"/>
    <w:rsid w:val="006F3D57"/>
    <w:rsid w:val="0070234C"/>
    <w:rsid w:val="0071112A"/>
    <w:rsid w:val="00716CF3"/>
    <w:rsid w:val="007172D9"/>
    <w:rsid w:val="00717ADB"/>
    <w:rsid w:val="00725B4A"/>
    <w:rsid w:val="00744E74"/>
    <w:rsid w:val="0074502A"/>
    <w:rsid w:val="00747A6A"/>
    <w:rsid w:val="00750D52"/>
    <w:rsid w:val="00772A62"/>
    <w:rsid w:val="00773791"/>
    <w:rsid w:val="00781C9C"/>
    <w:rsid w:val="007868FA"/>
    <w:rsid w:val="00793960"/>
    <w:rsid w:val="00797A36"/>
    <w:rsid w:val="007A5893"/>
    <w:rsid w:val="007A7B38"/>
    <w:rsid w:val="007B6A62"/>
    <w:rsid w:val="007B7294"/>
    <w:rsid w:val="007C4D63"/>
    <w:rsid w:val="007C7511"/>
    <w:rsid w:val="007C78AD"/>
    <w:rsid w:val="007E138C"/>
    <w:rsid w:val="007E2CD8"/>
    <w:rsid w:val="007E6327"/>
    <w:rsid w:val="007F0450"/>
    <w:rsid w:val="007F3399"/>
    <w:rsid w:val="00801900"/>
    <w:rsid w:val="008073AE"/>
    <w:rsid w:val="00814211"/>
    <w:rsid w:val="0081747F"/>
    <w:rsid w:val="00822972"/>
    <w:rsid w:val="00827992"/>
    <w:rsid w:val="00840D71"/>
    <w:rsid w:val="00843D38"/>
    <w:rsid w:val="0085067A"/>
    <w:rsid w:val="0085092E"/>
    <w:rsid w:val="00857C05"/>
    <w:rsid w:val="008734A6"/>
    <w:rsid w:val="0089101C"/>
    <w:rsid w:val="00897DFF"/>
    <w:rsid w:val="008A0506"/>
    <w:rsid w:val="008A66E5"/>
    <w:rsid w:val="008A6FB0"/>
    <w:rsid w:val="008A71EA"/>
    <w:rsid w:val="008B374C"/>
    <w:rsid w:val="008B4A6F"/>
    <w:rsid w:val="008B5A09"/>
    <w:rsid w:val="008C405D"/>
    <w:rsid w:val="008D397F"/>
    <w:rsid w:val="008D3AA6"/>
    <w:rsid w:val="008E0969"/>
    <w:rsid w:val="008E118A"/>
    <w:rsid w:val="008E734B"/>
    <w:rsid w:val="008F2062"/>
    <w:rsid w:val="008F5B1D"/>
    <w:rsid w:val="00903367"/>
    <w:rsid w:val="00910113"/>
    <w:rsid w:val="00911B70"/>
    <w:rsid w:val="009230BC"/>
    <w:rsid w:val="00923DD3"/>
    <w:rsid w:val="009320A9"/>
    <w:rsid w:val="00933F84"/>
    <w:rsid w:val="00935C52"/>
    <w:rsid w:val="0093763E"/>
    <w:rsid w:val="009449B0"/>
    <w:rsid w:val="009548C2"/>
    <w:rsid w:val="0096483B"/>
    <w:rsid w:val="00964F7F"/>
    <w:rsid w:val="0096518C"/>
    <w:rsid w:val="00971EDD"/>
    <w:rsid w:val="00994F9E"/>
    <w:rsid w:val="0099700D"/>
    <w:rsid w:val="009A2A97"/>
    <w:rsid w:val="009A6179"/>
    <w:rsid w:val="009B1C28"/>
    <w:rsid w:val="009B5258"/>
    <w:rsid w:val="009C2EA4"/>
    <w:rsid w:val="009C4CBA"/>
    <w:rsid w:val="00A111FE"/>
    <w:rsid w:val="00A1336F"/>
    <w:rsid w:val="00A206ED"/>
    <w:rsid w:val="00A21DD8"/>
    <w:rsid w:val="00A27376"/>
    <w:rsid w:val="00A307A0"/>
    <w:rsid w:val="00A32431"/>
    <w:rsid w:val="00A53BDD"/>
    <w:rsid w:val="00A61C19"/>
    <w:rsid w:val="00A627BF"/>
    <w:rsid w:val="00A65A04"/>
    <w:rsid w:val="00A83304"/>
    <w:rsid w:val="00A84619"/>
    <w:rsid w:val="00A912EF"/>
    <w:rsid w:val="00A93EDB"/>
    <w:rsid w:val="00AA270A"/>
    <w:rsid w:val="00AA2954"/>
    <w:rsid w:val="00AA6E97"/>
    <w:rsid w:val="00AB312C"/>
    <w:rsid w:val="00AC1201"/>
    <w:rsid w:val="00AD3A19"/>
    <w:rsid w:val="00AD3C3D"/>
    <w:rsid w:val="00AF3E49"/>
    <w:rsid w:val="00AF4859"/>
    <w:rsid w:val="00AF70E3"/>
    <w:rsid w:val="00B05AE4"/>
    <w:rsid w:val="00B20240"/>
    <w:rsid w:val="00B27BB5"/>
    <w:rsid w:val="00B36AFF"/>
    <w:rsid w:val="00B44098"/>
    <w:rsid w:val="00B47627"/>
    <w:rsid w:val="00B6637A"/>
    <w:rsid w:val="00B7079A"/>
    <w:rsid w:val="00B940A1"/>
    <w:rsid w:val="00B9711C"/>
    <w:rsid w:val="00BB30AE"/>
    <w:rsid w:val="00BB3339"/>
    <w:rsid w:val="00BC0A27"/>
    <w:rsid w:val="00BC424F"/>
    <w:rsid w:val="00BC5C79"/>
    <w:rsid w:val="00BD2091"/>
    <w:rsid w:val="00BD57C4"/>
    <w:rsid w:val="00BE61CB"/>
    <w:rsid w:val="00BF1A9C"/>
    <w:rsid w:val="00BF53EC"/>
    <w:rsid w:val="00BF7EFA"/>
    <w:rsid w:val="00C040DE"/>
    <w:rsid w:val="00C26235"/>
    <w:rsid w:val="00C366B1"/>
    <w:rsid w:val="00C469C2"/>
    <w:rsid w:val="00C60DE0"/>
    <w:rsid w:val="00C6689F"/>
    <w:rsid w:val="00C723E0"/>
    <w:rsid w:val="00C72D89"/>
    <w:rsid w:val="00C8696C"/>
    <w:rsid w:val="00C87730"/>
    <w:rsid w:val="00C964EB"/>
    <w:rsid w:val="00CA165F"/>
    <w:rsid w:val="00CB2428"/>
    <w:rsid w:val="00CB3303"/>
    <w:rsid w:val="00CB4E15"/>
    <w:rsid w:val="00CD18D6"/>
    <w:rsid w:val="00CD7506"/>
    <w:rsid w:val="00CE0BC4"/>
    <w:rsid w:val="00CE6618"/>
    <w:rsid w:val="00CF4AFF"/>
    <w:rsid w:val="00CF5669"/>
    <w:rsid w:val="00CF6DCA"/>
    <w:rsid w:val="00CF72A4"/>
    <w:rsid w:val="00D0033C"/>
    <w:rsid w:val="00D02D0E"/>
    <w:rsid w:val="00D067F6"/>
    <w:rsid w:val="00D13209"/>
    <w:rsid w:val="00D1517C"/>
    <w:rsid w:val="00D22D54"/>
    <w:rsid w:val="00D27EF0"/>
    <w:rsid w:val="00D31E16"/>
    <w:rsid w:val="00D31FD5"/>
    <w:rsid w:val="00D41CEB"/>
    <w:rsid w:val="00D4321A"/>
    <w:rsid w:val="00D5089F"/>
    <w:rsid w:val="00D61596"/>
    <w:rsid w:val="00D649F1"/>
    <w:rsid w:val="00D64ABE"/>
    <w:rsid w:val="00D87A1E"/>
    <w:rsid w:val="00D91E5F"/>
    <w:rsid w:val="00DA448F"/>
    <w:rsid w:val="00DC0408"/>
    <w:rsid w:val="00DC58AB"/>
    <w:rsid w:val="00DD0CC3"/>
    <w:rsid w:val="00DD6552"/>
    <w:rsid w:val="00DE4DB4"/>
    <w:rsid w:val="00E00863"/>
    <w:rsid w:val="00E03F22"/>
    <w:rsid w:val="00E041E9"/>
    <w:rsid w:val="00E04E43"/>
    <w:rsid w:val="00E32D93"/>
    <w:rsid w:val="00E33468"/>
    <w:rsid w:val="00E4342C"/>
    <w:rsid w:val="00E46A0B"/>
    <w:rsid w:val="00E54DDA"/>
    <w:rsid w:val="00E56D36"/>
    <w:rsid w:val="00E57166"/>
    <w:rsid w:val="00E623D4"/>
    <w:rsid w:val="00E64BEE"/>
    <w:rsid w:val="00E705C5"/>
    <w:rsid w:val="00E76126"/>
    <w:rsid w:val="00E76EF5"/>
    <w:rsid w:val="00E902D2"/>
    <w:rsid w:val="00E91F7A"/>
    <w:rsid w:val="00E920AF"/>
    <w:rsid w:val="00E94F3F"/>
    <w:rsid w:val="00EA094F"/>
    <w:rsid w:val="00EB49D0"/>
    <w:rsid w:val="00EC662B"/>
    <w:rsid w:val="00ED2FA1"/>
    <w:rsid w:val="00EF630F"/>
    <w:rsid w:val="00EF6B43"/>
    <w:rsid w:val="00F139D0"/>
    <w:rsid w:val="00F1514E"/>
    <w:rsid w:val="00F17640"/>
    <w:rsid w:val="00F22019"/>
    <w:rsid w:val="00F26F89"/>
    <w:rsid w:val="00F3131D"/>
    <w:rsid w:val="00F33D59"/>
    <w:rsid w:val="00F35729"/>
    <w:rsid w:val="00F427C6"/>
    <w:rsid w:val="00F42A86"/>
    <w:rsid w:val="00F562CA"/>
    <w:rsid w:val="00F57358"/>
    <w:rsid w:val="00F63376"/>
    <w:rsid w:val="00F63E4B"/>
    <w:rsid w:val="00F71199"/>
    <w:rsid w:val="00F75BAF"/>
    <w:rsid w:val="00F9698F"/>
    <w:rsid w:val="00FC0E9C"/>
    <w:rsid w:val="00FC4086"/>
    <w:rsid w:val="00FC64F7"/>
    <w:rsid w:val="00FC6C89"/>
    <w:rsid w:val="00FC7F5E"/>
    <w:rsid w:val="00FD16A1"/>
    <w:rsid w:val="00FD2BBC"/>
    <w:rsid w:val="00FE34D2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11A938"/>
  <w15:docId w15:val="{11319C35-6807-4ECA-AF07-6E891E0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7992"/>
    <w:rPr>
      <w:sz w:val="24"/>
      <w:szCs w:val="24"/>
    </w:rPr>
  </w:style>
  <w:style w:type="paragraph" w:styleId="Nadpis1">
    <w:name w:val="heading 1"/>
    <w:basedOn w:val="Normln"/>
    <w:next w:val="Normln"/>
    <w:qFormat/>
    <w:rsid w:val="0082799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27992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827992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27992"/>
    <w:pPr>
      <w:ind w:left="720"/>
      <w:jc w:val="both"/>
    </w:pPr>
  </w:style>
  <w:style w:type="paragraph" w:styleId="Zhlav">
    <w:name w:val="header"/>
    <w:basedOn w:val="Normln"/>
    <w:rsid w:val="00827992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827992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rsid w:val="00827992"/>
    <w:pPr>
      <w:spacing w:before="120"/>
      <w:jc w:val="both"/>
    </w:pPr>
    <w:rPr>
      <w:sz w:val="22"/>
    </w:rPr>
  </w:style>
  <w:style w:type="character" w:styleId="Hypertextovodkaz">
    <w:name w:val="Hyperlink"/>
    <w:rsid w:val="00827992"/>
    <w:rPr>
      <w:color w:val="0000FF"/>
      <w:u w:val="single"/>
    </w:rPr>
  </w:style>
  <w:style w:type="paragraph" w:styleId="Zkladntext2">
    <w:name w:val="Body Text 2"/>
    <w:basedOn w:val="Normln"/>
    <w:rsid w:val="00827992"/>
    <w:pPr>
      <w:jc w:val="both"/>
    </w:pPr>
    <w:rPr>
      <w:b/>
      <w:bCs/>
      <w:sz w:val="22"/>
    </w:rPr>
  </w:style>
  <w:style w:type="paragraph" w:styleId="Zkladntext3">
    <w:name w:val="Body Text 3"/>
    <w:basedOn w:val="Normln"/>
    <w:link w:val="Zkladntext3Char"/>
    <w:rsid w:val="00827992"/>
    <w:pPr>
      <w:jc w:val="center"/>
    </w:pPr>
    <w:rPr>
      <w:rFonts w:ascii="Tahoma" w:hAnsi="Tahoma" w:cs="Tahoma"/>
      <w:b/>
      <w:bCs/>
    </w:rPr>
  </w:style>
  <w:style w:type="paragraph" w:styleId="Zkladntextodsazen2">
    <w:name w:val="Body Text Indent 2"/>
    <w:basedOn w:val="Normln"/>
    <w:rsid w:val="00827992"/>
    <w:pPr>
      <w:ind w:firstLine="708"/>
      <w:jc w:val="both"/>
    </w:pPr>
    <w:rPr>
      <w:rFonts w:ascii="Tahoma" w:hAnsi="Tahoma" w:cs="Tahoma"/>
      <w:sz w:val="20"/>
    </w:rPr>
  </w:style>
  <w:style w:type="character" w:styleId="Sledovanodkaz">
    <w:name w:val="FollowedHyperlink"/>
    <w:rsid w:val="00827992"/>
    <w:rPr>
      <w:color w:val="800080"/>
      <w:u w:val="single"/>
    </w:rPr>
  </w:style>
  <w:style w:type="character" w:styleId="Siln">
    <w:name w:val="Strong"/>
    <w:qFormat/>
    <w:rsid w:val="00CF72A4"/>
    <w:rPr>
      <w:b/>
      <w:bCs/>
    </w:rPr>
  </w:style>
  <w:style w:type="character" w:customStyle="1" w:styleId="platne1">
    <w:name w:val="platne1"/>
    <w:basedOn w:val="Standardnpsmoodstavce"/>
    <w:rsid w:val="00F562CA"/>
  </w:style>
  <w:style w:type="paragraph" w:styleId="Textbubliny">
    <w:name w:val="Balloon Text"/>
    <w:basedOn w:val="Normln"/>
    <w:semiHidden/>
    <w:rsid w:val="004B15B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376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763C"/>
    <w:rPr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13763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3763C"/>
    <w:rPr>
      <w:b/>
      <w:bCs/>
    </w:rPr>
  </w:style>
  <w:style w:type="character" w:customStyle="1" w:styleId="PedmtkomenteChar">
    <w:name w:val="Předmět komentáře Char"/>
    <w:link w:val="Pedmtkomente"/>
    <w:rsid w:val="0013763C"/>
    <w:rPr>
      <w:b/>
      <w:bCs/>
      <w:lang w:eastAsia="en-US"/>
    </w:rPr>
  </w:style>
  <w:style w:type="character" w:customStyle="1" w:styleId="Zkladntext3Char">
    <w:name w:val="Základní text 3 Char"/>
    <w:link w:val="Zkladntext3"/>
    <w:rsid w:val="00F26F89"/>
    <w:rPr>
      <w:rFonts w:ascii="Tahoma" w:hAnsi="Tahoma" w:cs="Tahoma"/>
      <w:b/>
      <w:bCs/>
      <w:sz w:val="24"/>
      <w:szCs w:val="24"/>
    </w:rPr>
  </w:style>
  <w:style w:type="character" w:customStyle="1" w:styleId="ZpatChar">
    <w:name w:val="Zápatí Char"/>
    <w:link w:val="Zpat"/>
    <w:uiPriority w:val="99"/>
    <w:rsid w:val="00E46A0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3E49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91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e\Vodafone\&#352;ABLONA%20N&#193;JEM%20NEW%20V&#352;E%20POD%20VANTAGE%20TOWER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E1D0-E6F7-4614-A4EB-E2FDDED7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NÁJEM NEW VŠE POD VANTAGE TOWERS</Template>
  <TotalTime>4</TotalTime>
  <Pages>2</Pages>
  <Words>654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dodatek-snížení nájemného</vt:lpstr>
      <vt:lpstr>FIN ID: 111780</vt:lpstr>
    </vt:vector>
  </TitlesOfParts>
  <Company>Vodafone Czech Republic a.s.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dodatek-snížení nájemného</dc:title>
  <dc:creator>Hana Kamenická</dc:creator>
  <cp:lastModifiedBy>nadvornikova@munovapaka.cz</cp:lastModifiedBy>
  <cp:revision>3</cp:revision>
  <cp:lastPrinted>2007-05-23T12:24:00Z</cp:lastPrinted>
  <dcterms:created xsi:type="dcterms:W3CDTF">2023-11-27T11:20:00Z</dcterms:created>
  <dcterms:modified xsi:type="dcterms:W3CDTF">2023-11-27T11:26:00Z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2023-09-27T13:33:51Z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49aaa9bf-ad52-443d-94cb-6bab517261c9</vt:lpwstr>
  </property>
  <property fmtid="{D5CDD505-2E9C-101B-9397-08002B2CF9AE}" pid="8" name="MSIP_Label_0359f705-2ba0-454b-9cfc-6ce5bcaac040_ContentBits">
    <vt:lpwstr>2</vt:lpwstr>
  </property>
</Properties>
</file>