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7221100144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Vantage</w:t>
      </w:r>
      <w:r>
        <w:rPr>
          <w:spacing w:val="-8"/>
        </w:rPr>
        <w:t> </w:t>
      </w:r>
      <w:r>
        <w:rPr/>
        <w:t>Towers</w:t>
      </w:r>
      <w:r>
        <w:rPr>
          <w:spacing w:val="42"/>
        </w:rPr>
        <w:t> </w:t>
      </w:r>
      <w:r>
        <w:rPr>
          <w:spacing w:val="-2"/>
        </w:rPr>
        <w:t>s.r.o.</w:t>
      </w:r>
    </w:p>
    <w:p>
      <w:pPr>
        <w:pStyle w:val="BodyText"/>
        <w:ind w:left="102"/>
      </w:pPr>
      <w:r>
        <w:rPr/>
        <w:t>obchodní společnost zapsaná v obchodním rejstříku vedeném Městským soudem v Praze, oddíl C, vložka </w:t>
      </w:r>
      <w:r>
        <w:rPr>
          <w:spacing w:val="-2"/>
        </w:rPr>
        <w:t>330005</w:t>
      </w:r>
    </w:p>
    <w:p>
      <w:pPr>
        <w:pStyle w:val="BodyText"/>
        <w:tabs>
          <w:tab w:pos="2982" w:val="left" w:leader="none"/>
        </w:tabs>
        <w:spacing w:line="265" w:lineRule="exact"/>
        <w:ind w:left="102"/>
      </w:pPr>
      <w:r>
        <w:rPr/>
        <w:t>se</w:t>
      </w:r>
      <w:r>
        <w:rPr>
          <w:spacing w:val="-5"/>
        </w:rPr>
        <w:t> </w:t>
      </w:r>
      <w:r>
        <w:rPr>
          <w:spacing w:val="-2"/>
        </w:rPr>
        <w:t>sídlem:</w:t>
      </w:r>
      <w:r>
        <w:rPr/>
        <w:tab/>
        <w:t>Závišova</w:t>
      </w:r>
      <w:r>
        <w:rPr>
          <w:spacing w:val="-7"/>
        </w:rPr>
        <w:t> </w:t>
      </w:r>
      <w:r>
        <w:rPr/>
        <w:t>502/5,</w:t>
      </w:r>
      <w:r>
        <w:rPr>
          <w:spacing w:val="-6"/>
        </w:rPr>
        <w:t> </w:t>
      </w:r>
      <w:r>
        <w:rPr/>
        <w:t>Nusle,</w:t>
      </w:r>
      <w:r>
        <w:rPr>
          <w:spacing w:val="-7"/>
        </w:rPr>
        <w:t> </w:t>
      </w:r>
      <w:r>
        <w:rPr/>
        <w:t>140</w:t>
      </w:r>
      <w:r>
        <w:rPr>
          <w:spacing w:val="-1"/>
        </w:rPr>
        <w:t> </w:t>
      </w:r>
      <w:r>
        <w:rPr/>
        <w:t>00</w:t>
      </w:r>
      <w:r>
        <w:rPr>
          <w:spacing w:val="-5"/>
        </w:rPr>
        <w:t> </w:t>
      </w:r>
      <w:r>
        <w:rPr/>
        <w:t>Praha</w:t>
      </w:r>
      <w:r>
        <w:rPr>
          <w:spacing w:val="-6"/>
        </w:rPr>
        <w:t> </w:t>
      </w:r>
      <w:r>
        <w:rPr>
          <w:spacing w:val="-10"/>
        </w:rPr>
        <w:t>4</w:t>
      </w:r>
    </w:p>
    <w:p>
      <w:pPr>
        <w:pStyle w:val="BodyText"/>
        <w:tabs>
          <w:tab w:pos="2982" w:val="left" w:leader="none"/>
        </w:tabs>
        <w:spacing w:before="1"/>
        <w:ind w:left="102"/>
      </w:pPr>
      <w:r>
        <w:rPr>
          <w:spacing w:val="-4"/>
        </w:rPr>
        <w:t>IČO:</w:t>
      </w:r>
      <w:r>
        <w:rPr>
          <w:rFonts w:ascii="Times New Roman" w:hAnsi="Times New Roman"/>
        </w:rPr>
        <w:tab/>
      </w:r>
      <w:r>
        <w:rPr>
          <w:spacing w:val="-2"/>
        </w:rPr>
        <w:t>09056009</w:t>
      </w:r>
    </w:p>
    <w:p>
      <w:pPr>
        <w:pStyle w:val="BodyText"/>
        <w:tabs>
          <w:tab w:pos="2982" w:val="left" w:leader="none"/>
        </w:tabs>
        <w:ind w:left="102"/>
      </w:pPr>
      <w:r>
        <w:rPr>
          <w:spacing w:val="-2"/>
        </w:rPr>
        <w:t>zastoupená:</w:t>
      </w:r>
      <w:r>
        <w:rPr/>
        <w:tab/>
        <w:t>Jiřím</w:t>
      </w:r>
      <w:r>
        <w:rPr>
          <w:spacing w:val="-3"/>
        </w:rPr>
        <w:t> </w:t>
      </w:r>
      <w:r>
        <w:rPr/>
        <w:t>Š</w:t>
      </w:r>
      <w:r>
        <w:rPr>
          <w:spacing w:val="-2"/>
        </w:rPr>
        <w:t> </w:t>
      </w:r>
      <w:r>
        <w:rPr/>
        <w:t>v</w:t>
      </w:r>
      <w:r>
        <w:rPr>
          <w:spacing w:val="-1"/>
        </w:rPr>
        <w:t> </w:t>
      </w:r>
      <w:r>
        <w:rPr/>
        <w:t>a</w:t>
      </w:r>
      <w:r>
        <w:rPr>
          <w:spacing w:val="-3"/>
        </w:rPr>
        <w:t> </w:t>
      </w:r>
      <w:r>
        <w:rPr/>
        <w:t>r</w:t>
      </w:r>
      <w:r>
        <w:rPr>
          <w:spacing w:val="-2"/>
        </w:rPr>
        <w:t> </w:t>
      </w:r>
      <w:r>
        <w:rPr/>
        <w:t>c</w:t>
      </w:r>
      <w:r>
        <w:rPr>
          <w:spacing w:val="-3"/>
        </w:rPr>
        <w:t> </w:t>
      </w:r>
      <w:r>
        <w:rPr/>
        <w:t>e</w:t>
      </w:r>
      <w:r>
        <w:rPr>
          <w:spacing w:val="-1"/>
        </w:rPr>
        <w:t> </w:t>
      </w:r>
      <w:r>
        <w:rPr/>
        <w:t>m,</w:t>
      </w:r>
      <w:r>
        <w:rPr>
          <w:spacing w:val="-3"/>
        </w:rPr>
        <w:t> </w:t>
      </w:r>
      <w:r>
        <w:rPr/>
        <w:t>jednatelem</w:t>
      </w:r>
      <w:r>
        <w:rPr>
          <w:spacing w:val="-4"/>
        </w:rPr>
        <w:t> </w:t>
      </w:r>
      <w:r>
        <w:rPr/>
        <w:t>a</w:t>
      </w:r>
      <w:r>
        <w:rPr>
          <w:spacing w:val="1"/>
        </w:rPr>
        <w:t> </w:t>
      </w:r>
      <w:r>
        <w:rPr/>
        <w:t>Petrem</w:t>
      </w:r>
      <w:r>
        <w:rPr>
          <w:spacing w:val="-3"/>
        </w:rPr>
        <w:t> </w:t>
      </w:r>
      <w:r>
        <w:rPr/>
        <w:t>P</w:t>
      </w:r>
      <w:r>
        <w:rPr>
          <w:spacing w:val="-3"/>
        </w:rPr>
        <w:t> </w:t>
      </w:r>
      <w:r>
        <w:rPr/>
        <w:t>r</w:t>
      </w:r>
      <w:r>
        <w:rPr>
          <w:spacing w:val="-2"/>
        </w:rPr>
        <w:t> </w:t>
      </w:r>
      <w:r>
        <w:rPr/>
        <w:t>o</w:t>
      </w:r>
      <w:r>
        <w:rPr>
          <w:spacing w:val="-1"/>
        </w:rPr>
        <w:t> </w:t>
      </w:r>
      <w:r>
        <w:rPr/>
        <w:t>c</w:t>
      </w:r>
      <w:r>
        <w:rPr>
          <w:spacing w:val="-3"/>
        </w:rPr>
        <w:t> </w:t>
      </w:r>
      <w:r>
        <w:rPr/>
        <w:t>h</w:t>
      </w:r>
      <w:r>
        <w:rPr>
          <w:spacing w:val="-2"/>
        </w:rPr>
        <w:t> </w:t>
      </w:r>
      <w:r>
        <w:rPr/>
        <w:t>á</w:t>
      </w:r>
      <w:r>
        <w:rPr>
          <w:spacing w:val="-3"/>
        </w:rPr>
        <w:t> </w:t>
      </w:r>
      <w:r>
        <w:rPr/>
        <w:t>z</w:t>
      </w:r>
      <w:r>
        <w:rPr>
          <w:spacing w:val="-1"/>
        </w:rPr>
        <w:t> </w:t>
      </w:r>
      <w:r>
        <w:rPr/>
        <w:t>k</w:t>
      </w:r>
      <w:r>
        <w:rPr>
          <w:spacing w:val="-2"/>
        </w:rPr>
        <w:t> </w:t>
      </w:r>
      <w:r>
        <w:rPr/>
        <w:t>o</w:t>
      </w:r>
      <w:r>
        <w:rPr>
          <w:spacing w:val="1"/>
        </w:rPr>
        <w:t> </w:t>
      </w:r>
      <w:r>
        <w:rPr/>
        <w:t>u,</w:t>
      </w:r>
      <w:r>
        <w:rPr>
          <w:spacing w:val="-2"/>
        </w:rPr>
        <w:t> jednatelem</w:t>
      </w:r>
    </w:p>
    <w:p>
      <w:pPr>
        <w:pStyle w:val="BodyText"/>
        <w:tabs>
          <w:tab w:pos="2982" w:val="left" w:leader="none"/>
        </w:tabs>
        <w:ind w:left="102"/>
      </w:pPr>
      <w:r>
        <w:rPr/>
        <w:t>bankovní</w:t>
      </w:r>
      <w:r>
        <w:rPr>
          <w:spacing w:val="-11"/>
        </w:rPr>
        <w:t> </w:t>
      </w:r>
      <w:r>
        <w:rPr>
          <w:spacing w:val="-2"/>
        </w:rPr>
        <w:t>spojení:</w:t>
      </w:r>
      <w:r>
        <w:rPr/>
        <w:tab/>
        <w:t>Citibank</w:t>
      </w:r>
      <w:r>
        <w:rPr>
          <w:spacing w:val="-7"/>
        </w:rPr>
        <w:t> </w:t>
      </w:r>
      <w:r>
        <w:rPr/>
        <w:t>Europe</w:t>
      </w:r>
      <w:r>
        <w:rPr>
          <w:spacing w:val="-7"/>
        </w:rPr>
        <w:t> </w:t>
      </w:r>
      <w:r>
        <w:rPr/>
        <w:t>plc,</w:t>
      </w:r>
      <w:r>
        <w:rPr>
          <w:spacing w:val="-7"/>
        </w:rPr>
        <w:t> </w:t>
      </w:r>
      <w:r>
        <w:rPr/>
        <w:t>organizační</w:t>
      </w:r>
      <w:r>
        <w:rPr>
          <w:spacing w:val="-7"/>
        </w:rPr>
        <w:t> </w:t>
      </w:r>
      <w:r>
        <w:rPr>
          <w:spacing w:val="-2"/>
        </w:rPr>
        <w:t>složka</w:t>
      </w:r>
    </w:p>
    <w:p>
      <w:pPr>
        <w:pStyle w:val="BodyText"/>
        <w:tabs>
          <w:tab w:pos="2982" w:val="left" w:leader="none"/>
        </w:tabs>
        <w:spacing w:before="1"/>
        <w:ind w:left="102" w:right="5046"/>
      </w:pPr>
      <w:r>
        <w:rPr/>
        <w:t>číslo účtu:</w:t>
        <w:tab/>
      </w:r>
      <w:r>
        <w:rPr>
          <w:spacing w:val="-2"/>
        </w:rPr>
        <w:t>2552910108/2600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7221100144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5"/>
          <w:sz w:val="20"/>
        </w:rPr>
        <w:t> </w:t>
      </w:r>
      <w:r>
        <w:rPr>
          <w:sz w:val="20"/>
        </w:rPr>
        <w:t>výhradně</w:t>
      </w:r>
      <w:r>
        <w:rPr>
          <w:spacing w:val="-6"/>
          <w:sz w:val="20"/>
        </w:rPr>
        <w:t> </w:t>
      </w:r>
      <w:r>
        <w:rPr>
          <w:sz w:val="20"/>
        </w:rPr>
        <w:t>na</w:t>
      </w:r>
      <w:r>
        <w:rPr>
          <w:spacing w:val="-5"/>
          <w:sz w:val="20"/>
        </w:rPr>
        <w:t> </w:t>
      </w:r>
      <w:r>
        <w:rPr>
          <w:spacing w:val="-2"/>
          <w:sz w:val="20"/>
        </w:rPr>
        <w:t>akci:</w:t>
      </w:r>
    </w:p>
    <w:p>
      <w:pPr>
        <w:pStyle w:val="Heading2"/>
        <w:spacing w:before="120"/>
        <w:ind w:left="997"/>
        <w:jc w:val="both"/>
      </w:pPr>
      <w:r>
        <w:rPr/>
        <w:t>„Snížení</w:t>
      </w:r>
      <w:r>
        <w:rPr>
          <w:spacing w:val="-8"/>
        </w:rPr>
        <w:t> </w:t>
      </w:r>
      <w:r>
        <w:rPr/>
        <w:t>energetické</w:t>
      </w:r>
      <w:r>
        <w:rPr>
          <w:spacing w:val="-7"/>
        </w:rPr>
        <w:t> </w:t>
      </w:r>
      <w:r>
        <w:rPr/>
        <w:t>náročnosti</w:t>
      </w:r>
      <w:r>
        <w:rPr>
          <w:spacing w:val="-7"/>
        </w:rPr>
        <w:t> </w:t>
      </w:r>
      <w:r>
        <w:rPr/>
        <w:t>mobilní</w:t>
      </w:r>
      <w:r>
        <w:rPr>
          <w:spacing w:val="-8"/>
        </w:rPr>
        <w:t> </w:t>
      </w:r>
      <w:r>
        <w:rPr/>
        <w:t>telekomunikační</w:t>
      </w:r>
      <w:r>
        <w:rPr>
          <w:spacing w:val="-8"/>
        </w:rPr>
        <w:t> </w:t>
      </w:r>
      <w:r>
        <w:rPr/>
        <w:t>sítě</w:t>
      </w:r>
      <w:r>
        <w:rPr>
          <w:spacing w:val="-8"/>
        </w:rPr>
        <w:t> </w:t>
      </w:r>
      <w:r>
        <w:rPr/>
        <w:t>v</w:t>
      </w:r>
      <w:r>
        <w:rPr>
          <w:spacing w:val="-8"/>
        </w:rPr>
        <w:t> </w:t>
      </w:r>
      <w:r>
        <w:rPr/>
        <w:t>kraji</w:t>
      </w:r>
      <w:r>
        <w:rPr>
          <w:spacing w:val="-7"/>
        </w:rPr>
        <w:t> </w:t>
      </w:r>
      <w:r>
        <w:rPr>
          <w:spacing w:val="-2"/>
        </w:rPr>
        <w:t>Libereckém“</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8"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w:t>
      </w:r>
      <w:r>
        <w:rPr>
          <w:spacing w:val="-1"/>
          <w:sz w:val="20"/>
        </w:rPr>
        <w:t> </w:t>
      </w:r>
      <w:r>
        <w:rPr>
          <w:sz w:val="20"/>
        </w:rPr>
        <w:t>ve</w:t>
      </w:r>
      <w:r>
        <w:rPr>
          <w:spacing w:val="-1"/>
          <w:sz w:val="20"/>
        </w:rPr>
        <w:t> </w:t>
      </w:r>
      <w:r>
        <w:rPr>
          <w:sz w:val="20"/>
        </w:rPr>
        <w:t>výši </w:t>
      </w:r>
      <w:r>
        <w:rPr>
          <w:b/>
          <w:sz w:val="20"/>
        </w:rPr>
        <w:t>325 130,03 Kč </w:t>
      </w:r>
      <w:r>
        <w:rPr>
          <w:sz w:val="20"/>
        </w:rPr>
        <w:t>(slovy: tři</w:t>
      </w:r>
      <w:r>
        <w:rPr>
          <w:spacing w:val="-1"/>
          <w:sz w:val="20"/>
        </w:rPr>
        <w:t> </w:t>
      </w:r>
      <w:r>
        <w:rPr>
          <w:sz w:val="20"/>
        </w:rPr>
        <w:t>sta</w:t>
      </w:r>
      <w:r>
        <w:rPr>
          <w:spacing w:val="-1"/>
          <w:sz w:val="20"/>
        </w:rPr>
        <w:t> </w:t>
      </w:r>
      <w:r>
        <w:rPr>
          <w:sz w:val="20"/>
        </w:rPr>
        <w:t>dvacet</w:t>
      </w:r>
      <w:r>
        <w:rPr>
          <w:spacing w:val="-1"/>
          <w:sz w:val="20"/>
        </w:rPr>
        <w:t> </w:t>
      </w:r>
      <w:r>
        <w:rPr>
          <w:sz w:val="20"/>
        </w:rPr>
        <w:t>pět</w:t>
      </w:r>
      <w:r>
        <w:rPr>
          <w:spacing w:val="-1"/>
          <w:sz w:val="20"/>
        </w:rPr>
        <w:t> </w:t>
      </w:r>
      <w:r>
        <w:rPr>
          <w:sz w:val="20"/>
        </w:rPr>
        <w:t>tisíc sto třicet korun českých a</w:t>
      </w:r>
      <w:r>
        <w:rPr>
          <w:spacing w:val="-1"/>
          <w:sz w:val="20"/>
        </w:rPr>
        <w:t> </w:t>
      </w:r>
      <w:r>
        <w:rPr>
          <w:sz w:val="20"/>
        </w:rPr>
        <w:t>tři</w:t>
      </w:r>
      <w:r>
        <w:rPr>
          <w:spacing w:val="-1"/>
          <w:sz w:val="20"/>
        </w:rPr>
        <w:t> </w:t>
      </w:r>
      <w:r>
        <w:rPr>
          <w:sz w:val="20"/>
        </w:rPr>
        <w:t>haléře).</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1 050 882,14 Kč.</w:t>
      </w:r>
    </w:p>
    <w:p>
      <w:pPr>
        <w:pStyle w:val="ListParagraph"/>
        <w:numPr>
          <w:ilvl w:val="0"/>
          <w:numId w:val="2"/>
        </w:numPr>
        <w:tabs>
          <w:tab w:pos="386" w:val="left" w:leader="none"/>
        </w:tabs>
        <w:spacing w:line="240" w:lineRule="auto" w:before="122"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2"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37" w:lineRule="auto" w:before="123"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3"/>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spacing w:before="12"/>
        <w:rPr>
          <w:sz w:val="19"/>
        </w:rPr>
      </w:pPr>
    </w:p>
    <w:p>
      <w:pPr>
        <w:pStyle w:val="Heading1"/>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1" w:hanging="360"/>
        <w:jc w:val="left"/>
        <w:rPr>
          <w:sz w:val="20"/>
        </w:rPr>
      </w:pPr>
      <w:r>
        <w:rPr>
          <w:sz w:val="20"/>
        </w:rPr>
        <w:t>splní</w:t>
      </w:r>
      <w:r>
        <w:rPr>
          <w:spacing w:val="-5"/>
          <w:sz w:val="20"/>
        </w:rPr>
        <w:t> </w:t>
      </w:r>
      <w:r>
        <w:rPr>
          <w:sz w:val="20"/>
        </w:rPr>
        <w:t>účel</w:t>
      </w:r>
      <w:r>
        <w:rPr>
          <w:spacing w:val="-5"/>
          <w:sz w:val="20"/>
        </w:rPr>
        <w:t> </w:t>
      </w:r>
      <w:r>
        <w:rPr>
          <w:sz w:val="20"/>
        </w:rPr>
        <w:t>akce</w:t>
      </w:r>
      <w:r>
        <w:rPr>
          <w:spacing w:val="-5"/>
          <w:sz w:val="20"/>
        </w:rPr>
        <w:t> </w:t>
      </w:r>
      <w:r>
        <w:rPr>
          <w:sz w:val="20"/>
        </w:rPr>
        <w:t>„Snížení</w:t>
      </w:r>
      <w:r>
        <w:rPr>
          <w:spacing w:val="-5"/>
          <w:sz w:val="20"/>
        </w:rPr>
        <w:t> </w:t>
      </w:r>
      <w:r>
        <w:rPr>
          <w:sz w:val="20"/>
        </w:rPr>
        <w:t>energetické</w:t>
      </w:r>
      <w:r>
        <w:rPr>
          <w:spacing w:val="-5"/>
          <w:sz w:val="20"/>
        </w:rPr>
        <w:t> </w:t>
      </w:r>
      <w:r>
        <w:rPr>
          <w:sz w:val="20"/>
        </w:rPr>
        <w:t>náročnosti</w:t>
      </w:r>
      <w:r>
        <w:rPr>
          <w:spacing w:val="-5"/>
          <w:sz w:val="20"/>
        </w:rPr>
        <w:t> </w:t>
      </w:r>
      <w:r>
        <w:rPr>
          <w:sz w:val="20"/>
        </w:rPr>
        <w:t>mobilní</w:t>
      </w:r>
      <w:r>
        <w:rPr>
          <w:spacing w:val="-2"/>
          <w:sz w:val="20"/>
        </w:rPr>
        <w:t> </w:t>
      </w:r>
      <w:r>
        <w:rPr>
          <w:sz w:val="20"/>
        </w:rPr>
        <w:t>telekomunikační</w:t>
      </w:r>
      <w:r>
        <w:rPr>
          <w:spacing w:val="-5"/>
          <w:sz w:val="20"/>
        </w:rPr>
        <w:t> </w:t>
      </w:r>
      <w:r>
        <w:rPr>
          <w:sz w:val="20"/>
        </w:rPr>
        <w:t>sítě</w:t>
      </w:r>
      <w:r>
        <w:rPr>
          <w:spacing w:val="-5"/>
          <w:sz w:val="20"/>
        </w:rPr>
        <w:t> </w:t>
      </w:r>
      <w:r>
        <w:rPr>
          <w:sz w:val="20"/>
        </w:rPr>
        <w:t>v</w:t>
      </w:r>
      <w:r>
        <w:rPr>
          <w:spacing w:val="-4"/>
          <w:sz w:val="20"/>
        </w:rPr>
        <w:t> </w:t>
      </w:r>
      <w:r>
        <w:rPr>
          <w:sz w:val="20"/>
        </w:rPr>
        <w:t>kraji</w:t>
      </w:r>
      <w:r>
        <w:rPr>
          <w:spacing w:val="-3"/>
          <w:sz w:val="20"/>
        </w:rPr>
        <w:t> </w:t>
      </w:r>
      <w:r>
        <w:rPr>
          <w:sz w:val="20"/>
        </w:rPr>
        <w:t>Libereckém“</w:t>
      </w:r>
      <w:r>
        <w:rPr>
          <w:spacing w:val="-5"/>
          <w:sz w:val="20"/>
        </w:rPr>
        <w:t> </w:t>
      </w:r>
      <w:r>
        <w:rPr>
          <w:sz w:val="20"/>
        </w:rPr>
        <w:t>tím, že</w:t>
      </w:r>
      <w:r>
        <w:rPr>
          <w:spacing w:val="-11"/>
          <w:sz w:val="20"/>
        </w:rPr>
        <w:t> </w:t>
      </w:r>
      <w:r>
        <w:rPr>
          <w:sz w:val="20"/>
        </w:rPr>
        <w:t>akce</w:t>
      </w:r>
      <w:r>
        <w:rPr>
          <w:spacing w:val="-11"/>
          <w:sz w:val="20"/>
        </w:rPr>
        <w:t> </w:t>
      </w:r>
      <w:r>
        <w:rPr>
          <w:sz w:val="20"/>
        </w:rPr>
        <w:t>bude</w:t>
      </w:r>
      <w:r>
        <w:rPr>
          <w:spacing w:val="-11"/>
          <w:sz w:val="20"/>
        </w:rPr>
        <w:t> </w:t>
      </w:r>
      <w:r>
        <w:rPr>
          <w:sz w:val="20"/>
        </w:rPr>
        <w:t>provedena</w:t>
      </w:r>
      <w:r>
        <w:rPr>
          <w:spacing w:val="-11"/>
          <w:sz w:val="20"/>
        </w:rPr>
        <w:t> </w:t>
      </w:r>
      <w:r>
        <w:rPr>
          <w:sz w:val="20"/>
        </w:rPr>
        <w:t>v</w:t>
      </w:r>
      <w:r>
        <w:rPr>
          <w:spacing w:val="-1"/>
          <w:sz w:val="20"/>
        </w:rPr>
        <w:t> </w:t>
      </w:r>
      <w:r>
        <w:rPr>
          <w:sz w:val="20"/>
        </w:rPr>
        <w:t>souladu</w:t>
      </w:r>
      <w:r>
        <w:rPr>
          <w:spacing w:val="-10"/>
          <w:sz w:val="20"/>
        </w:rPr>
        <w:t> </w:t>
      </w:r>
      <w:r>
        <w:rPr>
          <w:sz w:val="20"/>
        </w:rPr>
        <w:t>s</w:t>
      </w:r>
      <w:r>
        <w:rPr>
          <w:spacing w:val="-3"/>
          <w:sz w:val="20"/>
        </w:rPr>
        <w:t> </w:t>
      </w:r>
      <w:r>
        <w:rPr>
          <w:sz w:val="20"/>
        </w:rPr>
        <w:t>Výzvou,</w:t>
      </w:r>
      <w:r>
        <w:rPr>
          <w:spacing w:val="-10"/>
          <w:sz w:val="20"/>
        </w:rPr>
        <w:t> </w:t>
      </w:r>
      <w:r>
        <w:rPr>
          <w:sz w:val="20"/>
        </w:rPr>
        <w:t>žádostí</w:t>
      </w:r>
      <w:r>
        <w:rPr>
          <w:spacing w:val="-11"/>
          <w:sz w:val="20"/>
        </w:rPr>
        <w:t> </w:t>
      </w:r>
      <w:r>
        <w:rPr>
          <w:sz w:val="20"/>
        </w:rPr>
        <w:t>o</w:t>
      </w:r>
      <w:r>
        <w:rPr>
          <w:spacing w:val="-7"/>
          <w:sz w:val="20"/>
        </w:rPr>
        <w:t> </w:t>
      </w:r>
      <w:r>
        <w:rPr>
          <w:sz w:val="20"/>
        </w:rPr>
        <w:t>podporu</w:t>
      </w:r>
      <w:r>
        <w:rPr>
          <w:spacing w:val="-10"/>
          <w:sz w:val="20"/>
        </w:rPr>
        <w:t> </w:t>
      </w:r>
      <w:r>
        <w:rPr>
          <w:sz w:val="20"/>
        </w:rPr>
        <w:t>a</w:t>
      </w:r>
      <w:r>
        <w:rPr>
          <w:spacing w:val="-11"/>
          <w:sz w:val="20"/>
        </w:rPr>
        <w:t> </w:t>
      </w:r>
      <w:r>
        <w:rPr>
          <w:sz w:val="20"/>
        </w:rPr>
        <w:t>jejími</w:t>
      </w:r>
      <w:r>
        <w:rPr>
          <w:spacing w:val="-11"/>
          <w:sz w:val="20"/>
        </w:rPr>
        <w:t> </w:t>
      </w:r>
      <w:r>
        <w:rPr>
          <w:sz w:val="20"/>
        </w:rPr>
        <w:t>přílohami</w:t>
      </w:r>
      <w:r>
        <w:rPr>
          <w:spacing w:val="-8"/>
          <w:sz w:val="20"/>
        </w:rPr>
        <w:t> </w:t>
      </w:r>
      <w:r>
        <w:rPr>
          <w:sz w:val="20"/>
        </w:rPr>
        <w:t>a</w:t>
      </w:r>
      <w:r>
        <w:rPr>
          <w:spacing w:val="-11"/>
          <w:sz w:val="20"/>
        </w:rPr>
        <w:t> </w:t>
      </w:r>
      <w:r>
        <w:rPr>
          <w:sz w:val="20"/>
        </w:rPr>
        <w:t>touto</w:t>
      </w:r>
      <w:r>
        <w:rPr>
          <w:spacing w:val="-9"/>
          <w:sz w:val="20"/>
        </w:rPr>
        <w:t> </w:t>
      </w:r>
      <w:r>
        <w:rPr>
          <w:sz w:val="20"/>
        </w:rPr>
        <w:t>Smlouvou,</w:t>
      </w:r>
    </w:p>
    <w:p>
      <w:pPr>
        <w:pStyle w:val="ListParagraph"/>
        <w:numPr>
          <w:ilvl w:val="1"/>
          <w:numId w:val="4"/>
        </w:numPr>
        <w:tabs>
          <w:tab w:pos="746" w:val="left" w:leader="none"/>
        </w:tabs>
        <w:spacing w:line="240" w:lineRule="auto" w:before="2"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19,44 kWp a instalací akumulace o kapacitě 14,4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14.40</w:t>
            </w:r>
          </w:p>
        </w:tc>
      </w:tr>
      <w:tr>
        <w:trPr>
          <w:trHeight w:val="506" w:hRule="atLeast"/>
        </w:trPr>
        <w:tc>
          <w:tcPr>
            <w:tcW w:w="3771" w:type="dxa"/>
          </w:tcPr>
          <w:p>
            <w:pPr>
              <w:pStyle w:val="TableParagraph"/>
              <w:spacing w:before="0"/>
              <w:ind w:left="388"/>
              <w:rPr>
                <w:sz w:val="20"/>
              </w:rPr>
            </w:pPr>
            <w:r>
              <w:rPr>
                <w:sz w:val="20"/>
              </w:rPr>
              <w:t>Nově</w:t>
            </w:r>
            <w:r>
              <w:rPr>
                <w:spacing w:val="-7"/>
                <w:sz w:val="20"/>
              </w:rPr>
              <w:t> </w:t>
            </w:r>
            <w:r>
              <w:rPr>
                <w:sz w:val="20"/>
              </w:rPr>
              <w:t>instalovaný</w:t>
            </w:r>
            <w:r>
              <w:rPr>
                <w:spacing w:val="-7"/>
                <w:sz w:val="20"/>
              </w:rPr>
              <w:t> </w:t>
            </w:r>
            <w:r>
              <w:rPr>
                <w:sz w:val="20"/>
              </w:rPr>
              <w:t>výkon</w:t>
            </w:r>
            <w:r>
              <w:rPr>
                <w:spacing w:val="-5"/>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19.44</w:t>
            </w:r>
          </w:p>
        </w:tc>
      </w:tr>
      <w:tr>
        <w:trPr>
          <w:trHeight w:val="506"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15.18</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45.90</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17.65</w:t>
            </w:r>
          </w:p>
        </w:tc>
      </w:tr>
    </w:tbl>
    <w:p>
      <w:pPr>
        <w:pStyle w:val="ListParagraph"/>
        <w:numPr>
          <w:ilvl w:val="1"/>
          <w:numId w:val="4"/>
        </w:numPr>
        <w:tabs>
          <w:tab w:pos="746" w:val="left" w:leader="none"/>
        </w:tabs>
        <w:spacing w:line="276" w:lineRule="auto" w:before="11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podle příslušných ustanovení zákona č. 183/2006 Sb., o územním plánování a stavebním řádu (stavební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5"/>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40"/>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8"/>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5"/>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19"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32"/>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2"/>
        <w:jc w:val="both"/>
      </w:pPr>
      <w:r>
        <w:rPr/>
        <w:t>o</w:t>
      </w:r>
      <w:r>
        <w:rPr>
          <w:spacing w:val="-2"/>
        </w:rPr>
        <w:t> </w:t>
      </w:r>
      <w:r>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spacing w:before="3"/>
        <w:rPr>
          <w:sz w:val="35"/>
        </w:rPr>
      </w:pPr>
    </w:p>
    <w:p>
      <w:pPr>
        <w:pStyle w:val="BodyText"/>
        <w:spacing w:line="348" w:lineRule="auto"/>
        <w:ind w:left="102" w:right="6353"/>
      </w:pPr>
      <w:r>
        <w:rPr>
          <w:spacing w:val="-2"/>
          <w:w w:val="95"/>
        </w:rPr>
        <w:t>…………………………………………….. </w:t>
      </w:r>
      <w:r>
        <w:rPr/>
        <w:t>zástupce příjemce podpory</w:t>
      </w:r>
    </w:p>
    <w:p>
      <w:pPr>
        <w:pStyle w:val="BodyText"/>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8" w:val="left" w:leader="none"/>
        </w:tabs>
        <w:spacing w:line="261" w:lineRule="auto" w:before="1"/>
        <w:ind w:right="112"/>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5"/>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4"/>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494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102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2023-11-27T13:57:02Z</dcterms:created>
  <dcterms:modified xsi:type="dcterms:W3CDTF">2023-11-27T13:57:02Z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2016</vt:lpwstr>
  </property>
  <property fmtid="{D5CDD505-2E9C-101B-9397-08002B2CF9AE}" pid="4" name="LastSaved">
    <vt:filetime>2023-11-27T00:00:00Z</vt:filetime>
  </property>
</Properties>
</file>